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34290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rFonts w:ascii="MS PGothic" w:cs="MS PGothic" w:eastAsia="MS PGothic" w:hAnsi="MS PGothic"/>
          <w:sz w:val="18"/>
          <w:szCs w:val="18"/>
          <w:color w:val="auto"/>
          <w:highlight w:val="black"/>
        </w:rPr>
      </w:pPr>
    </w:p>
    <w:p>
      <w:pPr>
        <w:ind w:left="35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2021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840" w:type="dxa"/>
            <w:vAlign w:val="bottom"/>
            <w:gridSpan w:val="7"/>
          </w:tcPr>
          <w:p>
            <w:pPr>
              <w:spacing w:after="0"/>
              <w:rPr>
                <w:sz w:val="20"/>
                <w:szCs w:val="20"/>
                <w:color w:val="auto"/>
              </w:rPr>
            </w:pPr>
            <w:r>
              <w:rPr>
                <w:rFonts w:ascii="Arial" w:cs="Arial" w:eastAsia="Arial" w:hAnsi="Arial"/>
                <w:sz w:val="16"/>
                <w:szCs w:val="16"/>
                <w:b w:val="1"/>
                <w:bCs w:val="1"/>
                <w:color w:val="auto"/>
              </w:rPr>
              <w:t>FOR THE TRANSITION PERIOD FROM</w:t>
            </w: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c>
          <w:tcPr>
            <w:tcW w:w="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w w:val="91"/>
              </w:rPr>
              <w:t>Commission File Number 001-36680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1"/>
        </w:trPr>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4"/>
          </w:tcPr>
          <w:p>
            <w:pPr>
              <w:jc w:val="center"/>
              <w:ind w:right="220"/>
              <w:spacing w:after="0"/>
              <w:rPr>
                <w:sz w:val="20"/>
                <w:szCs w:val="20"/>
                <w:color w:val="auto"/>
              </w:rPr>
            </w:pPr>
            <w:r>
              <w:rPr>
                <w:rFonts w:ascii="Arial" w:cs="Arial" w:eastAsia="Arial" w:hAnsi="Arial"/>
                <w:sz w:val="38"/>
                <w:szCs w:val="38"/>
                <w:b w:val="1"/>
                <w:bCs w:val="1"/>
                <w:color w:val="auto"/>
                <w:w w:val="92"/>
              </w:rPr>
              <w:t>HubSpot, Inc.</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5140" w:type="dxa"/>
            <w:vAlign w:val="bottom"/>
            <w:gridSpan w:val="10"/>
          </w:tcPr>
          <w:p>
            <w:pPr>
              <w:jc w:val="center"/>
              <w:ind w:right="9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vMerge w:val="restart"/>
          </w:tcPr>
          <w:p>
            <w:pPr>
              <w:jc w:val="center"/>
              <w:ind w:left="2308"/>
              <w:spacing w:after="0"/>
              <w:rPr>
                <w:sz w:val="20"/>
                <w:szCs w:val="20"/>
                <w:color w:val="auto"/>
              </w:rPr>
            </w:pPr>
            <w:r>
              <w:rPr>
                <w:rFonts w:ascii="Arial" w:cs="Arial" w:eastAsia="Arial" w:hAnsi="Arial"/>
                <w:sz w:val="16"/>
                <w:szCs w:val="16"/>
                <w:b w:val="1"/>
                <w:bCs w:val="1"/>
                <w:color w:val="auto"/>
                <w:w w:val="91"/>
              </w:rPr>
              <w:t>Delaware</w:t>
            </w: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gridSpan w:val="4"/>
            <w:vMerge w:val="restart"/>
          </w:tcPr>
          <w:p>
            <w:pPr>
              <w:jc w:val="center"/>
              <w:ind w:left="879"/>
              <w:spacing w:after="0"/>
              <w:rPr>
                <w:sz w:val="20"/>
                <w:szCs w:val="20"/>
                <w:color w:val="auto"/>
              </w:rPr>
            </w:pPr>
            <w:r>
              <w:rPr>
                <w:rFonts w:ascii="Arial" w:cs="Arial" w:eastAsia="Arial" w:hAnsi="Arial"/>
                <w:sz w:val="16"/>
                <w:szCs w:val="16"/>
                <w:b w:val="1"/>
                <w:bCs w:val="1"/>
                <w:color w:val="auto"/>
                <w:w w:val="91"/>
              </w:rPr>
              <w:t>20-2632791</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980" w:type="dxa"/>
            <w:vAlign w:val="bottom"/>
            <w:gridSpan w:val="8"/>
          </w:tcPr>
          <w:p>
            <w:pPr>
              <w:jc w:val="center"/>
              <w:ind w:right="1460"/>
              <w:spacing w:after="0" w:line="126" w:lineRule="exact"/>
              <w:rPr>
                <w:sz w:val="20"/>
                <w:szCs w:val="20"/>
                <w:color w:val="auto"/>
              </w:rPr>
            </w:pPr>
            <w:r>
              <w:rPr>
                <w:rFonts w:ascii="Arial" w:cs="Arial" w:eastAsia="Arial" w:hAnsi="Arial"/>
                <w:sz w:val="13"/>
                <w:szCs w:val="13"/>
                <w:b w:val="1"/>
                <w:bCs w:val="1"/>
                <w:color w:val="auto"/>
                <w:w w:val="87"/>
              </w:rPr>
              <w:t>(State or other jurisdiction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tcPr>
          <w:p>
            <w:pPr>
              <w:jc w:val="center"/>
              <w:ind w:left="551"/>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980" w:type="dxa"/>
            <w:vAlign w:val="bottom"/>
            <w:gridSpan w:val="8"/>
          </w:tcPr>
          <w:p>
            <w:pPr>
              <w:jc w:val="center"/>
              <w:ind w:right="1460"/>
              <w:spacing w:after="0"/>
              <w:rPr>
                <w:sz w:val="20"/>
                <w:szCs w:val="20"/>
                <w:color w:val="auto"/>
              </w:rPr>
            </w:pPr>
            <w:r>
              <w:rPr>
                <w:rFonts w:ascii="Arial" w:cs="Arial" w:eastAsia="Arial" w:hAnsi="Arial"/>
                <w:sz w:val="13"/>
                <w:szCs w:val="13"/>
                <w:b w:val="1"/>
                <w:bCs w:val="1"/>
                <w:color w:val="auto"/>
                <w:w w:val="88"/>
              </w:rPr>
              <w:t>incorporation or organization)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left="551"/>
              <w:spacing w:after="0"/>
              <w:rPr>
                <w:sz w:val="20"/>
                <w:szCs w:val="20"/>
                <w:color w:val="auto"/>
              </w:rPr>
            </w:pPr>
            <w:r>
              <w:rPr>
                <w:rFonts w:ascii="Arial" w:cs="Arial" w:eastAsia="Arial" w:hAnsi="Arial"/>
                <w:sz w:val="13"/>
                <w:szCs w:val="13"/>
                <w:b w:val="1"/>
                <w:bCs w:val="1"/>
                <w:color w:val="auto"/>
                <w:w w:val="89"/>
              </w:rPr>
              <w:t>Identification No.)</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25 First Street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5"/>
          </w:tcPr>
          <w:p>
            <w:pPr>
              <w:jc w:val="center"/>
              <w:ind w:left="99"/>
              <w:spacing w:after="0" w:line="198" w:lineRule="exact"/>
              <w:rPr>
                <w:sz w:val="20"/>
                <w:szCs w:val="20"/>
                <w:color w:val="auto"/>
              </w:rPr>
            </w:pPr>
            <w:r>
              <w:rPr>
                <w:rFonts w:ascii="Arial" w:cs="Arial" w:eastAsia="Arial" w:hAnsi="Arial"/>
                <w:sz w:val="18"/>
                <w:szCs w:val="18"/>
                <w:b w:val="1"/>
                <w:bCs w:val="1"/>
                <w:color w:val="auto"/>
                <w:w w:val="88"/>
              </w:rPr>
              <w:t>Cambridge, Massachusetts, 02141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jc w:val="center"/>
              <w:ind w:left="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3600" w:type="dxa"/>
            <w:vAlign w:val="bottom"/>
            <w:gridSpan w:val="5"/>
          </w:tcPr>
          <w:p>
            <w:pPr>
              <w:jc w:val="center"/>
              <w:ind w:left="1274"/>
              <w:spacing w:after="0" w:line="206" w:lineRule="exact"/>
              <w:rPr>
                <w:sz w:val="20"/>
                <w:szCs w:val="20"/>
                <w:color w:val="auto"/>
              </w:rPr>
            </w:pPr>
            <w:r>
              <w:rPr>
                <w:rFonts w:ascii="Arial" w:cs="Arial" w:eastAsia="Arial" w:hAnsi="Arial"/>
                <w:sz w:val="18"/>
                <w:szCs w:val="18"/>
                <w:b w:val="1"/>
                <w:bCs w:val="1"/>
                <w:color w:val="auto"/>
                <w:w w:val="90"/>
              </w:rPr>
              <w:t>(888) 482-7768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40" w:type="dxa"/>
            <w:vAlign w:val="bottom"/>
            <w:gridSpan w:val="9"/>
          </w:tcPr>
          <w:p>
            <w:pPr>
              <w:jc w:val="center"/>
              <w:ind w:right="91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140" w:type="dxa"/>
            <w:vAlign w:val="bottom"/>
          </w:tcPr>
          <w:p>
            <w:pPr>
              <w:spacing w:after="0"/>
              <w:rPr>
                <w:sz w:val="21"/>
                <w:szCs w:val="21"/>
                <w:color w:val="auto"/>
              </w:rPr>
            </w:pPr>
          </w:p>
        </w:tc>
        <w:tc>
          <w:tcPr>
            <w:tcW w:w="5140" w:type="dxa"/>
            <w:vAlign w:val="bottom"/>
            <w:gridSpan w:val="10"/>
          </w:tcPr>
          <w:p>
            <w:pPr>
              <w:jc w:val="center"/>
              <w:ind w:right="11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auto"/>
            </w:tcBorders>
          </w:tcPr>
          <w:p>
            <w:pPr>
              <w:jc w:val="center"/>
              <w:ind w:left="748"/>
              <w:spacing w:after="0"/>
              <w:rPr>
                <w:sz w:val="20"/>
                <w:szCs w:val="20"/>
                <w:color w:val="auto"/>
              </w:rPr>
            </w:pPr>
            <w:r>
              <w:rPr>
                <w:rFonts w:ascii="Arial" w:cs="Arial" w:eastAsia="Arial" w:hAnsi="Arial"/>
                <w:sz w:val="16"/>
                <w:szCs w:val="16"/>
                <w:b w:val="1"/>
                <w:bCs w:val="1"/>
                <w:color w:val="auto"/>
                <w:w w:val="87"/>
              </w:rPr>
              <w:t>Title of each class</w:t>
            </w:r>
          </w:p>
        </w:tc>
        <w:tc>
          <w:tcPr>
            <w:tcW w:w="8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0"/>
              </w:rPr>
              <w:t>Trading symbol(s)</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58"/>
        </w:trPr>
        <w:tc>
          <w:tcPr>
            <w:tcW w:w="3140" w:type="dxa"/>
            <w:vAlign w:val="bottom"/>
          </w:tcPr>
          <w:p>
            <w:pPr>
              <w:jc w:val="center"/>
              <w:ind w:left="748"/>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HUBS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60" w:type="dxa"/>
            <w:vAlign w:val="bottom"/>
            <w:gridSpan w:val="2"/>
          </w:tcPr>
          <w:p>
            <w:pPr>
              <w:jc w:val="center"/>
              <w:ind w:right="899"/>
              <w:spacing w:after="0"/>
              <w:rPr>
                <w:sz w:val="20"/>
                <w:szCs w:val="20"/>
                <w:color w:val="auto"/>
              </w:rPr>
            </w:pPr>
            <w:r>
              <w:rPr>
                <w:rFonts w:ascii="Arial" w:cs="Arial" w:eastAsia="Arial" w:hAnsi="Arial"/>
                <w:sz w:val="13"/>
                <w:szCs w:val="13"/>
                <w:b w:val="1"/>
                <w:bCs w:val="1"/>
                <w:color w:val="auto"/>
                <w:w w:val="86"/>
              </w:rPr>
              <w:t>New York Stock Exchange</w:t>
            </w:r>
          </w:p>
        </w:tc>
        <w:tc>
          <w:tcPr>
            <w:tcW w:w="0" w:type="dxa"/>
            <w:vAlign w:val="bottom"/>
          </w:tcPr>
          <w:p>
            <w:pPr>
              <w:spacing w:after="0"/>
              <w:rPr>
                <w:sz w:val="1"/>
                <w:szCs w:val="1"/>
                <w:color w:val="auto"/>
              </w:rPr>
            </w:pPr>
          </w:p>
        </w:tc>
      </w:tr>
      <w:tr>
        <w:trPr>
          <w:trHeight w:val="275"/>
        </w:trPr>
        <w:tc>
          <w:tcPr>
            <w:tcW w:w="3140" w:type="dxa"/>
            <w:vAlign w:val="bottom"/>
          </w:tcPr>
          <w:p>
            <w:pPr>
              <w:spacing w:after="0"/>
              <w:rPr>
                <w:sz w:val="23"/>
                <w:szCs w:val="23"/>
                <w:color w:val="auto"/>
              </w:rPr>
            </w:pPr>
          </w:p>
        </w:tc>
        <w:tc>
          <w:tcPr>
            <w:tcW w:w="5140" w:type="dxa"/>
            <w:vAlign w:val="bottom"/>
            <w:gridSpan w:val="10"/>
          </w:tcPr>
          <w:p>
            <w:pPr>
              <w:jc w:val="center"/>
              <w:ind w:right="111"/>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7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4520" w:type="dxa"/>
            <w:vAlign w:val="bottom"/>
            <w:gridSpan w:val="5"/>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540" w:type="dxa"/>
            <w:vAlign w:val="bottom"/>
            <w:gridSpan w:val="5"/>
            <w:vMerge w:val="restart"/>
          </w:tcPr>
          <w:p>
            <w:pPr>
              <w:ind w:left="20"/>
              <w:spacing w:after="0"/>
              <w:rPr>
                <w:sz w:val="20"/>
                <w:szCs w:val="20"/>
                <w:color w:val="auto"/>
              </w:rPr>
            </w:pPr>
            <w:r>
              <w:rPr>
                <w:rFonts w:ascii="Arial" w:cs="Arial" w:eastAsia="Arial" w:hAnsi="Arial"/>
                <w:sz w:val="16"/>
                <w:szCs w:val="16"/>
                <w:color w:val="auto"/>
              </w:rPr>
              <w:t>of the Securities Act.</w:t>
            </w:r>
          </w:p>
        </w:tc>
        <w:tc>
          <w:tcPr>
            <w:tcW w:w="76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20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29"/>
        </w:trPr>
        <w:tc>
          <w:tcPr>
            <w:tcW w:w="6740" w:type="dxa"/>
            <w:vAlign w:val="bottom"/>
            <w:gridSpan w:val="6"/>
          </w:tcPr>
          <w:p>
            <w:pPr>
              <w:ind w:left="520"/>
              <w:spacing w:after="0" w:line="129" w:lineRule="exact"/>
              <w:rPr>
                <w:sz w:val="20"/>
                <w:szCs w:val="20"/>
                <w:color w:val="auto"/>
              </w:rPr>
            </w:pPr>
            <w:r>
              <w:rPr>
                <w:rFonts w:ascii="Arial" w:cs="Arial" w:eastAsia="Arial" w:hAnsi="Arial"/>
                <w:sz w:val="14"/>
                <w:szCs w:val="14"/>
                <w:color w:val="auto"/>
              </w:rPr>
              <w:t>Indicate by check mark if the registrant is a well-known seasoned issuer, as defined in Rule 405</w:t>
            </w:r>
          </w:p>
        </w:tc>
        <w:tc>
          <w:tcPr>
            <w:tcW w:w="1540" w:type="dxa"/>
            <w:vAlign w:val="bottom"/>
            <w:gridSpan w:val="5"/>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80" w:type="dxa"/>
            <w:vAlign w:val="bottom"/>
            <w:gridSpan w:val="11"/>
          </w:tcPr>
          <w:p>
            <w:pPr>
              <w:ind w:left="520"/>
              <w:spacing w:after="0" w:line="180" w:lineRule="exact"/>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760" w:type="dxa"/>
            <w:vAlign w:val="bottom"/>
          </w:tcPr>
          <w:p>
            <w:pPr>
              <w:ind w:left="160"/>
              <w:spacing w:after="0" w:line="180"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200" w:type="dxa"/>
            <w:vAlign w:val="bottom"/>
          </w:tcPr>
          <w:p>
            <w:pPr>
              <w:ind w:left="160"/>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firstLine="509"/>
        <w:spacing w:after="0" w:line="16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80" w:firstLine="509"/>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40" w:firstLine="509"/>
        <w:spacing w:after="0" w:line="2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9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 w:lineRule="exact"/>
        <w:rPr>
          <w:sz w:val="24"/>
          <w:szCs w:val="24"/>
          <w:color w:val="auto"/>
        </w:rPr>
      </w:pPr>
    </w:p>
    <w:p>
      <w:pPr>
        <w:ind w:right="20" w:firstLine="509"/>
        <w:spacing w:after="0" w:line="16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40" w:firstLine="509"/>
        <w:spacing w:after="0" w:line="237"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YES</w:t>
      </w:r>
    </w:p>
    <w:p>
      <w:pPr>
        <w:ind w:left="360" w:hanging="352"/>
        <w:spacing w:after="0" w:line="162" w:lineRule="exact"/>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ind w:left="520"/>
        <w:spacing w:after="0" w:line="168" w:lineRule="exact"/>
        <w:tabs>
          <w:tab w:leader="none" w:pos="802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ind w:right="140" w:firstLine="509"/>
        <w:spacing w:after="0" w:line="211"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on June 30, 2021, as reported by the New York Stock Exchange on such date was approximately $25,969,281,583.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On February 11, 2022, the registrant had 47,569,390 shares of common stock outstanding.</w:t>
      </w:r>
    </w:p>
    <w:p>
      <w:pPr>
        <w:spacing w:after="0" w:line="14"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 w:lineRule="exact"/>
        <w:rPr>
          <w:sz w:val="24"/>
          <w:szCs w:val="24"/>
          <w:color w:val="auto"/>
        </w:rPr>
      </w:pPr>
    </w:p>
    <w:p>
      <w:pPr>
        <w:ind w:right="20" w:firstLine="509"/>
        <w:spacing w:after="0" w:line="284"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80" w:type="dxa"/>
            <w:vAlign w:val="bottom"/>
            <w:gridSpan w:val="11"/>
          </w:tcPr>
          <w:p>
            <w:pPr>
              <w:jc w:val="center"/>
              <w:ind w:right="4100"/>
              <w:spacing w:after="0"/>
              <w:rPr>
                <w:sz w:val="20"/>
                <w:szCs w:val="20"/>
                <w:color w:val="auto"/>
              </w:rPr>
            </w:pPr>
            <w:r>
              <w:rPr>
                <w:rFonts w:ascii="Arial" w:cs="Arial" w:eastAsia="Arial" w:hAnsi="Arial"/>
                <w:sz w:val="18"/>
                <w:szCs w:val="18"/>
                <w:b w:val="1"/>
                <w:bCs w:val="1"/>
                <w:color w:val="auto"/>
                <w:w w:val="98"/>
              </w:rPr>
              <w:t>HUBSPOT, INC.</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gridSpan w:val="12"/>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gridSpan w:val="3"/>
            <w:vMerge w:val="restart"/>
          </w:tcPr>
          <w:p>
            <w:pPr>
              <w:jc w:val="center"/>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4980" w:type="dxa"/>
            <w:vAlign w:val="bottom"/>
            <w:gridSpan w:val="8"/>
            <w:vMerge w:val="restart"/>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Borders>
              <w:bottom w:val="single" w:sz="8" w:color="0000EE"/>
            </w:tcBorders>
            <w:gridSpan w:val="3"/>
            <w:vMerge w:val="continue"/>
          </w:tcPr>
          <w:p>
            <w:pPr>
              <w:spacing w:after="0"/>
              <w:rPr>
                <w:sz w:val="14"/>
                <w:szCs w:val="14"/>
                <w:color w:val="auto"/>
              </w:rPr>
            </w:pPr>
          </w:p>
        </w:tc>
        <w:tc>
          <w:tcPr>
            <w:tcW w:w="4980" w:type="dxa"/>
            <w:vAlign w:val="bottom"/>
            <w:gridSpan w:val="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vMerge w:val="continue"/>
          </w:tcPr>
          <w:p>
            <w:pPr>
              <w:spacing w:after="0"/>
              <w:rPr>
                <w:sz w:val="24"/>
                <w:szCs w:val="24"/>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6">
              <w:r>
                <w:rPr>
                  <w:rFonts w:ascii="Arial" w:cs="Arial" w:eastAsia="Arial" w:hAnsi="Arial"/>
                  <w:sz w:val="18"/>
                  <w:szCs w:val="18"/>
                  <w:color w:val="auto"/>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5"/>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920" w:type="dxa"/>
            <w:vAlign w:val="bottom"/>
            <w:gridSpan w:val="5"/>
            <w:vMerge w:val="restart"/>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Risk Factors</w:t>
              </w:r>
            </w:hyperlink>
          </w:p>
        </w:tc>
        <w:tc>
          <w:tcPr>
            <w:tcW w:w="8500" w:type="dxa"/>
            <w:vAlign w:val="bottom"/>
            <w:gridSpan w:val="21"/>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1B.</w:t>
            </w:r>
          </w:p>
        </w:tc>
        <w:tc>
          <w:tcPr>
            <w:tcW w:w="920" w:type="dxa"/>
            <w:vAlign w:val="bottom"/>
            <w:tcBorders>
              <w:bottom w:val="single" w:sz="8" w:color="0000EE"/>
            </w:tcBorders>
            <w:gridSpan w:val="5"/>
            <w:vMerge w:val="continue"/>
          </w:tcPr>
          <w:p>
            <w:pPr>
              <w:spacing w:after="0"/>
              <w:rPr>
                <w:sz w:val="11"/>
                <w:szCs w:val="11"/>
                <w:color w:val="auto"/>
              </w:rPr>
            </w:pPr>
          </w:p>
        </w:tc>
        <w:tc>
          <w:tcPr>
            <w:tcW w:w="8500" w:type="dxa"/>
            <w:vAlign w:val="bottom"/>
            <w:gridSpan w:val="21"/>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2060" w:type="dxa"/>
            <w:vAlign w:val="bottom"/>
            <w:gridSpan w:val="11"/>
            <w:vMerge w:val="restart"/>
          </w:tcPr>
          <w:p>
            <w:pPr>
              <w:spacing w:after="0"/>
              <w:rPr>
                <w:rFonts w:ascii="Arial" w:cs="Arial" w:eastAsia="Arial" w:hAnsi="Arial"/>
                <w:sz w:val="18"/>
                <w:szCs w:val="18"/>
                <w:color w:val="auto"/>
                <w:w w:val="90"/>
              </w:rPr>
            </w:pPr>
            <w:hyperlink w:anchor="page39">
              <w:r>
                <w:rPr>
                  <w:rFonts w:ascii="Arial" w:cs="Arial" w:eastAsia="Arial" w:hAnsi="Arial"/>
                  <w:sz w:val="18"/>
                  <w:szCs w:val="18"/>
                  <w:color w:val="auto"/>
                  <w:w w:val="90"/>
                </w:rPr>
                <w:t>Unresolved Staff Comments</w:t>
              </w:r>
            </w:hyperlink>
          </w:p>
        </w:tc>
        <w:tc>
          <w:tcPr>
            <w:tcW w:w="7360" w:type="dxa"/>
            <w:vAlign w:val="bottom"/>
            <w:gridSpan w:val="15"/>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60" w:type="dxa"/>
            <w:vAlign w:val="bottom"/>
            <w:tcBorders>
              <w:bottom w:val="single" w:sz="8" w:color="0000EE"/>
            </w:tcBorders>
            <w:gridSpan w:val="11"/>
            <w:vMerge w:val="continue"/>
          </w:tcPr>
          <w:p>
            <w:pPr>
              <w:spacing w:after="0"/>
              <w:rPr>
                <w:sz w:val="11"/>
                <w:szCs w:val="11"/>
                <w:color w:val="auto"/>
              </w:rPr>
            </w:pPr>
          </w:p>
        </w:tc>
        <w:tc>
          <w:tcPr>
            <w:tcW w:w="7360" w:type="dxa"/>
            <w:vAlign w:val="bottom"/>
            <w:gridSpan w:val="15"/>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740" w:type="dxa"/>
            <w:vAlign w:val="bottom"/>
            <w:gridSpan w:val="4"/>
            <w:vMerge w:val="restart"/>
          </w:tcPr>
          <w:p>
            <w:pPr>
              <w:spacing w:after="0"/>
              <w:rPr>
                <w:rFonts w:ascii="Arial" w:cs="Arial" w:eastAsia="Arial" w:hAnsi="Arial"/>
                <w:sz w:val="18"/>
                <w:szCs w:val="18"/>
                <w:color w:val="auto"/>
                <w:w w:val="87"/>
              </w:rPr>
            </w:pPr>
            <w:hyperlink w:anchor="page39">
              <w:r>
                <w:rPr>
                  <w:rFonts w:ascii="Arial" w:cs="Arial" w:eastAsia="Arial" w:hAnsi="Arial"/>
                  <w:sz w:val="18"/>
                  <w:szCs w:val="18"/>
                  <w:color w:val="auto"/>
                  <w:w w:val="87"/>
                </w:rPr>
                <w:t>Properties</w:t>
              </w:r>
            </w:hyperlink>
          </w:p>
        </w:tc>
        <w:tc>
          <w:tcPr>
            <w:tcW w:w="8680" w:type="dxa"/>
            <w:vAlign w:val="bottom"/>
            <w:gridSpan w:val="22"/>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740" w:type="dxa"/>
            <w:vAlign w:val="bottom"/>
            <w:tcBorders>
              <w:bottom w:val="single" w:sz="8" w:color="0000EE"/>
            </w:tcBorders>
            <w:gridSpan w:val="4"/>
            <w:vMerge w:val="continue"/>
          </w:tcPr>
          <w:p>
            <w:pPr>
              <w:spacing w:after="0"/>
              <w:rPr>
                <w:sz w:val="11"/>
                <w:szCs w:val="11"/>
                <w:color w:val="auto"/>
              </w:rPr>
            </w:pPr>
          </w:p>
        </w:tc>
        <w:tc>
          <w:tcPr>
            <w:tcW w:w="8680" w:type="dxa"/>
            <w:vAlign w:val="bottom"/>
            <w:gridSpan w:val="2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39">
              <w:r>
                <w:rPr>
                  <w:rFonts w:ascii="Arial" w:cs="Arial" w:eastAsia="Arial" w:hAnsi="Arial"/>
                  <w:sz w:val="18"/>
                  <w:szCs w:val="18"/>
                  <w:color w:val="auto"/>
                </w:rPr>
                <w:t>Legal Proceedings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35"/>
        </w:trPr>
        <w:tc>
          <w:tcPr>
            <w:tcW w:w="10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39">
              <w:r>
                <w:rPr>
                  <w:rFonts w:ascii="Arial" w:cs="Arial" w:eastAsia="Arial" w:hAnsi="Arial"/>
                  <w:sz w:val="18"/>
                  <w:szCs w:val="18"/>
                  <w:color w:val="auto"/>
                </w:rPr>
                <w:t>Mine Safety Disclosures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80" w:type="dxa"/>
            <w:vAlign w:val="bottom"/>
            <w:gridSpan w:val="11"/>
          </w:tcPr>
          <w:p>
            <w:pPr>
              <w:jc w:val="center"/>
              <w:ind w:right="4960"/>
              <w:spacing w:after="0"/>
              <w:rPr>
                <w:rFonts w:ascii="Arial" w:cs="Arial" w:eastAsia="Arial" w:hAnsi="Arial"/>
                <w:sz w:val="18"/>
                <w:szCs w:val="18"/>
                <w:b w:val="1"/>
                <w:bCs w:val="1"/>
                <w:color w:val="auto"/>
                <w:w w:val="96"/>
              </w:rPr>
            </w:pPr>
            <w:hyperlink w:anchor="page40">
              <w:r>
                <w:rPr>
                  <w:rFonts w:ascii="Arial" w:cs="Arial" w:eastAsia="Arial" w:hAnsi="Arial"/>
                  <w:sz w:val="18"/>
                  <w:szCs w:val="18"/>
                  <w:b w:val="1"/>
                  <w:bCs w:val="1"/>
                  <w:color w:val="auto"/>
                  <w:w w:val="96"/>
                </w:rPr>
                <w:t>PART 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6"/>
          </w:tcPr>
          <w:p>
            <w:pPr>
              <w:spacing w:after="0"/>
              <w:rPr>
                <w:rFonts w:ascii="Arial" w:cs="Arial" w:eastAsia="Arial" w:hAnsi="Arial"/>
                <w:sz w:val="18"/>
                <w:szCs w:val="18"/>
                <w:color w:val="auto"/>
              </w:rPr>
            </w:pPr>
            <w:hyperlink w:anchor="page40">
              <w:r>
                <w:rPr>
                  <w:rFonts w:ascii="Arial" w:cs="Arial" w:eastAsia="Arial" w:hAnsi="Arial"/>
                  <w:sz w:val="18"/>
                  <w:szCs w:val="18"/>
                  <w:color w:val="auto"/>
                </w:rPr>
                <w:t>Market for Registrant’s Common Equity, Related Stockholder Matters and Issuer Purchases of Equity</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72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auto"/>
                <w:w w:val="88"/>
              </w:rPr>
            </w:pPr>
            <w:hyperlink w:anchor="page40">
              <w:r>
                <w:rPr>
                  <w:rFonts w:ascii="Arial" w:cs="Arial" w:eastAsia="Arial" w:hAnsi="Arial"/>
                  <w:sz w:val="18"/>
                  <w:szCs w:val="18"/>
                  <w:color w:val="auto"/>
                  <w:w w:val="88"/>
                </w:rPr>
                <w:t>Securities</w:t>
              </w:r>
            </w:hyperlink>
          </w:p>
        </w:tc>
        <w:tc>
          <w:tcPr>
            <w:tcW w:w="6660" w:type="dxa"/>
            <w:vAlign w:val="bottom"/>
            <w:tcBorders>
              <w:top w:val="single" w:sz="8" w:color="0000EE"/>
            </w:tcBorders>
            <w:gridSpan w:val="22"/>
          </w:tcPr>
          <w:p>
            <w:pPr>
              <w:spacing w:after="0"/>
              <w:rPr>
                <w:sz w:val="13"/>
                <w:szCs w:val="13"/>
                <w:color w:val="auto"/>
              </w:rPr>
            </w:pPr>
          </w:p>
        </w:tc>
        <w:tc>
          <w:tcPr>
            <w:tcW w:w="20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1720" w:type="dxa"/>
            <w:vAlign w:val="bottom"/>
            <w:gridSpan w:val="8"/>
            <w:vMerge w:val="restart"/>
          </w:tcPr>
          <w:p>
            <w:pP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Selected Financial Data</w:t>
              </w:r>
            </w:hyperlink>
          </w:p>
        </w:tc>
        <w:tc>
          <w:tcPr>
            <w:tcW w:w="7700" w:type="dxa"/>
            <w:vAlign w:val="bottom"/>
            <w:gridSpan w:val="18"/>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7.</w:t>
            </w:r>
          </w:p>
        </w:tc>
        <w:tc>
          <w:tcPr>
            <w:tcW w:w="1720" w:type="dxa"/>
            <w:vAlign w:val="bottom"/>
            <w:tcBorders>
              <w:bottom w:val="single" w:sz="8" w:color="0000EE"/>
            </w:tcBorders>
            <w:gridSpan w:val="8"/>
            <w:vMerge w:val="continue"/>
          </w:tcPr>
          <w:p>
            <w:pPr>
              <w:spacing w:after="0"/>
              <w:rPr>
                <w:sz w:val="11"/>
                <w:szCs w:val="11"/>
                <w:color w:val="auto"/>
              </w:rPr>
            </w:pPr>
          </w:p>
        </w:tc>
        <w:tc>
          <w:tcPr>
            <w:tcW w:w="7700" w:type="dxa"/>
            <w:vAlign w:val="bottom"/>
            <w:gridSpan w:val="18"/>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43">
              <w:r>
                <w:rPr>
                  <w:rFonts w:ascii="Arial" w:cs="Arial" w:eastAsia="Arial" w:hAnsi="Arial"/>
                  <w:sz w:val="18"/>
                  <w:szCs w:val="18"/>
                  <w:color w:val="auto"/>
                </w:rPr>
                <w:t>Management’s Discussion and Analysis of Financial Condition and Results of Operations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35"/>
        </w:trPr>
        <w:tc>
          <w:tcPr>
            <w:tcW w:w="1020" w:type="dxa"/>
            <w:vAlign w:val="bottom"/>
            <w:vMerge w:val="restart"/>
          </w:tcPr>
          <w:p>
            <w:pPr>
              <w:spacing w:after="0"/>
              <w:rPr>
                <w:sz w:val="20"/>
                <w:szCs w:val="20"/>
                <w:color w:val="auto"/>
              </w:rPr>
            </w:pPr>
            <w:r>
              <w:rPr>
                <w:rFonts w:ascii="Arial" w:cs="Arial" w:eastAsia="Arial" w:hAnsi="Arial"/>
                <w:sz w:val="18"/>
                <w:szCs w:val="18"/>
                <w:color w:val="auto"/>
              </w:rPr>
              <w:t>ITEM 7A.</w:t>
            </w: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6460" w:type="dxa"/>
            <w:vAlign w:val="bottom"/>
            <w:tcBorders>
              <w:top w:val="single" w:sz="8" w:color="0000EE"/>
            </w:tcBorders>
            <w:gridSpan w:val="22"/>
            <w:vMerge w:val="restart"/>
          </w:tcPr>
          <w:p>
            <w:pPr>
              <w:spacing w:after="0"/>
              <w:rPr>
                <w:rFonts w:ascii="Arial" w:cs="Arial" w:eastAsia="Arial" w:hAnsi="Arial"/>
                <w:sz w:val="18"/>
                <w:szCs w:val="18"/>
                <w:color w:val="auto"/>
              </w:rPr>
            </w:pPr>
            <w:hyperlink w:anchor="page59">
              <w:r>
                <w:rPr>
                  <w:rFonts w:ascii="Arial" w:cs="Arial" w:eastAsia="Arial" w:hAnsi="Arial"/>
                  <w:sz w:val="18"/>
                  <w:szCs w:val="18"/>
                  <w:color w:val="auto"/>
                </w:rPr>
                <w:t>Quantitative and Qualitative Disclosures About Market Risk</w:t>
              </w:r>
            </w:hyperlink>
          </w:p>
        </w:tc>
        <w:tc>
          <w:tcPr>
            <w:tcW w:w="2960" w:type="dxa"/>
            <w:vAlign w:val="bottom"/>
            <w:gridSpan w:val="4"/>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35"/>
        </w:trPr>
        <w:tc>
          <w:tcPr>
            <w:tcW w:w="1020" w:type="dxa"/>
            <w:vAlign w:val="bottom"/>
            <w:vMerge w:val="restart"/>
          </w:tcPr>
          <w:p>
            <w:pPr>
              <w:spacing w:after="0"/>
              <w:rPr>
                <w:sz w:val="20"/>
                <w:szCs w:val="20"/>
                <w:color w:val="auto"/>
              </w:rPr>
            </w:pPr>
            <w:r>
              <w:rPr>
                <w:rFonts w:ascii="Arial" w:cs="Arial" w:eastAsia="Arial" w:hAnsi="Arial"/>
                <w:sz w:val="18"/>
                <w:szCs w:val="18"/>
                <w:color w:val="auto"/>
              </w:rPr>
              <w:t>ITEM 8.</w:t>
            </w:r>
          </w:p>
        </w:tc>
        <w:tc>
          <w:tcPr>
            <w:tcW w:w="6460" w:type="dxa"/>
            <w:vAlign w:val="bottom"/>
            <w:gridSpan w:val="22"/>
            <w:vMerge w:val="continue"/>
          </w:tcPr>
          <w:p>
            <w:pPr>
              <w:spacing w:after="0"/>
              <w:rPr>
                <w:sz w:val="11"/>
                <w:szCs w:val="11"/>
                <w:color w:val="auto"/>
              </w:rPr>
            </w:pPr>
          </w:p>
        </w:tc>
        <w:tc>
          <w:tcPr>
            <w:tcW w:w="2960" w:type="dxa"/>
            <w:vAlign w:val="bottom"/>
            <w:gridSpan w:val="4"/>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3340" w:type="dxa"/>
            <w:vAlign w:val="bottom"/>
            <w:tcBorders>
              <w:top w:val="single" w:sz="8" w:color="0000EE"/>
            </w:tcBorders>
            <w:gridSpan w:val="14"/>
            <w:vMerge w:val="restart"/>
          </w:tcPr>
          <w:p>
            <w:pPr>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Financial Statements and Supplementary Data</w:t>
              </w:r>
            </w:hyperlink>
          </w:p>
        </w:tc>
        <w:tc>
          <w:tcPr>
            <w:tcW w:w="1020" w:type="dxa"/>
            <w:vAlign w:val="bottom"/>
            <w:tcBorders>
              <w:top w:val="single" w:sz="8" w:color="0000EE"/>
            </w:tcBorders>
            <w:gridSpan w:val="3"/>
            <w:vMerge w:val="restart"/>
          </w:tcPr>
          <w:p>
            <w:pPr>
              <w:spacing w:after="0"/>
              <w:rPr>
                <w:sz w:val="19"/>
                <w:szCs w:val="19"/>
                <w:color w:val="auto"/>
              </w:rPr>
            </w:pPr>
          </w:p>
        </w:tc>
        <w:tc>
          <w:tcPr>
            <w:tcW w:w="5060" w:type="dxa"/>
            <w:vAlign w:val="bottom"/>
            <w:gridSpan w:val="9"/>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9.</w:t>
            </w:r>
          </w:p>
        </w:tc>
        <w:tc>
          <w:tcPr>
            <w:tcW w:w="3340" w:type="dxa"/>
            <w:vAlign w:val="bottom"/>
            <w:tcBorders>
              <w:bottom w:val="single" w:sz="8" w:color="0000EE"/>
            </w:tcBorders>
            <w:gridSpan w:val="14"/>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5060" w:type="dxa"/>
            <w:vAlign w:val="bottom"/>
            <w:gridSpan w:val="9"/>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6560" w:type="dxa"/>
            <w:vAlign w:val="bottom"/>
            <w:gridSpan w:val="23"/>
            <w:vMerge w:val="restart"/>
          </w:tcPr>
          <w:p>
            <w:pPr>
              <w:spacing w:after="0"/>
              <w:rPr>
                <w:rFonts w:ascii="Arial" w:cs="Arial" w:eastAsia="Arial" w:hAnsi="Arial"/>
                <w:sz w:val="18"/>
                <w:szCs w:val="18"/>
                <w:color w:val="auto"/>
                <w:w w:val="90"/>
              </w:rPr>
            </w:pPr>
            <w:hyperlink w:anchor="page96">
              <w:r>
                <w:rPr>
                  <w:rFonts w:ascii="Arial" w:cs="Arial" w:eastAsia="Arial" w:hAnsi="Arial"/>
                  <w:sz w:val="18"/>
                  <w:szCs w:val="18"/>
                  <w:color w:val="auto"/>
                  <w:w w:val="90"/>
                </w:rPr>
                <w:t>Changes in and Disagreements with Accountants on Accounting and Financial Disclosures</w:t>
              </w:r>
            </w:hyperlink>
          </w:p>
        </w:tc>
        <w:tc>
          <w:tcPr>
            <w:tcW w:w="2860" w:type="dxa"/>
            <w:vAlign w:val="bottom"/>
            <w:gridSpan w:val="3"/>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9A.</w:t>
            </w:r>
          </w:p>
        </w:tc>
        <w:tc>
          <w:tcPr>
            <w:tcW w:w="6560" w:type="dxa"/>
            <w:vAlign w:val="bottom"/>
            <w:tcBorders>
              <w:bottom w:val="single" w:sz="8" w:color="0000EE"/>
            </w:tcBorders>
            <w:gridSpan w:val="23"/>
            <w:vMerge w:val="continue"/>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1780" w:type="dxa"/>
            <w:vAlign w:val="bottom"/>
            <w:gridSpan w:val="9"/>
            <w:vMerge w:val="restart"/>
          </w:tcPr>
          <w:p>
            <w:pPr>
              <w:spacing w:after="0"/>
              <w:rPr>
                <w:rFonts w:ascii="Arial" w:cs="Arial" w:eastAsia="Arial" w:hAnsi="Arial"/>
                <w:sz w:val="18"/>
                <w:szCs w:val="18"/>
                <w:color w:val="auto"/>
                <w:w w:val="88"/>
              </w:rPr>
            </w:pPr>
            <w:hyperlink w:anchor="page96">
              <w:r>
                <w:rPr>
                  <w:rFonts w:ascii="Arial" w:cs="Arial" w:eastAsia="Arial" w:hAnsi="Arial"/>
                  <w:sz w:val="18"/>
                  <w:szCs w:val="18"/>
                  <w:color w:val="auto"/>
                  <w:w w:val="88"/>
                </w:rPr>
                <w:t>Controls and Procedures</w:t>
              </w:r>
            </w:hyperlink>
          </w:p>
        </w:tc>
        <w:tc>
          <w:tcPr>
            <w:tcW w:w="7640" w:type="dxa"/>
            <w:vAlign w:val="bottom"/>
            <w:gridSpan w:val="17"/>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9B.</w:t>
            </w:r>
          </w:p>
        </w:tc>
        <w:tc>
          <w:tcPr>
            <w:tcW w:w="1780" w:type="dxa"/>
            <w:vAlign w:val="bottom"/>
            <w:tcBorders>
              <w:bottom w:val="single" w:sz="8" w:color="0000EE"/>
            </w:tcBorders>
            <w:gridSpan w:val="9"/>
            <w:vMerge w:val="continue"/>
          </w:tcPr>
          <w:p>
            <w:pPr>
              <w:spacing w:after="0"/>
              <w:rPr>
                <w:sz w:val="11"/>
                <w:szCs w:val="11"/>
                <w:color w:val="auto"/>
              </w:rPr>
            </w:pPr>
          </w:p>
        </w:tc>
        <w:tc>
          <w:tcPr>
            <w:tcW w:w="7640" w:type="dxa"/>
            <w:vAlign w:val="bottom"/>
            <w:gridSpan w:val="17"/>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97">
              <w:r>
                <w:rPr>
                  <w:rFonts w:ascii="Arial" w:cs="Arial" w:eastAsia="Arial" w:hAnsi="Arial"/>
                  <w:sz w:val="18"/>
                  <w:szCs w:val="18"/>
                  <w:color w:val="auto"/>
                </w:rPr>
                <w:t>Other Information</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9C.</w:t>
            </w:r>
          </w:p>
        </w:tc>
        <w:tc>
          <w:tcPr>
            <w:tcW w:w="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940" w:type="dxa"/>
            <w:vAlign w:val="bottom"/>
            <w:tcBorders>
              <w:bottom w:val="single" w:sz="8" w:color="0000EE"/>
            </w:tcBorders>
            <w:gridSpan w:val="20"/>
          </w:tcPr>
          <w:p>
            <w:pPr>
              <w:spacing w:after="0" w:line="182" w:lineRule="exact"/>
              <w:rPr>
                <w:rFonts w:ascii="Arial" w:cs="Arial" w:eastAsia="Arial" w:hAnsi="Arial"/>
                <w:sz w:val="18"/>
                <w:szCs w:val="18"/>
                <w:color w:val="0000FF"/>
                <w:w w:val="91"/>
              </w:rPr>
            </w:pPr>
            <w:hyperlink w:anchor="page97">
              <w:r>
                <w:rPr>
                  <w:rFonts w:ascii="Arial" w:cs="Arial" w:eastAsia="Arial" w:hAnsi="Arial"/>
                  <w:sz w:val="18"/>
                  <w:szCs w:val="18"/>
                  <w:color w:val="0000FF"/>
                  <w:w w:val="91"/>
                </w:rPr>
                <w:t>Disclosure Regarding Foreign Jurisdictions that Prevent Inspections</w:t>
              </w:r>
            </w:hyperlink>
          </w:p>
        </w:tc>
        <w:tc>
          <w:tcPr>
            <w:tcW w:w="4480" w:type="dxa"/>
            <w:vAlign w:val="bottom"/>
            <w:gridSpan w:val="6"/>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gridSpan w:val="12"/>
          </w:tcPr>
          <w:p>
            <w:pPr>
              <w:jc w:val="center"/>
              <w:ind w:right="4480"/>
              <w:spacing w:after="0"/>
              <w:rPr>
                <w:rFonts w:ascii="Arial" w:cs="Arial" w:eastAsia="Arial" w:hAnsi="Arial"/>
                <w:sz w:val="18"/>
                <w:szCs w:val="18"/>
                <w:b w:val="1"/>
                <w:bCs w:val="1"/>
                <w:color w:val="auto"/>
              </w:rPr>
            </w:pPr>
            <w:hyperlink w:anchor="page98">
              <w:r>
                <w:rPr>
                  <w:rFonts w:ascii="Arial" w:cs="Arial" w:eastAsia="Arial" w:hAnsi="Arial"/>
                  <w:sz w:val="18"/>
                  <w:szCs w:val="18"/>
                  <w:b w:val="1"/>
                  <w:bCs w:val="1"/>
                  <w:color w:val="auto"/>
                </w:rPr>
                <w:t>PART III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10.</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vMerge w:val="continue"/>
          </w:tcPr>
          <w:p>
            <w:pPr>
              <w:spacing w:after="0"/>
              <w:rPr>
                <w:sz w:val="24"/>
                <w:szCs w:val="24"/>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98">
              <w:r>
                <w:rPr>
                  <w:rFonts w:ascii="Arial" w:cs="Arial" w:eastAsia="Arial" w:hAnsi="Arial"/>
                  <w:sz w:val="18"/>
                  <w:szCs w:val="18"/>
                  <w:color w:val="auto"/>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35"/>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11.</w:t>
            </w: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1820" w:type="dxa"/>
            <w:vAlign w:val="bottom"/>
            <w:tcBorders>
              <w:top w:val="single" w:sz="8" w:color="0000EE"/>
            </w:tcBorders>
            <w:gridSpan w:val="10"/>
            <w:vMerge w:val="restart"/>
          </w:tcPr>
          <w:p>
            <w:pPr>
              <w:spacing w:after="0"/>
              <w:rPr>
                <w:rFonts w:ascii="Arial" w:cs="Arial" w:eastAsia="Arial" w:hAnsi="Arial"/>
                <w:sz w:val="18"/>
                <w:szCs w:val="18"/>
                <w:color w:val="auto"/>
                <w:w w:val="90"/>
              </w:rPr>
            </w:pPr>
            <w:hyperlink w:anchor="page98">
              <w:r>
                <w:rPr>
                  <w:rFonts w:ascii="Arial" w:cs="Arial" w:eastAsia="Arial" w:hAnsi="Arial"/>
                  <w:sz w:val="18"/>
                  <w:szCs w:val="18"/>
                  <w:color w:val="auto"/>
                  <w:w w:val="90"/>
                </w:rPr>
                <w:t>Executive Compensation</w:t>
              </w:r>
            </w:hyperlink>
          </w:p>
        </w:tc>
        <w:tc>
          <w:tcPr>
            <w:tcW w:w="2280" w:type="dxa"/>
            <w:vAlign w:val="bottom"/>
            <w:tcBorders>
              <w:top w:val="single" w:sz="8" w:color="0000EE"/>
            </w:tcBorders>
            <w:gridSpan w:val="6"/>
            <w:vMerge w:val="restart"/>
          </w:tcPr>
          <w:p>
            <w:pPr>
              <w:spacing w:after="0"/>
              <w:rPr>
                <w:sz w:val="19"/>
                <w:szCs w:val="19"/>
                <w:color w:val="auto"/>
              </w:rPr>
            </w:pPr>
          </w:p>
        </w:tc>
        <w:tc>
          <w:tcPr>
            <w:tcW w:w="5320" w:type="dxa"/>
            <w:vAlign w:val="bottom"/>
            <w:gridSpan w:val="10"/>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12.</w:t>
            </w:r>
          </w:p>
        </w:tc>
        <w:tc>
          <w:tcPr>
            <w:tcW w:w="1820" w:type="dxa"/>
            <w:vAlign w:val="bottom"/>
            <w:tcBorders>
              <w:bottom w:val="single" w:sz="8" w:color="0000EE"/>
            </w:tcBorders>
            <w:gridSpan w:val="10"/>
            <w:vMerge w:val="continue"/>
          </w:tcPr>
          <w:p>
            <w:pPr>
              <w:spacing w:after="0"/>
              <w:rPr>
                <w:sz w:val="11"/>
                <w:szCs w:val="11"/>
                <w:color w:val="auto"/>
              </w:rPr>
            </w:pPr>
          </w:p>
        </w:tc>
        <w:tc>
          <w:tcPr>
            <w:tcW w:w="2280" w:type="dxa"/>
            <w:vAlign w:val="bottom"/>
            <w:gridSpan w:val="6"/>
            <w:vMerge w:val="continue"/>
          </w:tcPr>
          <w:p>
            <w:pPr>
              <w:spacing w:after="0"/>
              <w:rPr>
                <w:sz w:val="11"/>
                <w:szCs w:val="11"/>
                <w:color w:val="auto"/>
              </w:rPr>
            </w:pPr>
          </w:p>
        </w:tc>
        <w:tc>
          <w:tcPr>
            <w:tcW w:w="5320" w:type="dxa"/>
            <w:vAlign w:val="bottom"/>
            <w:gridSpan w:val="10"/>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7300" w:type="dxa"/>
            <w:vAlign w:val="bottom"/>
            <w:gridSpan w:val="24"/>
            <w:vMerge w:val="restart"/>
          </w:tcPr>
          <w:p>
            <w:pPr>
              <w:spacing w:after="0"/>
              <w:rPr>
                <w:rFonts w:ascii="Arial" w:cs="Arial" w:eastAsia="Arial" w:hAnsi="Arial"/>
                <w:sz w:val="18"/>
                <w:szCs w:val="18"/>
                <w:color w:val="auto"/>
                <w:w w:val="90"/>
              </w:rPr>
            </w:pPr>
            <w:hyperlink w:anchor="page98">
              <w:r>
                <w:rPr>
                  <w:rFonts w:ascii="Arial" w:cs="Arial" w:eastAsia="Arial" w:hAnsi="Arial"/>
                  <w:sz w:val="18"/>
                  <w:szCs w:val="18"/>
                  <w:color w:val="auto"/>
                  <w:w w:val="90"/>
                </w:rPr>
                <w:t>Security Ownership of Certain Beneficial Owners and Management and Related Stockholder Matters</w:t>
              </w:r>
            </w:hyperlink>
          </w:p>
        </w:tc>
        <w:tc>
          <w:tcPr>
            <w:tcW w:w="2120" w:type="dxa"/>
            <w:vAlign w:val="bottom"/>
            <w:gridSpan w:val="2"/>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13.</w:t>
            </w:r>
          </w:p>
        </w:tc>
        <w:tc>
          <w:tcPr>
            <w:tcW w:w="7300" w:type="dxa"/>
            <w:vAlign w:val="bottom"/>
            <w:tcBorders>
              <w:bottom w:val="single" w:sz="8" w:color="0000EE"/>
            </w:tcBorders>
            <w:gridSpan w:val="24"/>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460" w:type="dxa"/>
            <w:vAlign w:val="bottom"/>
            <w:gridSpan w:val="21"/>
            <w:vMerge w:val="restart"/>
          </w:tcPr>
          <w:p>
            <w:pPr>
              <w:spacing w:after="0"/>
              <w:rPr>
                <w:rFonts w:ascii="Arial" w:cs="Arial" w:eastAsia="Arial" w:hAnsi="Arial"/>
                <w:sz w:val="18"/>
                <w:szCs w:val="18"/>
                <w:color w:val="auto"/>
                <w:w w:val="89"/>
              </w:rPr>
            </w:pPr>
            <w:hyperlink w:anchor="page98">
              <w:r>
                <w:rPr>
                  <w:rFonts w:ascii="Arial" w:cs="Arial" w:eastAsia="Arial" w:hAnsi="Arial"/>
                  <w:sz w:val="18"/>
                  <w:szCs w:val="18"/>
                  <w:color w:val="auto"/>
                  <w:w w:val="89"/>
                </w:rPr>
                <w:t>Certain Relationships and Related Transactions, and Director Independence</w:t>
              </w:r>
            </w:hyperlink>
          </w:p>
        </w:tc>
        <w:tc>
          <w:tcPr>
            <w:tcW w:w="3960" w:type="dxa"/>
            <w:vAlign w:val="bottom"/>
            <w:gridSpan w:val="5"/>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4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14.</w:t>
            </w:r>
          </w:p>
        </w:tc>
        <w:tc>
          <w:tcPr>
            <w:tcW w:w="5460" w:type="dxa"/>
            <w:vAlign w:val="bottom"/>
            <w:tcBorders>
              <w:bottom w:val="single" w:sz="8" w:color="0000EE"/>
            </w:tcBorders>
            <w:gridSpan w:val="21"/>
            <w:vMerge w:val="continue"/>
          </w:tcPr>
          <w:p>
            <w:pPr>
              <w:spacing w:after="0"/>
              <w:rPr>
                <w:sz w:val="11"/>
                <w:szCs w:val="11"/>
                <w:color w:val="auto"/>
              </w:rPr>
            </w:pPr>
          </w:p>
        </w:tc>
        <w:tc>
          <w:tcPr>
            <w:tcW w:w="3960" w:type="dxa"/>
            <w:vAlign w:val="bottom"/>
            <w:gridSpan w:val="5"/>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9420" w:type="dxa"/>
            <w:vAlign w:val="bottom"/>
            <w:gridSpan w:val="26"/>
            <w:vMerge w:val="restart"/>
          </w:tcPr>
          <w:p>
            <w:pPr>
              <w:spacing w:after="0"/>
              <w:rPr>
                <w:rFonts w:ascii="Arial" w:cs="Arial" w:eastAsia="Arial" w:hAnsi="Arial"/>
                <w:sz w:val="18"/>
                <w:szCs w:val="18"/>
                <w:color w:val="auto"/>
              </w:rPr>
            </w:pPr>
            <w:hyperlink w:anchor="page98">
              <w:r>
                <w:rPr>
                  <w:rFonts w:ascii="Arial" w:cs="Arial" w:eastAsia="Arial" w:hAnsi="Arial"/>
                  <w:sz w:val="18"/>
                  <w:szCs w:val="18"/>
                  <w:color w:val="auto"/>
                </w:rPr>
                <w:t>Principal Accounting Fees and Services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rFonts w:ascii="Arial" w:cs="Arial" w:eastAsia="Arial" w:hAnsi="Arial"/>
                <w:sz w:val="18"/>
                <w:szCs w:val="18"/>
                <w:b w:val="1"/>
                <w:bCs w:val="1"/>
                <w:color w:val="auto"/>
                <w:w w:val="92"/>
              </w:rPr>
            </w:pPr>
            <w:hyperlink w:anchor="page99">
              <w:r>
                <w:rPr>
                  <w:rFonts w:ascii="Arial" w:cs="Arial" w:eastAsia="Arial" w:hAnsi="Arial"/>
                  <w:sz w:val="18"/>
                  <w:szCs w:val="18"/>
                  <w:b w:val="1"/>
                  <w:bCs w:val="1"/>
                  <w:color w:val="auto"/>
                  <w:w w:val="92"/>
                </w:rPr>
                <w:t>PART IV</w:t>
              </w:r>
            </w:hyperlink>
          </w:p>
        </w:tc>
        <w:tc>
          <w:tcPr>
            <w:tcW w:w="49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26"/>
            <w:vMerge w:val="restart"/>
          </w:tcPr>
          <w:p>
            <w:pPr>
              <w:spacing w:after="0"/>
              <w:rPr>
                <w:rFonts w:ascii="Arial" w:cs="Arial" w:eastAsia="Arial" w:hAnsi="Arial"/>
                <w:sz w:val="18"/>
                <w:szCs w:val="18"/>
                <w:color w:val="auto"/>
              </w:rPr>
            </w:pPr>
            <w:hyperlink w:anchor="page99">
              <w:r>
                <w:rPr>
                  <w:rFonts w:ascii="Arial" w:cs="Arial" w:eastAsia="Arial" w:hAnsi="Arial"/>
                  <w:sz w:val="18"/>
                  <w:szCs w:val="18"/>
                  <w:color w:val="auto"/>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35"/>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16.</w:t>
            </w:r>
          </w:p>
        </w:tc>
        <w:tc>
          <w:tcPr>
            <w:tcW w:w="9420" w:type="dxa"/>
            <w:vAlign w:val="bottom"/>
            <w:gridSpan w:val="26"/>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2900" w:type="dxa"/>
            <w:vAlign w:val="bottom"/>
            <w:tcBorders>
              <w:top w:val="single" w:sz="8" w:color="0000EE"/>
            </w:tcBorders>
            <w:gridSpan w:val="13"/>
            <w:vMerge w:val="restart"/>
          </w:tcPr>
          <w:p>
            <w:pPr>
              <w:spacing w:after="0"/>
              <w:rPr>
                <w:rFonts w:ascii="Arial" w:cs="Arial" w:eastAsia="Arial" w:hAnsi="Arial"/>
                <w:sz w:val="18"/>
                <w:szCs w:val="18"/>
                <w:color w:val="auto"/>
              </w:rPr>
            </w:pPr>
            <w:hyperlink w:anchor="page99">
              <w:r>
                <w:rPr>
                  <w:rFonts w:ascii="Arial" w:cs="Arial" w:eastAsia="Arial" w:hAnsi="Arial"/>
                  <w:sz w:val="18"/>
                  <w:szCs w:val="18"/>
                  <w:color w:val="auto"/>
                </w:rPr>
                <w:t>10-K Summary</w:t>
              </w:r>
            </w:hyperlink>
          </w:p>
        </w:tc>
        <w:tc>
          <w:tcPr>
            <w:tcW w:w="6520" w:type="dxa"/>
            <w:vAlign w:val="bottom"/>
            <w:gridSpan w:val="13"/>
            <w:vMerge w:val="restart"/>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900" w:type="dxa"/>
            <w:vAlign w:val="bottom"/>
            <w:gridSpan w:val="13"/>
            <w:vMerge w:val="continue"/>
          </w:tcPr>
          <w:p>
            <w:pPr>
              <w:spacing w:after="0"/>
              <w:rPr>
                <w:sz w:val="11"/>
                <w:szCs w:val="11"/>
                <w:color w:val="auto"/>
              </w:rPr>
            </w:pPr>
          </w:p>
        </w:tc>
        <w:tc>
          <w:tcPr>
            <w:tcW w:w="6520" w:type="dxa"/>
            <w:vAlign w:val="bottom"/>
            <w:gridSpan w:val="1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20" w:type="dxa"/>
            <w:vAlign w:val="bottom"/>
            <w:tcBorders>
              <w:bottom w:val="single" w:sz="8" w:color="0000EE"/>
            </w:tcBorders>
          </w:tcPr>
          <w:p>
            <w:pPr>
              <w:spacing w:after="0" w:line="182" w:lineRule="exact"/>
              <w:rPr>
                <w:rFonts w:ascii="Arial" w:cs="Arial" w:eastAsia="Arial" w:hAnsi="Arial"/>
                <w:sz w:val="18"/>
                <w:szCs w:val="18"/>
                <w:color w:val="auto"/>
                <w:w w:val="85"/>
              </w:rPr>
            </w:pPr>
            <w:hyperlink w:anchor="page103">
              <w:r>
                <w:rPr>
                  <w:rFonts w:ascii="Arial" w:cs="Arial" w:eastAsia="Arial" w:hAnsi="Arial"/>
                  <w:sz w:val="18"/>
                  <w:szCs w:val="18"/>
                  <w:color w:val="auto"/>
                  <w:w w:val="85"/>
                </w:rPr>
                <w:t>SIGNATURES</w:t>
              </w:r>
            </w:hyperlink>
          </w:p>
        </w:tc>
        <w:tc>
          <w:tcPr>
            <w:tcW w:w="80" w:type="dxa"/>
            <w:vAlign w:val="bottom"/>
            <w:tcBorders>
              <w:top w:val="single" w:sz="8" w:color="0000EE"/>
              <w:bottom w:val="single" w:sz="8" w:color="0000EE"/>
            </w:tcBorders>
          </w:tcPr>
          <w:p>
            <w:pPr>
              <w:spacing w:after="0"/>
              <w:rPr>
                <w:sz w:val="15"/>
                <w:szCs w:val="15"/>
                <w:color w:val="auto"/>
              </w:rPr>
            </w:pPr>
          </w:p>
        </w:tc>
        <w:tc>
          <w:tcPr>
            <w:tcW w:w="1040" w:type="dxa"/>
            <w:vAlign w:val="bottom"/>
            <w:tcBorders>
              <w:top w:val="single" w:sz="8" w:color="0000EE"/>
            </w:tcBorders>
            <w:gridSpan w:val="5"/>
          </w:tcPr>
          <w:p>
            <w:pPr>
              <w:spacing w:after="0"/>
              <w:rPr>
                <w:sz w:val="15"/>
                <w:szCs w:val="15"/>
                <w:color w:val="auto"/>
              </w:rPr>
            </w:pPr>
          </w:p>
        </w:tc>
        <w:tc>
          <w:tcPr>
            <w:tcW w:w="830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55"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03" w:lineRule="exact"/>
        <w:rPr>
          <w:rFonts w:ascii="Arial" w:cs="Arial" w:eastAsia="Arial" w:hAnsi="Arial"/>
          <w:sz w:val="18"/>
          <w:szCs w:val="18"/>
          <w:color w:val="auto"/>
        </w:rPr>
      </w:pPr>
    </w:p>
    <w:p>
      <w:pPr>
        <w:ind w:left="1020" w:right="320" w:hanging="503"/>
        <w:spacing w:after="0" w:line="291"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1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81"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47"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2"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In this Annual Report on Form 10-K, the terms “HubSpot,” “we,” “us,” and “our” refer to HubSpot,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Risk Factor Summary</w:t>
      </w:r>
    </w:p>
    <w:p>
      <w:pPr>
        <w:spacing w:after="0" w:line="108" w:lineRule="exact"/>
        <w:rPr>
          <w:sz w:val="20"/>
          <w:szCs w:val="20"/>
          <w:color w:val="auto"/>
        </w:rPr>
      </w:pPr>
    </w:p>
    <w:p>
      <w:pPr>
        <w:jc w:val="both"/>
        <w:ind w:right="200" w:firstLine="509"/>
        <w:spacing w:after="0" w:line="294" w:lineRule="auto"/>
        <w:rPr>
          <w:sz w:val="20"/>
          <w:szCs w:val="20"/>
          <w:color w:val="auto"/>
        </w:rPr>
      </w:pPr>
      <w:r>
        <w:rPr>
          <w:rFonts w:ascii="Arial" w:cs="Arial" w:eastAsia="Arial" w:hAnsi="Arial"/>
          <w:sz w:val="16"/>
          <w:szCs w:val="16"/>
          <w:i w:val="1"/>
          <w:iCs w:val="1"/>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39" w:lineRule="exact"/>
        <w:rPr>
          <w:sz w:val="20"/>
          <w:szCs w:val="20"/>
          <w:color w:val="auto"/>
        </w:rPr>
      </w:pPr>
    </w:p>
    <w:p>
      <w:pPr>
        <w:ind w:left="7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spacing w:after="0" w:line="62" w:lineRule="exact"/>
        <w:rPr>
          <w:rFonts w:ascii="Arial" w:cs="Arial" w:eastAsia="Arial" w:hAnsi="Arial"/>
          <w:sz w:val="18"/>
          <w:szCs w:val="18"/>
          <w:color w:val="auto"/>
        </w:rPr>
      </w:pPr>
    </w:p>
    <w:p>
      <w:pPr>
        <w:ind w:left="760" w:right="12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3"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62" w:lineRule="exact"/>
        <w:rPr>
          <w:rFonts w:ascii="Arial" w:cs="Arial" w:eastAsia="Arial" w:hAnsi="Arial"/>
          <w:sz w:val="18"/>
          <w:szCs w:val="18"/>
          <w:color w:val="auto"/>
        </w:rPr>
      </w:pPr>
    </w:p>
    <w:p>
      <w:pPr>
        <w:ind w:left="760" w:right="6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spacing w:after="0" w:line="62" w:lineRule="exact"/>
        <w:rPr>
          <w:rFonts w:ascii="Arial" w:cs="Arial" w:eastAsia="Arial" w:hAnsi="Arial"/>
          <w:sz w:val="18"/>
          <w:szCs w:val="18"/>
          <w:color w:val="auto"/>
        </w:rPr>
      </w:pPr>
    </w:p>
    <w:p>
      <w:pPr>
        <w:ind w:left="760" w:right="100" w:hanging="378"/>
        <w:spacing w:after="0" w:line="32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6" w:lineRule="exact"/>
        <w:rPr>
          <w:rFonts w:ascii="Arial" w:cs="Arial" w:eastAsia="Arial" w:hAnsi="Arial"/>
          <w:sz w:val="16"/>
          <w:szCs w:val="16"/>
          <w:color w:val="auto"/>
        </w:rPr>
      </w:pPr>
    </w:p>
    <w:p>
      <w:pPr>
        <w:ind w:left="760" w:right="260" w:hanging="378"/>
        <w:spacing w:after="0" w:line="32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6" w:lineRule="exact"/>
        <w:rPr>
          <w:rFonts w:ascii="Arial" w:cs="Arial" w:eastAsia="Arial" w:hAnsi="Arial"/>
          <w:sz w:val="16"/>
          <w:szCs w:val="16"/>
          <w:color w:val="auto"/>
        </w:rPr>
      </w:pPr>
    </w:p>
    <w:p>
      <w:pPr>
        <w:ind w:left="760" w:right="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62" w:lineRule="exact"/>
        <w:rPr>
          <w:rFonts w:ascii="Arial" w:cs="Arial" w:eastAsia="Arial" w:hAnsi="Arial"/>
          <w:sz w:val="18"/>
          <w:szCs w:val="18"/>
          <w:color w:val="auto"/>
        </w:rPr>
      </w:pPr>
    </w:p>
    <w:p>
      <w:pPr>
        <w:ind w:left="760" w:right="32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103"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rFonts w:ascii="Arial" w:cs="Arial" w:eastAsia="Arial" w:hAnsi="Arial"/>
          <w:sz w:val="18"/>
          <w:szCs w:val="18"/>
          <w:color w:val="auto"/>
        </w:rPr>
      </w:pPr>
    </w:p>
    <w:p>
      <w:pPr>
        <w:ind w:left="760" w:right="6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in the future may be limited, and our failure to raise capital when needed could prevent us from growing.</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2" w:right="4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help scaling companies deliver a delightful customer experience through our cloud-based customer relationship management (“CRM”) Platform. Our CRM Platform includes marketing, sales, service, operations and a content management system, (“CMS”), as well as other tools, integrations and a native payment solution, that enable companies to attract, engage, and delight customers throughout the customer experience. Additionally, we provide education, services and support to help customers be successful with our CRM Platform.</w:t>
      </w:r>
    </w:p>
    <w:p>
      <w:pPr>
        <w:spacing w:after="0" w:line="17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focus on selling to mid-market business-to-business (“B2B”) companies, which we define as companies that have between 2 and 2,000 employees. We sell our CRM Platform on a subscription basis. In 2021, our total revenue was $1.3 billion and we incurred a net loss of $77.8 million. As of December 31, 2021, we had 5,895 full-time employees and 135,442 Customers, as defined in our Key Business Metrics in Item 7, of varying sizes in more than 120 countries.</w:t>
      </w:r>
    </w:p>
    <w:p>
      <w:pPr>
        <w:spacing w:after="0" w:line="147"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Our company was formed as a limited liability company in Delaware on April 4, 2005. We converted to a Delaware corporation on June 7, 2007. Our principal executive offices are located at 25 First Street,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HubSpot Approach</w:t>
      </w:r>
    </w:p>
    <w:p>
      <w:pPr>
        <w:spacing w:after="0" w:line="17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Our CRM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spacing w:after="0" w:line="14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b w:val="1"/>
          <w:bCs w:val="1"/>
          <w:i w:val="1"/>
          <w:iCs w:val="1"/>
          <w:color w:val="auto"/>
        </w:rPr>
        <w:t xml:space="preserve">Designed to Help Companies Grow Better. </w:t>
      </w:r>
      <w:r>
        <w:rPr>
          <w:rFonts w:ascii="Arial" w:cs="Arial" w:eastAsia="Arial" w:hAnsi="Arial"/>
          <w:sz w:val="18"/>
          <w:szCs w:val="18"/>
          <w:color w:val="auto"/>
        </w:rPr>
        <w:t>Our CRM Platform was architected from the ground up to enable businesses to transform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services, operations and content management playbook to meet the demands of customers today. Our CRM Platform includes both a system of record for maintaining a unified view of the customer experience and a system of engagement for efficiently engaging customers through search engine optimization (“SEO”), web content, social, blogging, email, marketing automation, messaging, support ticketing, knowledge base, commerce, conversation routing, video hosting, and more.</w:t>
      </w:r>
    </w:p>
    <w:p>
      <w:pPr>
        <w:spacing w:after="0" w:line="162" w:lineRule="exact"/>
        <w:rPr>
          <w:sz w:val="20"/>
          <w:szCs w:val="20"/>
          <w:color w:val="auto"/>
        </w:rPr>
      </w:pPr>
    </w:p>
    <w:p>
      <w:pPr>
        <w:jc w:val="both"/>
        <w:ind w:right="60" w:firstLine="509"/>
        <w:spacing w:after="0" w:line="241" w:lineRule="auto"/>
        <w:rPr>
          <w:sz w:val="20"/>
          <w:szCs w:val="20"/>
          <w:color w:val="auto"/>
        </w:rPr>
      </w:pPr>
      <w:r>
        <w:rPr>
          <w:rFonts w:ascii="Arial" w:cs="Arial" w:eastAsia="Arial" w:hAnsi="Arial"/>
          <w:sz w:val="18"/>
          <w:szCs w:val="18"/>
          <w:b w:val="1"/>
          <w:bCs w:val="1"/>
          <w:i w:val="1"/>
          <w:iCs w:val="1"/>
          <w:color w:val="auto"/>
        </w:rPr>
        <w:t xml:space="preserve">Ease of Use of a Single, Extensible Platform. </w:t>
      </w:r>
      <w:r>
        <w:rPr>
          <w:rFonts w:ascii="Arial" w:cs="Arial" w:eastAsia="Arial" w:hAnsi="Arial"/>
          <w:sz w:val="18"/>
          <w:szCs w:val="18"/>
          <w:color w:val="auto"/>
        </w:rPr>
        <w:t>We provide a set of integrated applications on a common platform, which offers businesses 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and simplicity. Our CRM Platform has one login, one user interface, one database, and one team for support. Our CRM Platform starts free and grows with our customers. It is designed to scale its power and technical sophistication without losing its ease-of-use. In addition to being a comprehensive suite itself, our CRM Platform seamlessly integrates with hundreds of external applications, making it easy to extend the functionality of our CRM Platform and customize it for any business.</w:t>
      </w:r>
    </w:p>
    <w:p>
      <w:pPr>
        <w:spacing w:after="0" w:line="149" w:lineRule="exact"/>
        <w:rPr>
          <w:sz w:val="20"/>
          <w:szCs w:val="20"/>
          <w:color w:val="auto"/>
        </w:rPr>
      </w:pPr>
    </w:p>
    <w:p>
      <w:pPr>
        <w:ind w:right="560" w:firstLine="509"/>
        <w:spacing w:after="0" w:line="262" w:lineRule="auto"/>
        <w:rPr>
          <w:sz w:val="20"/>
          <w:szCs w:val="20"/>
          <w:color w:val="auto"/>
        </w:rPr>
      </w:pPr>
      <w:r>
        <w:rPr>
          <w:rFonts w:ascii="Arial" w:cs="Arial" w:eastAsia="Arial" w:hAnsi="Arial"/>
          <w:sz w:val="17"/>
          <w:szCs w:val="17"/>
          <w:b w:val="1"/>
          <w:bCs w:val="1"/>
          <w:i w:val="1"/>
          <w:iCs w:val="1"/>
          <w:color w:val="auto"/>
        </w:rPr>
        <w:t xml:space="preserve">Power of a Unified Customer View. </w:t>
      </w:r>
      <w:r>
        <w:rPr>
          <w:rFonts w:ascii="Arial" w:cs="Arial" w:eastAsia="Arial" w:hAnsi="Arial"/>
          <w:sz w:val="17"/>
          <w:szCs w:val="17"/>
          <w:color w:val="auto"/>
        </w:rPr>
        <w:t>At the core of our CRM Platform is a single CRM database for each business that captures its lead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activity throughout the customer lifecycle. Our CRM Platform creates a unified timeline incorporating all the interactions with a particular customer. In contrast to many CRM suites which are cobbled together, we have crafted a set of core functionalities, including reporting, content, messaging, data, and automation, which runs across our product lines, which we refer to as Hubs.</w:t>
      </w:r>
    </w:p>
    <w:p>
      <w:pPr>
        <w:spacing w:after="0" w:line="13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CRM Platform was designed and built to serve a large number of customers with demanding use cases. Our CRM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processes billions of data points each week, and we use leading global cloud infrastructure providers and our own automation technology to dynamically allocate capacity to handle processing workloads of all sizes. We have built our CRM Platform on modern, scalable distributed technologies. We built the infrastructure to support hundreds of microservices and can easily add new features and capabilities to the CRM Platform. We utilize a variety of open-source distributed systems including HBase, Kafka, Vitess, and Elasticsearch to scale our data collection and processing. Our scalability gives us flexibility for future growth and enables us to service a large variety of businesses of different sizes across different industries.</w:t>
      </w:r>
    </w:p>
    <w:p>
      <w:pPr>
        <w:spacing w:after="0" w:line="13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b w:val="1"/>
          <w:bCs w:val="1"/>
          <w:i w:val="1"/>
          <w:iCs w:val="1"/>
          <w:color w:val="auto"/>
        </w:rPr>
        <w:t xml:space="preserve">Extensible and Open Architecture. </w:t>
      </w:r>
      <w:r>
        <w:rPr>
          <w:rFonts w:ascii="Arial" w:cs="Arial" w:eastAsia="Arial" w:hAnsi="Arial"/>
          <w:sz w:val="18"/>
          <w:szCs w:val="18"/>
          <w:color w:val="auto"/>
        </w:rPr>
        <w:t>Our CRM Platform features a variety of open application programming interfaces (“APIs”) that allows easy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 of our platform with other applications. We enable our customers to connect our platform to their other applications, such as ecommerce, event management and videoconferencing applications. By connecting third-party applications, our customers can leverage our centralized inbound database to perform additional functions and analysis.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Competitive Strengths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market leadership position is based on the following key strengths:</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b w:val="1"/>
          <w:bCs w:val="1"/>
          <w:i w:val="1"/>
          <w:iCs w:val="1"/>
          <w:color w:val="auto"/>
        </w:rPr>
        <w:t xml:space="preserve">Leading Platform. </w:t>
      </w:r>
      <w:r>
        <w:rPr>
          <w:rFonts w:ascii="Arial" w:cs="Arial" w:eastAsia="Arial" w:hAnsi="Arial"/>
          <w:sz w:val="18"/>
          <w:szCs w:val="18"/>
          <w:color w:val="auto"/>
        </w:rPr>
        <w:t>We have designed and built a world-class CRM Platform. We believe our customers choose our CRM Platform over others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its powerful, integrated, and easy-to-use applications. We built HubSpot on a single, unified, and intuitive platform, which we believe contrasts positively with many other CRM suites.</w:t>
      </w:r>
    </w:p>
    <w:p>
      <w:pPr>
        <w:spacing w:after="0" w:line="14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b w:val="1"/>
          <w:bCs w:val="1"/>
          <w:i w:val="1"/>
          <w:iCs w:val="1"/>
          <w:color w:val="auto"/>
        </w:rPr>
        <w:t xml:space="preserve">Market Leadership and Strong Brand. </w:t>
      </w:r>
      <w:r>
        <w:rPr>
          <w:rFonts w:ascii="Arial" w:cs="Arial" w:eastAsia="Arial" w:hAnsi="Arial"/>
          <w:sz w:val="17"/>
          <w:szCs w:val="17"/>
          <w:color w:val="auto"/>
        </w:rPr>
        <w:t>We are a recognized thought leader in the cloud-based marketing, sales, customer service, operations,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management software industry with a leading brand. Our founders, Brian Halligan and Dharmesh Shah, wrote the best-selling marketing book Inbound Marketing: Get Found Using Google, Social Media and Blogs. Our marketing, sales, service, operations, and content management experience attracts, engages, and delights customers by being more relevant, more helpful, more personalized, and less interruptive than traditional marketing and sales tactics. Our INBOUND event is one of the largest inbound industry conference events with in-person registered attendance increasing from 1,100 in 2011 to over 26,000 in 2019. Since 2020, we have held our INBOUND event as a virtual-only experience due to the COVID-19 pandemic. We had more than 70,000 registered attendees in 2020 and over 59,000 in 2021.</w:t>
      </w:r>
    </w:p>
    <w:p>
      <w:pPr>
        <w:spacing w:after="0" w:line="153"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b w:val="1"/>
          <w:bCs w:val="1"/>
          <w:i w:val="1"/>
          <w:iCs w:val="1"/>
          <w:color w:val="auto"/>
        </w:rPr>
        <w:t xml:space="preserve">Large and Growing Solutions Partner Program. </w:t>
      </w:r>
      <w:r>
        <w:rPr>
          <w:rFonts w:ascii="Arial" w:cs="Arial" w:eastAsia="Arial" w:hAnsi="Arial"/>
          <w:sz w:val="16"/>
          <w:szCs w:val="16"/>
          <w:color w:val="212529"/>
        </w:rPr>
        <w:t>A Solutions Partner is a service provider that helps businesses with strategy, execution,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12529"/>
        </w:rPr>
        <w:t xml:space="preserve">implementation of go-to-market activities and technology solutions. </w:t>
      </w:r>
      <w:r>
        <w:rPr>
          <w:rFonts w:ascii="Arial" w:cs="Arial" w:eastAsia="Arial" w:hAnsi="Arial"/>
          <w:sz w:val="16"/>
          <w:szCs w:val="16"/>
          <w:color w:val="000000"/>
        </w:rPr>
        <w:t>Our Solutions Partners promote our brand and offer our CRM Platform to their clients.</w:t>
      </w:r>
      <w:r>
        <w:rPr>
          <w:rFonts w:ascii="Arial" w:cs="Arial" w:eastAsia="Arial" w:hAnsi="Arial"/>
          <w:sz w:val="16"/>
          <w:szCs w:val="16"/>
          <w:color w:val="212529"/>
        </w:rPr>
        <w:t xml:space="preserve"> </w:t>
      </w:r>
      <w:r>
        <w:rPr>
          <w:rFonts w:ascii="Arial" w:cs="Arial" w:eastAsia="Arial" w:hAnsi="Arial"/>
          <w:sz w:val="16"/>
          <w:szCs w:val="16"/>
          <w:color w:val="000000"/>
        </w:rPr>
        <w:t>Solutions Partners and customers referred to us by our Solutions Partners represented approximately 34% of our Customers as of December 31, 2021, and approximately 44% of our revenue for the year ended December 31, 2021. These Solutions Partners help us to promote the vision of the inbound experience, efficiently reach new mid-market businesses at scale, and provide our mutual customers with more diverse and higher-touch services.</w:t>
      </w:r>
    </w:p>
    <w:p>
      <w:pPr>
        <w:spacing w:after="0" w:line="119"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b w:val="1"/>
          <w:bCs w:val="1"/>
          <w:i w:val="1"/>
          <w:iCs w:val="1"/>
          <w:color w:val="auto"/>
        </w:rPr>
        <w:t xml:space="preserve">Freemium Pricing Strategy. </w:t>
      </w:r>
      <w:r>
        <w:rPr>
          <w:rFonts w:ascii="Arial" w:cs="Arial" w:eastAsia="Arial" w:hAnsi="Arial"/>
          <w:sz w:val="18"/>
          <w:szCs w:val="18"/>
          <w:color w:val="auto"/>
        </w:rPr>
        <w:t>Our freemium model attracts customers who begin using our CRM Platform through our free products and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upgrade to our paid Hubs. Through our freemium products, our customers are able to receive value from HubSpot before converting to a paid product or engaging with sales.</w:t>
      </w:r>
    </w:p>
    <w:p>
      <w:pPr>
        <w:spacing w:after="0" w:line="14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b w:val="1"/>
          <w:bCs w:val="1"/>
          <w:i w:val="1"/>
          <w:iCs w:val="1"/>
          <w:color w:val="auto"/>
        </w:rPr>
        <w:t xml:space="preserve">Mid-Market Focus. </w:t>
      </w:r>
      <w:r>
        <w:rPr>
          <w:rFonts w:ascii="Arial" w:cs="Arial" w:eastAsia="Arial" w:hAnsi="Arial"/>
          <w:sz w:val="18"/>
          <w:szCs w:val="18"/>
          <w:color w:val="auto"/>
        </w:rPr>
        <w:t>We believe we have significant competitive advantages reaching mid-market businesses and efficiently reach this market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as a result of our inbound methodology, freemium pricing strategy, and our Solutions Partner channel.</w:t>
      </w:r>
    </w:p>
    <w:p>
      <w:pPr>
        <w:spacing w:after="0" w:line="14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We have built a large and growing ecosystem around our CRM Platform and company. Tens of thousands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integrate third-party applications with our CRM Platform. We believe this ecosystem drives more businesses and professionals to embrace the inbound playbook. As our engaged audience grows, more Solutions Partners collaborate with us, more third-party developers integrate their applications with our CRM Platform, and more professionals complete our certification programs, all of which help to drive more businesses to adopt our CRM Platform.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elements to our growth strategy are:</w:t>
      </w:r>
    </w:p>
    <w:p>
      <w:pPr>
        <w:spacing w:after="0" w:line="18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b w:val="1"/>
          <w:bCs w:val="1"/>
          <w:i w:val="1"/>
          <w:iCs w:val="1"/>
          <w:color w:val="auto"/>
        </w:rPr>
        <w:t xml:space="preserve">Grow Our Customer Base. </w:t>
      </w:r>
      <w:r>
        <w:rPr>
          <w:rFonts w:ascii="Arial" w:cs="Arial" w:eastAsia="Arial" w:hAnsi="Arial"/>
          <w:sz w:val="18"/>
          <w:szCs w:val="18"/>
          <w:color w:val="auto"/>
        </w:rPr>
        <w:t>The market for our CRM Platform is large and underserved. Mid-market businesses are particularly underserved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point application vendors and often lack sufficient resources to implement complex solutions. Our all-in-one CRM Platform allows mid-market businesses to efficiently adopt and execute an effective inbound marketing, sales, customer service, operations, and content management strategy to help them expand and grow. We will continue to leverage our inbound go-to-market approach, freemium pricing strategy and our network of Solutions Partners to keep growing our business.</w:t>
      </w:r>
    </w:p>
    <w:p>
      <w:pPr>
        <w:spacing w:after="0" w:line="149"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b w:val="1"/>
          <w:bCs w:val="1"/>
          <w:i w:val="1"/>
          <w:iCs w:val="1"/>
          <w:color w:val="auto"/>
        </w:rPr>
        <w:t xml:space="preserve">Increase Revenue from Existing Customers. </w:t>
      </w:r>
      <w:r>
        <w:rPr>
          <w:rFonts w:ascii="Arial" w:cs="Arial" w:eastAsia="Arial" w:hAnsi="Arial"/>
          <w:sz w:val="17"/>
          <w:szCs w:val="17"/>
          <w:color w:val="auto"/>
        </w:rPr>
        <w:t>With 135,442 Customers in more than 120 countries spanning many industries, we believe we have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opportunity to increase revenue from our existing customers. We plan to increase revenue from our existing customers by expanding their use of our CRM Platform by upselling additional offerings and features, including our end-to-end payment solution, adding additional users, and cross-selling our marketing, sales, service, operations, and content management products to existing customers through touchless or low touch in-product purchases. Our scalable pricing model allows us to capture more spend as our customers grow, increase the number of their customers and prospects managed on our CRM Platform, and offer additional functionality available from our higher price tiers and add-ons, providing us with a substantial opportunity to increase the lifetime value of our customer relationships.</w:t>
      </w:r>
    </w:p>
    <w:p>
      <w:pPr>
        <w:spacing w:after="0" w:line="1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b w:val="1"/>
          <w:bCs w:val="1"/>
          <w:i w:val="1"/>
          <w:iCs w:val="1"/>
          <w:color w:val="auto"/>
        </w:rPr>
        <w:t xml:space="preserve">Keep Expanding Internationally. </w:t>
      </w:r>
      <w:r>
        <w:rPr>
          <w:rFonts w:ascii="Arial" w:cs="Arial" w:eastAsia="Arial" w:hAnsi="Arial"/>
          <w:sz w:val="18"/>
          <w:szCs w:val="18"/>
          <w:color w:val="auto"/>
        </w:rPr>
        <w:t>There is a significant opportunity for our CRM Platform outside of the United States. As of December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52% of our Customers were located outside of the United States and these Customers generated approximately 46% of our total revenue for the year ended December 31, 2021.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Solutions Partner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 w:name="page8"/>
    <w:bookmarkEnd w:id="7"/>
    <w:p>
      <w:pPr>
        <w:ind w:right="80"/>
        <w:spacing w:after="0" w:line="248" w:lineRule="auto"/>
        <w:rPr>
          <w:sz w:val="20"/>
          <w:szCs w:val="20"/>
          <w:color w:val="auto"/>
        </w:rPr>
      </w:pPr>
      <w:r>
        <w:rPr>
          <w:rFonts w:ascii="Arial" w:cs="Arial" w:eastAsia="Arial" w:hAnsi="Arial"/>
          <w:sz w:val="18"/>
          <w:szCs w:val="18"/>
          <w:color w:val="auto"/>
        </w:rPr>
        <w:t>network. We have opened a number of international offices and plan to open additional international offices as we continue to expand internationally. We have significant website traffic from regions outside the United States, and we believe that markets outside the United States represent a significant growth opportunity.</w:t>
      </w:r>
    </w:p>
    <w:p>
      <w:pPr>
        <w:spacing w:after="0" w:line="155"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b w:val="1"/>
          <w:bCs w:val="1"/>
          <w:i w:val="1"/>
          <w:iCs w:val="1"/>
          <w:color w:val="auto"/>
        </w:rPr>
        <w:t xml:space="preserve">Continue to Innovate and Expand Our CRM Platform. </w:t>
      </w:r>
      <w:r>
        <w:rPr>
          <w:rFonts w:ascii="Arial" w:cs="Arial" w:eastAsia="Arial" w:hAnsi="Arial"/>
          <w:sz w:val="18"/>
          <w:szCs w:val="18"/>
          <w:color w:val="auto"/>
        </w:rPr>
        <w:t>Mid-market businesses are increasingly realizing the value of having an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customer service, operations, and content management platform. We believe we are well positioned to capitalize on this opportunity by introducing new products and applications to extend the functionality of our CRM Platform.</w:t>
      </w:r>
    </w:p>
    <w:p>
      <w:pPr>
        <w:spacing w:after="0" w:line="14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add new features and functionalities to our CRM Platform and accelerate the pace of our innovation.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CRM Platform</w:t>
      </w:r>
    </w:p>
    <w:p>
      <w:pPr>
        <w:spacing w:after="0" w:line="1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CRM Platform features integrated applications and tools that enable companies to create a cohesive and adaptable customer experience. Each Hub can be used standalone, with our CRM Platform, a third party CRM, and/or in conjunction with any version of the other Hubs. Our Hubs are available in both free and paid tiers (i.e., Starter, Professional and Enterprise) with gradually increasing levels of functionality that support the needs of our customers as they see success with our tools and their businesses grow.</w:t>
      </w:r>
    </w:p>
    <w:p>
      <w:pPr>
        <w:spacing w:after="0" w:line="147"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Businesses that want to use software outside of our CRM Platform can leverage our ecosystem of third-party integrations from our platform application partners. We make it easy to find and install new or existing software solutions that complement our CRM Platform. Over 1,000 integrations and applications are available for our users, across a wide range of categories, including integrations with leading social media, email, sales, video, analytics, content and webinar tools.</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HubSpot CRM</w:t>
      </w:r>
    </w:p>
    <w:p>
      <w:pPr>
        <w:spacing w:after="0" w:line="185"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The core of our CRM Platform is a single database of lead and customer information that allows businesses to track their interactions with contacts and customers, manage their customer activities, and report on their pipeline and sales. This allows a complete view of lead and customer interactions across all of our integrated Hubs, giving our CRM Platform substantial power. This integration makes it possible to personalize every aspect of the customer interaction across web content, social media engagement, and email messages across devices, including mobile. The integrated Hubs on our CRM Platform have a common user interface and are accessed through a single login.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Marketing Hub</w:t>
      </w:r>
    </w:p>
    <w:p>
      <w:pPr>
        <w:spacing w:after="0" w:line="171" w:lineRule="exact"/>
        <w:rPr>
          <w:sz w:val="20"/>
          <w:szCs w:val="20"/>
          <w:color w:val="auto"/>
        </w:rPr>
      </w:pPr>
    </w:p>
    <w:p>
      <w:pPr>
        <w:ind w:right="440" w:firstLine="569"/>
        <w:spacing w:after="0" w:line="261" w:lineRule="auto"/>
        <w:rPr>
          <w:sz w:val="20"/>
          <w:szCs w:val="20"/>
          <w:color w:val="auto"/>
        </w:rPr>
      </w:pPr>
      <w:r>
        <w:rPr>
          <w:rFonts w:ascii="Arial" w:cs="Arial" w:eastAsia="Arial" w:hAnsi="Arial"/>
          <w:sz w:val="18"/>
          <w:szCs w:val="18"/>
          <w:color w:val="auto"/>
        </w:rPr>
        <w:t>Marketing Hub is an all-in-one toolset for marketers to attract, engage, and nurture new leads towards sales readiness over the entire customer lifecycle. Features include: marketing automation and email, social media, SEO, and reporting and analytics.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Sales Hub</w:t>
      </w:r>
    </w:p>
    <w:p>
      <w:pPr>
        <w:spacing w:after="0" w:line="171" w:lineRule="exact"/>
        <w:rPr>
          <w:sz w:val="20"/>
          <w:szCs w:val="20"/>
          <w:color w:val="auto"/>
        </w:rPr>
      </w:pPr>
    </w:p>
    <w:p>
      <w:pPr>
        <w:jc w:val="both"/>
        <w:ind w:right="120" w:firstLine="569"/>
        <w:spacing w:after="0" w:line="294" w:lineRule="auto"/>
        <w:rPr>
          <w:sz w:val="20"/>
          <w:szCs w:val="20"/>
          <w:color w:val="auto"/>
        </w:rPr>
      </w:pPr>
      <w:r>
        <w:rPr>
          <w:rFonts w:ascii="Arial" w:cs="Arial" w:eastAsia="Arial" w:hAnsi="Arial"/>
          <w:sz w:val="16"/>
          <w:szCs w:val="16"/>
          <w:color w:val="auto"/>
        </w:rPr>
        <w:t>We designed Sales Hub to enhance the productivity and effectiveness of sales teams. Businesses can empower their teams with tools that deliver a personalized experience for prospects with less work for sales representatives. Features include: email templates and tracking, conversations and live chat, meeting and call scheduling, lead and website visit alerts, lead scoring, sales automation, pipeline management, quoting, forecasting, and reporting.</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Service Hub</w:t>
      </w:r>
    </w:p>
    <w:p>
      <w:pPr>
        <w:spacing w:after="0" w:line="185" w:lineRule="exact"/>
        <w:rPr>
          <w:sz w:val="20"/>
          <w:szCs w:val="20"/>
          <w:color w:val="auto"/>
        </w:rPr>
      </w:pPr>
    </w:p>
    <w:p>
      <w:pPr>
        <w:ind w:right="240" w:firstLine="569"/>
        <w:spacing w:after="0" w:line="248" w:lineRule="auto"/>
        <w:rPr>
          <w:sz w:val="20"/>
          <w:szCs w:val="20"/>
          <w:color w:val="auto"/>
        </w:rPr>
      </w:pPr>
      <w:r>
        <w:rPr>
          <w:rFonts w:ascii="Arial" w:cs="Arial" w:eastAsia="Arial" w:hAnsi="Arial"/>
          <w:sz w:val="18"/>
          <w:szCs w:val="18"/>
          <w:color w:val="auto"/>
        </w:rPr>
        <w:t>Service Hub is our customer service software that is designed to help businesses manage and connect with customers. Features include: conversations and live chat functionality, conversational bots, tickets and help desk, automation and routing, knowledge base, team emails, feedback and reporting tools, and customer goals.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CMS Hub</w:t>
      </w:r>
    </w:p>
    <w:p>
      <w:pPr>
        <w:spacing w:after="0" w:line="17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Our content management system (“CMS”) Hub combines the power of content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Features include: website pages, business blogging, smart content, landing pages and forms, SEO tools, forms and lead flow, web analytics reporting, calls-to-action, and file manager.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color w:val="auto"/>
        </w:rPr>
        <w:t>Operations Hub</w:t>
      </w:r>
    </w:p>
    <w:p>
      <w:pPr>
        <w:spacing w:after="0" w:line="185"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Our Operations Hub is designed to help businesses unify customer data in a connected platform, automate business processes, and eliminate time-consuming data cleanup with ease. Features include: programmable automation, data sync, data curation, and data quality tools.</w:t>
      </w:r>
    </w:p>
    <w:p>
      <w:pPr>
        <w:spacing w:after="0" w:line="106"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Built within the CRM Platform, we offer an end-to-end payment solution, Payments, which enables customers to accept payments from their customers in less time and with fewer tools. With Payments, customers can buy and pay directly on a website, an email, or chat and native integration with the quotes feature in Sales Hub allows our customers to get paid immediately when a quote is accepted.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8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complement our product offerings with professional services, customer success and support, which we view as critical elements of ensuring the long-term retention of our customers. The majority of our services and support is offered over email, phone, chat applications and via web meeting technology rather than in-person, which is a more efficient business model for us and our customers.</w:t>
      </w:r>
    </w:p>
    <w:p>
      <w:pPr>
        <w:spacing w:after="0" w:line="14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b w:val="1"/>
          <w:bCs w:val="1"/>
          <w:i w:val="1"/>
          <w:iCs w:val="1"/>
          <w:color w:val="auto"/>
        </w:rPr>
        <w:t xml:space="preserve">Professional Services. </w:t>
      </w:r>
      <w:r>
        <w:rPr>
          <w:rFonts w:ascii="Arial" w:cs="Arial" w:eastAsia="Arial" w:hAnsi="Arial"/>
          <w:sz w:val="17"/>
          <w:szCs w:val="17"/>
          <w:color w:val="auto"/>
        </w:rPr>
        <w:t>We offer professional services to educate and train customers on how to leverage our CRM Platform to transform how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attracts, engages and delights customers. Depending on which Hubs and services a customer purchases, they receive one-on-one training or guidance from one of our on-boarding or technical specialists by web meeting and can purchase additional group training and education in online or in-person classes. We also offer in-app training modules that customers can use as part of their on-boarding. Our professional services are also available to customers who need additional assistance on a one-time or ongoing basis for an additional fee.</w:t>
      </w:r>
    </w:p>
    <w:p>
      <w:pPr>
        <w:spacing w:after="0" w:line="133"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b w:val="1"/>
          <w:bCs w:val="1"/>
          <w:i w:val="1"/>
          <w:iCs w:val="1"/>
          <w:color w:val="auto"/>
        </w:rPr>
        <w:t xml:space="preserve">Customer Success. </w:t>
      </w:r>
      <w:r>
        <w:rPr>
          <w:rFonts w:ascii="Arial" w:cs="Arial" w:eastAsia="Arial" w:hAnsi="Arial"/>
          <w:sz w:val="16"/>
          <w:szCs w:val="16"/>
          <w:color w:val="auto"/>
        </w:rPr>
        <w:t>Our customers have access to a Customer Success Manager (“CSM”), Channel Consultant ("CC") or Customer Success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(“CST”) which are responsible for our customers’ long term success, retention and growth on our CRM Platform. Depending on which product tier a customer purchases, our CSMs or CST address the unique needs and goals of our customers that are associated with a Solutions Partner through a series of ongoing interactions and strategy calls on how to best engage and use our CRM Platform. Our CCs play a similar role as our CSMs and CST, but focus on the growth and success of our Solutions Partners and customers associated with our Solutions Partners.</w:t>
      </w:r>
    </w:p>
    <w:p>
      <w:pPr>
        <w:spacing w:after="0" w:line="132" w:lineRule="exact"/>
        <w:rPr>
          <w:sz w:val="20"/>
          <w:szCs w:val="20"/>
          <w:color w:val="auto"/>
        </w:rPr>
      </w:pPr>
    </w:p>
    <w:p>
      <w:pPr>
        <w:ind w:right="20" w:firstLine="509"/>
        <w:spacing w:after="0"/>
        <w:rPr>
          <w:sz w:val="20"/>
          <w:szCs w:val="20"/>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In addition to assistance provided by our online articles and customer discussion forums, we offer phone and/or email and chat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which is included in the cost of a subscription for our Hubs. Phone, email and chat support is available starting at the Professional product level for all Hubs while email and chat based support is available for Starter Hubs.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CRM Platform and recommend it to their colleagues.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As of December 31, 2021, we had 135,442 Customers in more than 120 countries, representing many industries. No single customer represented more than one percent of our revenue in 2021, 2020, or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Our Customers have chosen us as their CRM Platform, which we architected and built to be secure, highly distributed and highly scalable. Since our founding, we have embraced rapid, iterative product development lifecycles, cloud automation and open-source technologies, including big data platforms, to power marketing, sales, service, operations, and content management programs and provide insights not previously possible or available.</w:t>
      </w:r>
    </w:p>
    <w:p>
      <w:pPr>
        <w:spacing w:after="0" w:line="107"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Our CRM Platform is a multi-tenant, single code-based, globally available software-as-a-service delivered through APIs, web browsers or mobile applications. Our commitment to a highly available, reliable, and scalable platform for businesses of all sizes is accomplished through the use of these technologies.</w:t>
      </w:r>
    </w:p>
    <w:p>
      <w:pPr>
        <w:spacing w:after="0" w:line="15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b w:val="1"/>
          <w:bCs w:val="1"/>
          <w:i w:val="1"/>
          <w:iCs w:val="1"/>
          <w:color w:val="auto"/>
        </w:rPr>
        <w:t xml:space="preserve">Platform Approach. </w:t>
      </w:r>
      <w:r>
        <w:rPr>
          <w:rFonts w:ascii="Arial" w:cs="Arial" w:eastAsia="Arial" w:hAnsi="Arial"/>
          <w:sz w:val="18"/>
          <w:szCs w:val="18"/>
          <w:color w:val="auto"/>
        </w:rPr>
        <w:t>We built HubSpot on a single platform with reusable and composable libraries, allowing us to rapidly address new feature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bring new products to market that have a consistent user experience and data model. We have built this platform with scale in mind, supporting thousands of components including hundreds of microservices,</w:t>
      </w:r>
    </w:p>
    <w:p>
      <w:pPr>
        <w:spacing w:after="0" w:line="14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b w:val="1"/>
          <w:bCs w:val="1"/>
          <w:i w:val="1"/>
          <w:iCs w:val="1"/>
          <w:color w:val="auto"/>
        </w:rPr>
        <w:t xml:space="preserve">Modern Database Architecture. </w:t>
      </w:r>
      <w:r>
        <w:rPr>
          <w:rFonts w:ascii="Arial" w:cs="Arial" w:eastAsia="Arial" w:hAnsi="Arial"/>
          <w:sz w:val="18"/>
          <w:szCs w:val="18"/>
          <w:color w:val="auto"/>
        </w:rPr>
        <w:t>We process billions of data points weekly across various channels, including social media, email, SEO and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visits, and continue to drive nearly real-time analytics across these channels. This is possible because we built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ind w:right="420"/>
        <w:spacing w:after="0" w:line="324" w:lineRule="auto"/>
        <w:rPr>
          <w:sz w:val="20"/>
          <w:szCs w:val="20"/>
          <w:color w:val="auto"/>
        </w:rPr>
      </w:pPr>
      <w:r>
        <w:rPr>
          <w:rFonts w:ascii="Arial" w:cs="Arial" w:eastAsia="Arial" w:hAnsi="Arial"/>
          <w:sz w:val="16"/>
          <w:szCs w:val="16"/>
          <w:color w:val="auto"/>
        </w:rPr>
        <w:t>our database from the ground up using distributed big data technologies such as HBase, Elasticsearch and Kafka to both process and analyze the large amounts of data we collect. We also utilize Vitess to operate MySQL at scale, allowing our engineers to choose the best datastore for each task.</w:t>
      </w:r>
    </w:p>
    <w:p>
      <w:pPr>
        <w:spacing w:after="0" w:line="97"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b w:val="1"/>
          <w:bCs w:val="1"/>
          <w:i w:val="1"/>
          <w:iCs w:val="1"/>
          <w:color w:val="auto"/>
        </w:rPr>
        <w:t xml:space="preserve">Agility. </w:t>
      </w:r>
      <w:r>
        <w:rPr>
          <w:rFonts w:ascii="Arial" w:cs="Arial" w:eastAsia="Arial" w:hAnsi="Arial"/>
          <w:sz w:val="18"/>
          <w:szCs w:val="18"/>
          <w:color w:val="auto"/>
        </w:rPr>
        <w:t>Our infrastructure and development and software release processes allow us to update our platform for specific groups of customers 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customer base at any time. This means we can rapidly innovate and deliver new functionality frequently, without waiting for quarterly or annual release cycles. We typically deploy updates to our software platform thousands of times a day, enabling us to gather immediate customer feedback and improve our product quickly and continuously.</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b w:val="1"/>
          <w:bCs w:val="1"/>
          <w:i w:val="1"/>
          <w:iCs w:val="1"/>
          <w:color w:val="auto"/>
        </w:rPr>
        <w:t xml:space="preserve">Cost leverage. </w:t>
      </w:r>
      <w:r>
        <w:rPr>
          <w:rFonts w:ascii="Arial" w:cs="Arial" w:eastAsia="Arial" w:hAnsi="Arial"/>
          <w:sz w:val="18"/>
          <w:szCs w:val="18"/>
          <w:color w:val="auto"/>
        </w:rPr>
        <w:t>Because our CRM Platform was built on an almost exclusive footprint of open-source software and designed to operate in cloud-based data centers, we have benefited from large-scale price reductions by these cloud computing service providers as they continue to innovate and compete for market share. As our processing volume continues to grow, we continue to receive larger volume discounts on a per-unit basis for costs such as storage, bandwidth and computing capacity. We also believe that our extensive use of open-source software will provide additional leverage as we scale our CRM Platform and infrastructure.</w:t>
      </w:r>
    </w:p>
    <w:p>
      <w:pPr>
        <w:spacing w:after="0" w:line="149"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along with our automated technology stack, we are able to scale workloads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varying sizes at any time. This allows us to handle customers of all sizes and demands without traditional operational limitations such as network bandwidth, computing cycles, or storage capacity as we can scale our platform on-demand.</w:t>
      </w:r>
    </w:p>
    <w:p>
      <w:pPr>
        <w:spacing w:after="0" w:line="155"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Customer data is distributed and processed across multiple data centers within a region to provide redundancy. We built our CRM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47"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We leverage industry standard network and perimeter defense technologies, distributed denial-of-service, protection systems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 application firewalls) and enterprise grade domain name system,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8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41"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b w:val="1"/>
          <w:bCs w:val="1"/>
          <w:i w:val="1"/>
          <w:iCs w:val="1"/>
          <w:color w:val="auto"/>
        </w:rPr>
        <w:t>Inbound Marketing</w:t>
      </w:r>
      <w:r>
        <w:rPr>
          <w:rFonts w:ascii="Arial" w:cs="Arial" w:eastAsia="Arial" w:hAnsi="Arial"/>
          <w:sz w:val="16"/>
          <w:szCs w:val="16"/>
          <w:color w:val="auto"/>
        </w:rPr>
        <w:t>. Our marketing team attracts new leads and users each month through our industry-leading blog, podcast network, email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newsletter and other content, free tools, large social media following, high search engine rankings and personalized website and email content. In addition, we are generating leads for new and add-on product purchases through content and offers delivered through our CRM Platform to existing customers.</w:t>
      </w:r>
    </w:p>
    <w:p>
      <w:pPr>
        <w:spacing w:after="0" w:line="107"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b w:val="1"/>
          <w:bCs w:val="1"/>
          <w:i w:val="1"/>
          <w:iCs w:val="1"/>
          <w:color w:val="auto"/>
        </w:rPr>
        <w:t xml:space="preserve">Inbound Direct Sales. </w:t>
      </w:r>
      <w:r>
        <w:rPr>
          <w:rFonts w:ascii="Arial" w:cs="Arial" w:eastAsia="Arial" w:hAnsi="Arial"/>
          <w:sz w:val="16"/>
          <w:szCs w:val="16"/>
          <w:color w:val="auto"/>
        </w:rPr>
        <w:t>Our sales representatives throughout the world use phone, email, and web meetings to interact with prospects and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revenue generated by our sales representatives originates with inbound leads produced by our marketing efforts. In addition, through our freemium products and in-product cross-sell offerings, we close new business with little or no interaction by our sales representatives.</w:t>
      </w:r>
    </w:p>
    <w:p>
      <w:pPr>
        <w:spacing w:after="0" w:line="120"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b w:val="1"/>
          <w:bCs w:val="1"/>
          <w:i w:val="1"/>
          <w:iCs w:val="1"/>
          <w:color w:val="auto"/>
        </w:rPr>
        <w:t xml:space="preserve">Inbound Channel Sales. </w:t>
      </w:r>
      <w:r>
        <w:rPr>
          <w:rFonts w:ascii="Arial" w:cs="Arial" w:eastAsia="Arial" w:hAnsi="Arial"/>
          <w:sz w:val="18"/>
          <w:szCs w:val="18"/>
          <w:color w:val="auto"/>
        </w:rPr>
        <w:t>In addition to our direct sales team, we have sales representatives that manage relationships with our worldwide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Solutions Partners who both use our platform for their own businesses and also, on a commissioned basis, refer customers to us. These Solutions Partners collaborate with us not only to leverage our software platform and educational resources, but also to build their own business by offering new services and shifting their revenue mix to include recurring revenue streams.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75"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The COVID-19 pandemic and virus containment measures taken by federal and state governments have resulted in, and are expected to continue to result in, business slowdowns or shutdowns, weakened economic conditions, economic uncertainty, and volatility in the financial markets, both regionally and worldwide. We have continued to conduct business during the COVID-19 pandemic with substantial modifications to employee travel and where employees work, as well as virtualization, postponement, or cancellation of certain events, among other changes. While the pandemic has not had a material adverse financial impact on our business to date, the broader implications of the pandemic on our results of operations and overall financial performance will depend on future developments and conditions. We continue to actively monitor the situation and may take further actions to alter our business operations as may be required by federal, state, or local authorities, or that we determine are in the best interests of our employees, customers, partners, suppliers, and stockholders, including in response to outbreaks and variants. For discussion regarding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0" w:name="page11"/>
    <w:bookmarkEnd w:id="10"/>
    <w:p>
      <w:pPr>
        <w:spacing w:after="0" w:line="261" w:lineRule="auto"/>
        <w:rPr>
          <w:sz w:val="20"/>
          <w:szCs w:val="20"/>
          <w:color w:val="auto"/>
        </w:rPr>
      </w:pPr>
      <w:r>
        <w:rPr>
          <w:rFonts w:ascii="Arial" w:cs="Arial" w:eastAsia="Arial" w:hAnsi="Arial"/>
          <w:sz w:val="18"/>
          <w:szCs w:val="18"/>
          <w:color w:val="auto"/>
        </w:rPr>
        <w:t>the impact of the COVID-19 pandemic on our business and financial results, see “Risk Factors” in Item 1A and “Management’s Discussion and Analysis of Financial Condition and Results of Operations” in Item 7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7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operate globally and are subject to numerous U.S. federal, state, and foreign laws and regulations covering a wide variety of subject matters. Our compliance with these laws and regulations may be onerous and could, individually or in the aggregate, increase our cost of doing business, impact our competitive position relative to our peers, and/or otherwise have an</w:t>
      </w:r>
    </w:p>
    <w:p>
      <w:pPr>
        <w:spacing w:after="0" w:line="16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adverse impact on our business, reputation, financial condition, and operating results. For information about governmental regulations applicable to our business, refer to “Risk Factors” in Item 1A.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89"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Helping millions of organizations grow better requires a truly remarkable team. We are passionate about building a company culture where people can do their best work. Our company culture and our people are not just human resources priorities but critical business priorities. As a result, we consistently focus on how we can continue to help employees grow, both personally and professionally.</w:t>
      </w:r>
    </w:p>
    <w:p>
      <w:pPr>
        <w:spacing w:after="0" w:line="141"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HubSpot is proud to be named the #2 Best Place to Work in 2022 and #4 Best Place to Work in 2021 by the Glassdoor Employees’ Choice Awards. Based on employees’ reviews and feedback, this recognition is a strong testament to the innovative culture we are building. We have also been recognized as a top workplace in 2021 by Great Place to Work, and honored to be mentioned in a number of categories by Comparably's workplace awards in 2021 including Best Companies for Women, Best Companies for Diversity, Best Overall Company Culture, and a Best Company for Employee Happiness.</w:t>
      </w:r>
    </w:p>
    <w:p>
      <w:pPr>
        <w:spacing w:after="0" w:line="11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As of December 31, 2021, we had 5,895 full-time employees, or HubSpotters. Of these, 1,446 are in the Americas, 1,166 are in Europe, 319 are in the Asia Pacific region and 2,964 are 100% remote.</w:t>
      </w:r>
    </w:p>
    <w:p>
      <w:pPr>
        <w:spacing w:after="0" w:line="144" w:lineRule="exact"/>
        <w:rPr>
          <w:sz w:val="20"/>
          <w:szCs w:val="20"/>
          <w:color w:val="auto"/>
        </w:rPr>
      </w:pPr>
    </w:p>
    <w:p>
      <w:pPr>
        <w:ind w:left="760" w:right="120" w:hanging="378"/>
        <w:spacing w:after="0" w:line="24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Culture and Values. </w:t>
      </w:r>
      <w:r>
        <w:rPr>
          <w:rFonts w:ascii="Arial" w:cs="Arial" w:eastAsia="Arial" w:hAnsi="Arial"/>
          <w:sz w:val="18"/>
          <w:szCs w:val="18"/>
          <w:color w:val="auto"/>
        </w:rPr>
        <w:t>Our culture is built on the firm belief that personal and professional growth is just as important as business growth.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 best people do not only fit our culture, they further it. In 2013, we published the HubSpot Culture Code, which outlines our core company values, including, autonomy, flexibility, and HEART. HEART is at the center of who we are and represents the five traits we value the most in HubSpotters: Humility, Empathy, Adaptability, Remarkableness and Transparency. A copy of our Culture Code can be found at: https://network.hubspot.com/slides/the-hubspot-culture-code.</w:t>
      </w:r>
    </w:p>
    <w:p>
      <w:pPr>
        <w:spacing w:after="0" w:line="148" w:lineRule="exact"/>
        <w:rPr>
          <w:rFonts w:ascii="Arial" w:cs="Arial" w:eastAsia="Arial" w:hAnsi="Arial"/>
          <w:sz w:val="18"/>
          <w:szCs w:val="18"/>
          <w:color w:val="auto"/>
        </w:rPr>
      </w:pPr>
    </w:p>
    <w:p>
      <w:pPr>
        <w:ind w:left="760" w:right="40" w:hanging="378"/>
        <w:spacing w:after="0" w:line="274"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Diversity, Inclusion, and Belonging. </w:t>
      </w:r>
      <w:r>
        <w:rPr>
          <w:rFonts w:ascii="Arial" w:cs="Arial" w:eastAsia="Arial" w:hAnsi="Arial"/>
          <w:sz w:val="16"/>
          <w:szCs w:val="16"/>
          <w:color w:val="auto"/>
        </w:rPr>
        <w:t>Diversity, inclusion, and belonging (DI&amp;B) is a core part of our mission. We have incorporated DI&amp;B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policies and practices, education and events, and launched various initiatives to further our goal of being a more diverse, inclusive, and equitable workplace. Our DI&amp;B initiatives include, but are not limited to: programs to increase our slate of diverse candidates, anti-racism training for employees and managers, key external partnerships, employee resource groups, and programs and initiatives to enhance the diversity and inclusion experience for candidates and employees. In addition, our annual HubSpot Diversity, Inclusion, and Belonging Report is a detailed analysis of our gender, ethnicity, and age data, as well as self-reported identities including parents, military veterans, disabilities, first-generation identity, and those who are gender diverse. A copy of our DI&amp;B report can be found at: https://www.hubspot.com/diversity/report.</w:t>
      </w:r>
    </w:p>
    <w:p>
      <w:pPr>
        <w:spacing w:after="0" w:line="122" w:lineRule="exact"/>
        <w:rPr>
          <w:rFonts w:ascii="Arial" w:cs="Arial" w:eastAsia="Arial" w:hAnsi="Arial"/>
          <w:sz w:val="16"/>
          <w:szCs w:val="16"/>
          <w:color w:val="auto"/>
        </w:rPr>
      </w:pPr>
    </w:p>
    <w:p>
      <w:pPr>
        <w:ind w:left="760" w:right="20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We provide competitive compensation and benefits for our employees globally. Our compensation packages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base salary, commission or semi-annual bonuses, and stock-based compensation. We also offer general employee medical and dental plans, unlimited vacation and an annual global week of rest, life and disability insurance, and Section 401(k) plan matching contributions designed to provide employee benefits competitive with those offered by our peers and other companies with which we compete for talent. We also offer an employee stock purchase plan. We evaluate both compensation and benefit offerings on an annual basis and we make adjustments as needed.</w:t>
      </w:r>
    </w:p>
    <w:p>
      <w:pPr>
        <w:spacing w:after="0" w:line="162" w:lineRule="exact"/>
        <w:rPr>
          <w:rFonts w:ascii="Arial" w:cs="Arial" w:eastAsia="Arial" w:hAnsi="Arial"/>
          <w:sz w:val="18"/>
          <w:szCs w:val="18"/>
          <w:color w:val="auto"/>
        </w:rPr>
      </w:pPr>
    </w:p>
    <w:p>
      <w:pPr>
        <w:ind w:left="760" w:right="120" w:hanging="378"/>
        <w:spacing w:after="0" w:line="294"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Learning and growth. </w:t>
      </w:r>
      <w:r>
        <w:rPr>
          <w:rFonts w:ascii="Arial" w:cs="Arial" w:eastAsia="Arial" w:hAnsi="Arial"/>
          <w:sz w:val="16"/>
          <w:szCs w:val="16"/>
          <w:color w:val="auto"/>
        </w:rPr>
        <w:t>We believe in life-long learning and invest in employee development at every stage. We offer hands-on, regionalized on-boarding, one-on-one mentorship, year-round manager trainings and an annual mini-MBA Fellows program. In addition, we offer several self-paced courses through Learn@HubSpot, our internal, online learning management system designed by our Learning and Development team.</w:t>
      </w:r>
    </w:p>
    <w:p>
      <w:pPr>
        <w:spacing w:after="0" w:line="106" w:lineRule="exact"/>
        <w:rPr>
          <w:rFonts w:ascii="Arial" w:cs="Arial" w:eastAsia="Arial" w:hAnsi="Arial"/>
          <w:sz w:val="16"/>
          <w:szCs w:val="16"/>
          <w:color w:val="auto"/>
        </w:rPr>
      </w:pPr>
    </w:p>
    <w:p>
      <w:pPr>
        <w:ind w:left="760" w:right="12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Hybrid Culture. </w:t>
      </w:r>
      <w:r>
        <w:rPr>
          <w:rFonts w:ascii="Arial" w:cs="Arial" w:eastAsia="Arial" w:hAnsi="Arial"/>
          <w:sz w:val="18"/>
          <w:szCs w:val="18"/>
          <w:color w:val="auto"/>
        </w:rPr>
        <w:t>We offer a hybrid working model, with employees choosing annually between three options: @home, @office, @flex.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will work the majority of the time from home, @office employees will go into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ind w:left="760"/>
        <w:spacing w:after="0"/>
        <w:rPr>
          <w:sz w:val="20"/>
          <w:szCs w:val="20"/>
          <w:color w:val="auto"/>
        </w:rPr>
      </w:pPr>
      <w:r>
        <w:rPr>
          <w:rFonts w:ascii="Arial" w:cs="Arial" w:eastAsia="Arial" w:hAnsi="Arial"/>
          <w:sz w:val="18"/>
          <w:szCs w:val="18"/>
          <w:color w:val="auto"/>
        </w:rPr>
        <w:t>HubSpot office three or more days per week, and @flex employees will go into a HubSpot office two or fewer days per week.</w:t>
      </w:r>
    </w:p>
    <w:p>
      <w:pPr>
        <w:spacing w:after="0" w:line="104" w:lineRule="exact"/>
        <w:rPr>
          <w:sz w:val="20"/>
          <w:szCs w:val="20"/>
          <w:color w:val="auto"/>
        </w:rPr>
      </w:pPr>
    </w:p>
    <w:p>
      <w:pPr>
        <w:ind w:left="760" w:right="60" w:hanging="378"/>
        <w:spacing w:after="0" w:line="284"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Mental Health and Well-Being. </w:t>
      </w:r>
      <w:r>
        <w:rPr>
          <w:rFonts w:ascii="Arial" w:cs="Arial" w:eastAsia="Arial" w:hAnsi="Arial"/>
          <w:sz w:val="16"/>
          <w:szCs w:val="16"/>
          <w:color w:val="auto"/>
        </w:rPr>
        <w:t>We offer a mental wellness platform as a global benefit for employees. Based on feedback from our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also created an initiative called HubSpot Unplugged to address burnout, mental health and well-being. We later built upon this initiative with a long-term framework to prevent and battle burnout and its root causes, including a company holiday week for all employees to take time off and recharge, and programming for employees to listen, learn, and identify ways to prioritize their mental health at work.</w:t>
      </w:r>
    </w:p>
    <w:p>
      <w:pPr>
        <w:spacing w:after="0" w:line="47" w:lineRule="exact"/>
        <w:rPr>
          <w:rFonts w:ascii="Arial" w:cs="Arial" w:eastAsia="Arial" w:hAnsi="Arial"/>
          <w:sz w:val="16"/>
          <w:szCs w:val="16"/>
          <w:color w:val="auto"/>
        </w:rPr>
      </w:pPr>
    </w:p>
    <w:p>
      <w:pPr>
        <w:ind w:left="760" w:hanging="378"/>
        <w:spacing w:after="0" w:line="239"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Impact. </w:t>
      </w:r>
      <w:r>
        <w:rPr>
          <w:rFonts w:ascii="Arial" w:cs="Arial" w:eastAsia="Arial" w:hAnsi="Arial"/>
          <w:sz w:val="18"/>
          <w:szCs w:val="18"/>
          <w:color w:val="auto"/>
        </w:rPr>
        <w:t>We provide a range of opportunities for our employees to get involved with these nonprofits organizations through HubSpot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Helps, our charity partner program, including: encouraging employee volunteerism, providing financial and in-kind donations, and running other creative events. As part of our commitment to help dismantle systemic racism through long-term, meaningful change, we are committed to invest $12.5 million in the Black Economic Development Fund to support Black-led financial institutions, Black-led businesses, community centers, and anchor institutions with the goal of growing these organizations and strengthening their contributions to the Black community. We also invested an additional $7.5 million in support of minority depository institutions to help close the racial wealth, health, and opportunity gap for the communities they serve.</w:t>
      </w:r>
    </w:p>
    <w:p>
      <w:pPr>
        <w:spacing w:after="0" w:line="82" w:lineRule="exact"/>
        <w:rPr>
          <w:rFonts w:ascii="Arial" w:cs="Arial" w:eastAsia="Arial" w:hAnsi="Arial"/>
          <w:sz w:val="18"/>
          <w:szCs w:val="18"/>
          <w:color w:val="auto"/>
        </w:rPr>
      </w:pPr>
    </w:p>
    <w:p>
      <w:pPr>
        <w:ind w:left="760" w:hanging="378"/>
        <w:spacing w:after="0" w:line="284"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Engagement and Feedback. </w:t>
      </w:r>
      <w:r>
        <w:rPr>
          <w:rFonts w:ascii="Arial" w:cs="Arial" w:eastAsia="Arial" w:hAnsi="Arial"/>
          <w:sz w:val="16"/>
          <w:szCs w:val="16"/>
          <w:color w:val="auto"/>
        </w:rPr>
        <w:t>We administer a quarterly employee engagement survey, known as our eNPS, to assess and understand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experience and engagement at the company level. The survey also enables us to provide data to leaders across the organization, empowering them to identify, address, and monitor feedback at the department level. Our eNPS process includes a Global Inclusion Index survey which we measure annually, allowing us to track progress and collect feedback on our diversity, inclusion, and belonging efforts over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color w:val="auto"/>
        </w:rPr>
        <w:t>Our market is evolving, highly competitive and fragmented, and we expect competition to increase in the future. We believe the principal competitive factors in our market are:</w:t>
      </w:r>
    </w:p>
    <w:p>
      <w:pPr>
        <w:spacing w:after="0" w:line="130" w:lineRule="exact"/>
        <w:rPr>
          <w:sz w:val="20"/>
          <w:szCs w:val="20"/>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vision for the market, product strategy and pace of innovation;</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inbound marketing focus and domain expertise;</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integrated all-in-one CRM Platform;</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scalable, open architecture;</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 to value and total cost of ownership;</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with third-party applications and data sources;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CRM data to make strategic business decisions;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recognition and brand reputation; and</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“freemium” go-to-market motion.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with respect to all of these factors.</w:t>
      </w:r>
    </w:p>
    <w:p>
      <w:pPr>
        <w:spacing w:after="0" w:line="171"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We face intense competition from other software companies that develop marketing, sales, service, and content management software. Our competitors offer various point applications that provide certain functions and features that we provide, including:</w:t>
      </w:r>
    </w:p>
    <w:p>
      <w:pPr>
        <w:spacing w:after="0" w:line="144"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2" w:name="page13"/>
    <w:bookmarkEnd w:id="12"/>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platform vendors;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addition, instead of using our CRM Platform, some prospective customers may elect to combine disparate point applications, such as content management, marketing automation, analytics, social media management, ticketing, and conversational bots. We expect that we will develop and introduce, or acquire, applications serving customer-facing and other front office functions.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8 issued U.S. Patents, 1 allowed patent pending issuance, 15 U.S. utility patents applications pending, and 5 provisional patents filed. We intend to pursue and are pursuing additional patent protection to the extent we believe it would be beneficial and cost-effective.</w:t>
      </w:r>
    </w:p>
    <w:p>
      <w:pPr>
        <w:spacing w:after="0" w:line="149" w:lineRule="exact"/>
        <w:rPr>
          <w:sz w:val="20"/>
          <w:szCs w:val="20"/>
          <w:color w:val="auto"/>
        </w:rPr>
      </w:pPr>
    </w:p>
    <w:p>
      <w:pPr>
        <w:jc w:val="both"/>
        <w:ind w:right="540" w:firstLine="509"/>
        <w:spacing w:after="0" w:line="248" w:lineRule="auto"/>
        <w:rPr>
          <w:sz w:val="20"/>
          <w:szCs w:val="20"/>
          <w:color w:val="auto"/>
        </w:rPr>
      </w:pPr>
      <w:r>
        <w:rPr>
          <w:rFonts w:ascii="Arial" w:cs="Arial" w:eastAsia="Arial" w:hAnsi="Arial"/>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14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75"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operate as one operating segment. Operating segments are defined as components of an enterprise for which separate financial information is regularly evaluated by the chief operating decision maker (“CODM”), which is our chief executive officer, in deciding how to allocate resources and assess performance. The CODM evaluates our financial information and resources and assesses the performance of these resources on a consolidated basis. Since we operate in one operating segment, all required financial segment information can be found in the consolidated financial statements. See Footnote 10 within the consolidated financial statements for information by geographic area.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website at http://www.sec.gov that contains our SEC filings and other information regarding issuers that file electronically with the SEC.</w:t>
      </w:r>
    </w:p>
    <w:p>
      <w:pPr>
        <w:spacing w:after="0" w:line="11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13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85"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ind w:right="240"/>
        <w:spacing w:after="0" w:line="248"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55"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auto"/>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07"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85"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185"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40"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62"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60"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Our head count and operations have grown substantially. For example, we had 5,895 full-time employees as of December 31, 2021, as compared with 4,225 as of December 31, 2020 and we have opened several international offices and plan to open additional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 w:name="page16"/>
    <w:bookmarkEnd w:id="15"/>
    <w:p>
      <w:pPr>
        <w:spacing w:after="0" w:line="251" w:lineRule="auto"/>
        <w:rPr>
          <w:sz w:val="20"/>
          <w:szCs w:val="20"/>
          <w:color w:val="auto"/>
        </w:rPr>
      </w:pPr>
      <w:r>
        <w:rPr>
          <w:rFonts w:ascii="Arial" w:cs="Arial" w:eastAsia="Arial" w:hAnsi="Arial"/>
          <w:sz w:val="17"/>
          <w:szCs w:val="17"/>
          <w:color w:val="auto"/>
        </w:rPr>
        <w:t>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 long-term continuation of these restrictions could, among other things, negatively impact employee morale and productivity. Any failure to preserve our culture could harm our future success, including our ability to retain and recruit personnel, innovate and operate effectively and execute on our business strategy. Additionally, as our employees work remotely from geographic areas across the globe and more of our employees work remotely on a permanent basis due to the pandemic, and pursuant to our newly implemented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5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to manage the expected continued growth of our headcount, operations and geographic expansion, we will need to continue to expand our information technology infrastructure, operational, financial and management systems and procedures. Our anticipated additional headcount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60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33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71"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8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6" w:name="page17"/>
    <w:bookmarkEnd w:id="16"/>
    <w:p>
      <w:pPr>
        <w:ind w:right="240"/>
        <w:spacing w:after="0" w:line="261"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4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130"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7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7" w:name="page18"/>
    <w:bookmarkEnd w:id="17"/>
    <w:p>
      <w:pPr>
        <w:ind w:firstLine="509"/>
        <w:spacing w:after="0" w:line="270"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140"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3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14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35"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4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34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8" w:name="page19"/>
    <w:bookmarkEnd w:id="18"/>
    <w:p>
      <w:pPr>
        <w:ind w:right="20"/>
        <w:spacing w:after="0"/>
        <w:rPr>
          <w:sz w:val="20"/>
          <w:szCs w:val="20"/>
          <w:color w:val="auto"/>
        </w:rPr>
      </w:pPr>
      <w:r>
        <w:rPr>
          <w:rFonts w:ascii="Arial" w:cs="Arial" w:eastAsia="Arial" w:hAnsi="Arial"/>
          <w:sz w:val="18"/>
          <w:szCs w:val="18"/>
          <w:color w:val="auto"/>
        </w:rPr>
        <w:t>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6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30"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We have opened several international offices and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120"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71" w:lineRule="exact"/>
        <w:rPr>
          <w:rFonts w:ascii="Arial" w:cs="Arial" w:eastAsia="Arial" w:hAnsi="Arial"/>
          <w:sz w:val="18"/>
          <w:szCs w:val="18"/>
          <w:color w:val="auto"/>
        </w:rPr>
      </w:pPr>
    </w:p>
    <w:p>
      <w:pPr>
        <w:ind w:left="1020" w:right="7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84"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30"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30"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4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30"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("Brexit"), and similar geopolitical developments;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71"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15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ind w:right="140"/>
        <w:spacing w:after="0" w:line="261" w:lineRule="auto"/>
        <w:rPr>
          <w:sz w:val="20"/>
          <w:szCs w:val="20"/>
          <w:color w:val="auto"/>
        </w:rPr>
      </w:pPr>
      <w:r>
        <w:rPr>
          <w:rFonts w:ascii="Arial" w:cs="Arial" w:eastAsia="Arial" w:hAnsi="Arial"/>
          <w:sz w:val="18"/>
          <w:szCs w:val="18"/>
          <w:color w:val="auto"/>
        </w:rPr>
        <w:t>Inadequacies in our past or current compliance practices may increase the risk of inadvertent violations of such laws and regulations, which could lead to financial and other penalties that could damage our reputation and impose costs on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17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3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since January 1, 2021, our employees had the option to be fully remote, work full-time from one of our offices, or work both in the office and remotely.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Any failure to preserve our culture could negatively affect our ability to retain and recruit personnel and to effectively focus on and pursue our corporate objectives. As we grow and continue to develop our company infrastructure, we may find it difficult to maintain these important aspects of our company culture and our business may be adversely impacted.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8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20" w:lineRule="exact"/>
        <w:rPr>
          <w:sz w:val="20"/>
          <w:szCs w:val="20"/>
          <w:color w:val="auto"/>
        </w:rPr>
      </w:pPr>
    </w:p>
    <w:p>
      <w:pPr>
        <w:ind w:right="60" w:firstLine="578"/>
        <w:spacing w:after="0" w:line="274" w:lineRule="auto"/>
        <w:rPr>
          <w:sz w:val="20"/>
          <w:szCs w:val="20"/>
          <w:color w:val="auto"/>
        </w:rPr>
      </w:pPr>
      <w:r>
        <w:rPr>
          <w:rFonts w:ascii="Arial" w:cs="Arial" w:eastAsia="Arial" w:hAnsi="Arial"/>
          <w:sz w:val="16"/>
          <w:szCs w:val="16"/>
          <w:color w:val="auto"/>
        </w:rPr>
        <w:t>We currently serve the majority of our platform functions from third-party data center hosting facilities operated by Amazon Web Services located in northern Virginia and Frankfurt, Germany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emergencies (e.g., COVID-19),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20" w:name="page21"/>
    <w:bookmarkEnd w:id="20"/>
    <w:p>
      <w:pPr>
        <w:ind w:right="60" w:firstLine="578"/>
        <w:spacing w:after="0" w:line="239"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6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30" w:lineRule="exact"/>
        <w:rPr>
          <w:sz w:val="20"/>
          <w:szCs w:val="20"/>
          <w:color w:val="auto"/>
        </w:rPr>
      </w:pPr>
    </w:p>
    <w:p>
      <w:pPr>
        <w:ind w:firstLine="578"/>
        <w:spacing w:after="0" w:line="252" w:lineRule="auto"/>
        <w:rPr>
          <w:sz w:val="20"/>
          <w:szCs w:val="20"/>
          <w:color w:val="auto"/>
        </w:rPr>
      </w:pPr>
      <w:r>
        <w:rPr>
          <w:rFonts w:ascii="Arial" w:cs="Arial" w:eastAsia="Arial" w:hAnsi="Arial"/>
          <w:sz w:val="17"/>
          <w:szCs w:val="17"/>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345" w:lineRule="exact"/>
        <w:rPr>
          <w:sz w:val="20"/>
          <w:szCs w:val="20"/>
          <w:color w:val="auto"/>
        </w:rPr>
      </w:pPr>
    </w:p>
    <w:p>
      <w:pPr>
        <w:ind w:right="80" w:firstLine="578"/>
        <w:spacing w:after="0" w:line="243" w:lineRule="auto"/>
        <w:rPr>
          <w:sz w:val="20"/>
          <w:szCs w:val="20"/>
          <w:color w:val="auto"/>
        </w:rPr>
      </w:pPr>
      <w:r>
        <w:rPr>
          <w:rFonts w:ascii="Arial" w:cs="Arial" w:eastAsia="Arial" w:hAnsi="Arial"/>
          <w:sz w:val="18"/>
          <w:szCs w:val="18"/>
          <w:color w:val="auto"/>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6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23" w:lineRule="exact"/>
        <w:rPr>
          <w:sz w:val="20"/>
          <w:szCs w:val="20"/>
          <w:color w:val="auto"/>
        </w:rPr>
      </w:pPr>
    </w:p>
    <w:p>
      <w:pPr>
        <w:ind w:firstLine="578"/>
        <w:spacing w:after="0" w:line="294" w:lineRule="auto"/>
        <w:rPr>
          <w:sz w:val="20"/>
          <w:szCs w:val="20"/>
          <w:color w:val="auto"/>
        </w:rPr>
      </w:pPr>
      <w:r>
        <w:rPr>
          <w:rFonts w:ascii="Arial" w:cs="Arial" w:eastAsia="Arial" w:hAnsi="Arial"/>
          <w:sz w:val="16"/>
          <w:szCs w:val="16"/>
          <w:color w:val="auto"/>
        </w:rPr>
        <w:t>We rely on our information technology systems, including the sustained and uninterrupted performance of our CRM Platform, to manage numerous aspects of our business, including to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07" w:lineRule="exact"/>
        <w:rPr>
          <w:sz w:val="20"/>
          <w:szCs w:val="20"/>
          <w:color w:val="auto"/>
        </w:rPr>
      </w:pPr>
    </w:p>
    <w:p>
      <w:pPr>
        <w:ind w:right="120" w:firstLine="578"/>
        <w:spacing w:after="0" w:line="274" w:lineRule="auto"/>
        <w:rPr>
          <w:sz w:val="20"/>
          <w:szCs w:val="20"/>
          <w:color w:val="auto"/>
        </w:rPr>
      </w:pPr>
      <w:r>
        <w:rPr>
          <w:rFonts w:ascii="Arial" w:cs="Arial" w:eastAsia="Arial" w:hAnsi="Arial"/>
          <w:sz w:val="16"/>
          <w:szCs w:val="16"/>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p>
    <w:p>
      <w:pPr>
        <w:spacing w:after="0" w:line="147"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Additionally, our customers need to be able to access our platform at any time, without interruption or degradation of performance. AWS runs its own platform that we access, and we are, therefore, vulnerable to service interruptions at AWS. We have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1" w:name="page22"/>
    <w:bookmarkEnd w:id="21"/>
    <w:p>
      <w:pPr>
        <w:ind w:right="40"/>
        <w:spacing w:after="0" w:line="239" w:lineRule="auto"/>
        <w:rPr>
          <w:sz w:val="20"/>
          <w:szCs w:val="20"/>
          <w:color w:val="auto"/>
        </w:rPr>
      </w:pPr>
      <w:r>
        <w:rPr>
          <w:rFonts w:ascii="Arial" w:cs="Arial" w:eastAsia="Arial" w:hAnsi="Arial"/>
          <w:sz w:val="18"/>
          <w:szCs w:val="18"/>
          <w:color w:val="auto"/>
        </w:rPr>
        <w:t>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6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13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85" w:lineRule="exact"/>
        <w:rPr>
          <w:sz w:val="20"/>
          <w:szCs w:val="20"/>
          <w:color w:val="auto"/>
        </w:rPr>
      </w:pPr>
    </w:p>
    <w:p>
      <w:pPr>
        <w:ind w:right="60" w:firstLine="554"/>
        <w:spacing w:after="0" w:line="253"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9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15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4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6"/>
          <w:szCs w:val="16"/>
          <w:color w:val="auto"/>
        </w:rPr>
        <w:t>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4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We have previously been, and may in the future become, the target of cyber-attacks by third parties seeking unauthorized access to our or our customers' data or to disrupt our operations or ability to provide our services.</w:t>
      </w:r>
    </w:p>
    <w:p>
      <w:pPr>
        <w:spacing w:after="0" w:line="13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 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5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Recent high-profile security breaches and related disclosures of sensitive data by large institutions suggest that the risk of such events is significant, even if privacy protection and security measures are implemented and enforced. 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3" w:name="page24"/>
    <w:bookmarkEnd w:id="23"/>
    <w:p>
      <w:pPr>
        <w:ind w:right="20" w:firstLine="509"/>
        <w:spacing w:after="0" w:line="253" w:lineRule="auto"/>
        <w:rPr>
          <w:sz w:val="20"/>
          <w:szCs w:val="20"/>
          <w:color w:val="auto"/>
        </w:rPr>
      </w:pPr>
      <w:r>
        <w:rPr>
          <w:rFonts w:ascii="Arial" w:cs="Arial" w:eastAsia="Arial" w:hAnsi="Arial"/>
          <w:sz w:val="17"/>
          <w:szCs w:val="17"/>
          <w:color w:val="auto"/>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57"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85" w:lineRule="exact"/>
        <w:rPr>
          <w:sz w:val="20"/>
          <w:szCs w:val="20"/>
          <w:color w:val="auto"/>
        </w:rPr>
      </w:pPr>
    </w:p>
    <w:p>
      <w:pPr>
        <w:ind w:firstLine="578"/>
        <w:spacing w:after="0" w:line="268"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34" w:lineRule="exact"/>
        <w:rPr>
          <w:sz w:val="20"/>
          <w:szCs w:val="20"/>
          <w:color w:val="auto"/>
        </w:rPr>
      </w:pPr>
    </w:p>
    <w:p>
      <w:pPr>
        <w:ind w:right="80" w:firstLine="578"/>
        <w:spacing w:after="0" w:line="274"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ind w:right="260"/>
        <w:spacing w:after="0" w:line="262" w:lineRule="auto"/>
        <w:rPr>
          <w:sz w:val="20"/>
          <w:szCs w:val="20"/>
          <w:color w:val="auto"/>
        </w:rPr>
      </w:pPr>
      <w:r>
        <w:rPr>
          <w:rFonts w:ascii="Arial" w:cs="Arial" w:eastAsia="Arial" w:hAnsi="Arial"/>
          <w:sz w:val="17"/>
          <w:szCs w:val="17"/>
          <w:color w:val="auto"/>
        </w:rPr>
        <w:t>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45"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15"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8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15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4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Laws and regulations concerning privacy, data protection and information security are evolving, and changes to such laws and regulations could require us to change features of our platform or restrict our customers’ ability to collect and use email addresses,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5" w:name="page26"/>
    <w:bookmarkEnd w:id="25"/>
    <w:p>
      <w:pPr>
        <w:ind w:right="100"/>
        <w:spacing w:after="0" w:line="239" w:lineRule="auto"/>
        <w:rPr>
          <w:sz w:val="20"/>
          <w:szCs w:val="20"/>
          <w:color w:val="auto"/>
        </w:rPr>
      </w:pPr>
      <w:r>
        <w:rPr>
          <w:rFonts w:ascii="Arial" w:cs="Arial" w:eastAsia="Arial" w:hAnsi="Arial"/>
          <w:sz w:val="18"/>
          <w:szCs w:val="18"/>
          <w:color w:val="auto"/>
        </w:rPr>
        <w:t>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(the “CCPA”), that, among other things, require covered companies to provide new disclosures to California consumers and afford such consumers new abilities to opt-out of certain sales of personal information. The CCPA recently was amended and it is not yet fully clear how the CCPA will be enforced and how certain of its requirements will be interpreted. We cannot yet predict the impact of the CCPA on our business or operations, but it may require us to modify our data processing practices and policies and to incur substantial costs and expenses in an effort to comply.</w:t>
      </w:r>
    </w:p>
    <w:p>
      <w:pPr>
        <w:spacing w:after="0" w:line="16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Certain other state laws impose similar privacy obligations and we also expect that more states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addition, on March 2, 2021, Virginia enacted the Consumer Data Protection Act (the “CDPA”). The CDPA will become effective January 1, 2023. The CDPA will regulate how businesses (which the CDPA refers to as “controllers”) collect and share personal information.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47"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Also, on July 8, 2021, Colorado’s governor signed the Colorado Privacy Act (“CPA”) into law. The CPA will become effective July 1, 2023. The CPA is rather similar to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w:t>
      </w:r>
    </w:p>
    <w:p>
      <w:pPr>
        <w:spacing w:after="0" w:line="13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With the CPA, Colorado became the third state to enact a comprehensive privacy law but it is quite possible that other states will follow suit.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4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addition, several foreign jurisdictions, including the European Union and Canada, have regulations dealing with the collection and use of personal information obtained from their residents, which are often more restrictive than those in the U.S.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3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Within the European Union, legislators have adopted the GDPR and which became effective in May 2018 which may impose additional obligations and risk upon our business and which may increase substantially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The United Kingdom, however, is now regarded as a third country under the European Union’s GDPR which means that transfers of personal data from the European Economic Area to the United Kingdom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6" w:name="page27"/>
    <w:bookmarkEnd w:id="26"/>
    <w:p>
      <w:pPr>
        <w:ind w:right="80"/>
        <w:spacing w:after="0" w:line="279" w:lineRule="auto"/>
        <w:rPr>
          <w:sz w:val="20"/>
          <w:szCs w:val="20"/>
          <w:color w:val="auto"/>
        </w:rPr>
      </w:pPr>
      <w:r>
        <w:rPr>
          <w:rFonts w:ascii="Arial" w:cs="Arial" w:eastAsia="Arial" w:hAnsi="Arial"/>
          <w:sz w:val="16"/>
          <w:szCs w:val="16"/>
          <w:color w:val="auto"/>
        </w:rPr>
        <w:t>will be restricted unless an appropriate safeguard, as recognized by the European Union’s GDPR, has been put in place. However, under the EU-UK Trade Cooperation Agreement it is lawful to transfer personal data between the United Kingdom and the European Economic Area for a 6 month period following the end of the transition period, with a view to achieving an adequacy decision from the European Commission during that period.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32"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 invalidated the EU–US Privacy Shield ruling that it failed to offer adequate protections for European Union personal data transferred to the United States. The European Court of Justice, in the same decision, deemed that the Standard Contractual Clauses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 who hosts personal data within the European Union instead of doing business with us. In addition, on June 4, 2021, the European Commission issued new forms of standard contractual clauses for data transfers from controllers or processors in the EU/EEA (or otherwise subject to the GDPR) to controllers or processors established outside the EU/EEA (and not subject to the GDPR): The new forms of standard contractual clauses will replace the standard contractual clauses that were adopted previously under the Data Protection Directive. We are in the process of transitioning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w:t>
      </w:r>
    </w:p>
    <w:p>
      <w:pPr>
        <w:spacing w:after="0" w:line="12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regulatory framework governing the collection, processing, storage, use and sharing of certain information, particularly financial and other personal information, is rapidly evolving and is likely to continue to be subject to uncertainty and varying interpretations. It is possible that these laws may be interpreted and applied in a manner that is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51"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5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7" w:name="page28"/>
    <w:bookmarkEnd w:id="27"/>
    <w:p>
      <w:pPr>
        <w:ind w:right="360"/>
        <w:spacing w:after="0" w:line="261" w:lineRule="auto"/>
        <w:rPr>
          <w:sz w:val="20"/>
          <w:szCs w:val="20"/>
          <w:color w:val="auto"/>
        </w:rPr>
      </w:pPr>
      <w:r>
        <w:rPr>
          <w:rFonts w:ascii="Arial" w:cs="Arial" w:eastAsia="Arial" w:hAnsi="Arial"/>
          <w:sz w:val="18"/>
          <w:szCs w:val="18"/>
          <w:color w:val="auto"/>
        </w:rPr>
        <w:t>information, demand for our solutions could decrease, our costs could increase, and our business, results of operations and financial condition could be harmed.</w:t>
      </w:r>
    </w:p>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30"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85" w:lineRule="exact"/>
        <w:rPr>
          <w:sz w:val="20"/>
          <w:szCs w:val="20"/>
          <w:color w:val="auto"/>
        </w:rPr>
      </w:pPr>
    </w:p>
    <w:p>
      <w:pPr>
        <w:ind w:firstLine="517"/>
        <w:spacing w:after="0" w:line="238" w:lineRule="auto"/>
        <w:tabs>
          <w:tab w:leader="none" w:pos="8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153" w:lineRule="exact"/>
        <w:rPr>
          <w:rFonts w:ascii="Arial" w:cs="Arial" w:eastAsia="Arial" w:hAnsi="Arial"/>
          <w:sz w:val="18"/>
          <w:szCs w:val="18"/>
          <w:color w:val="auto"/>
        </w:rPr>
      </w:pPr>
    </w:p>
    <w:p>
      <w:pPr>
        <w:ind w:right="40" w:firstLine="517"/>
        <w:spacing w:after="0" w:line="276" w:lineRule="auto"/>
        <w:tabs>
          <w:tab w:leader="none" w:pos="8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21" w:lineRule="exact"/>
        <w:rPr>
          <w:rFonts w:ascii="Arial" w:cs="Arial" w:eastAsia="Arial" w:hAnsi="Arial"/>
          <w:sz w:val="16"/>
          <w:szCs w:val="16"/>
          <w:color w:val="auto"/>
        </w:rPr>
      </w:pPr>
    </w:p>
    <w:p>
      <w:pPr>
        <w:ind w:right="40" w:firstLine="517"/>
        <w:spacing w:after="0" w:line="272" w:lineRule="auto"/>
        <w:tabs>
          <w:tab w:leader="none" w:pos="8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4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5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 party payment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ind w:right="40"/>
        <w:spacing w:after="0"/>
        <w:rPr>
          <w:sz w:val="20"/>
          <w:szCs w:val="20"/>
          <w:color w:val="auto"/>
        </w:rPr>
      </w:pPr>
      <w:r>
        <w:rPr>
          <w:rFonts w:ascii="Arial" w:cs="Arial" w:eastAsia="Arial" w:hAnsi="Arial"/>
          <w:sz w:val="18"/>
          <w:szCs w:val="18"/>
          <w:color w:val="auto"/>
        </w:rPr>
        <w:t>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144" w:lineRule="exact"/>
        <w:rPr>
          <w:sz w:val="20"/>
          <w:szCs w:val="20"/>
          <w:color w:val="auto"/>
        </w:rPr>
      </w:pPr>
    </w:p>
    <w:p>
      <w:pPr>
        <w:ind w:right="260" w:firstLine="509"/>
        <w:spacing w:after="0" w:line="255"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3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49" w:lineRule="exact"/>
        <w:rPr>
          <w:sz w:val="20"/>
          <w:szCs w:val="20"/>
          <w:color w:val="auto"/>
        </w:rPr>
      </w:pPr>
    </w:p>
    <w:p>
      <w:pPr>
        <w:ind w:right="240"/>
        <w:spacing w:after="0" w:line="362"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CRM Platform and could impair our attractiveness to customers, which would harm our business.</w:t>
      </w:r>
    </w:p>
    <w:p>
      <w:pPr>
        <w:spacing w:after="0" w:line="14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3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9" w:name="page30"/>
    <w:bookmarkEnd w:id="29"/>
    <w:p>
      <w:pPr>
        <w:ind w:right="140"/>
        <w:spacing w:after="0" w:line="284" w:lineRule="auto"/>
        <w:rPr>
          <w:sz w:val="20"/>
          <w:szCs w:val="20"/>
          <w:color w:val="auto"/>
        </w:rPr>
      </w:pPr>
      <w:r>
        <w:rPr>
          <w:rFonts w:ascii="Arial" w:cs="Arial" w:eastAsia="Arial" w:hAnsi="Arial"/>
          <w:sz w:val="16"/>
          <w:szCs w:val="16"/>
          <w:color w:val="auto"/>
        </w:rPr>
        <w:t>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2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5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30"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7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30"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5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130"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be increased.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ind w:right="20"/>
        <w:spacing w:after="0" w:line="261"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4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not be able to utilize a significant portion of our net operating loss carryforwards, which could adversely affect our profitability.</w:t>
      </w:r>
    </w:p>
    <w:p>
      <w:pPr>
        <w:spacing w:after="0" w:line="19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have incurred losses during our history and do not expect to become profitable in the near future, and we may never achieve profitability. As of December 31, 2021, we had $1.2 billion of U.S. federal and $737.8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be carried back to each of the five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7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generated net losses of $77.8 million in 2021, $85.0 million in 2020, and $53.7 million in 2019. As of December 31, 2021, we had an accumulated deficit of $561.0 million. We will need to generate and sustain increased revenue levels in future periods to become profitable, and, even if we do, we may not be able to maintain or increase our level of profitability. We intend to continue to expend significant funds to grow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on Form 10-K, and unforeseen expenses, difficulties, complications and delays and other unknown events. If we are unable to achieve and sustain profitability, the market price of our common stock may significantly decrease.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20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From time to time, we may invest in social impact investment funds. For example, in December 2020, we committed to invest $12.5 million in the Black Economic Development Fund (“BEDF”) by December 2023. On March 9, 2021, we made a contribution of $2.3 million in cash in the BEDF. On June 22, 2021, we made an additional contribution of $0.8 million in cash for an aggregate of 5.0% ownership interest and income share in the BEDF. The BEDF is managed by the Local Initiatives Support Corporation (“LISC”), which expects to make investments from the BEDF in the form of bank deposits, bridge financing, and other financing to Black-led businesses, financial institutions, and anchor institutions. In December 2021, we invested the remaining commitment of $7.5 million in support of Minority Depository Institutions to help close the racial wealth, health and opportunity gap. There is no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spacing w:after="0" w:line="248" w:lineRule="auto"/>
        <w:rPr>
          <w:sz w:val="20"/>
          <w:szCs w:val="20"/>
          <w:color w:val="auto"/>
        </w:rPr>
      </w:pPr>
      <w:r>
        <w:rPr>
          <w:rFonts w:ascii="Arial" w:cs="Arial" w:eastAsia="Arial" w:hAnsi="Arial"/>
          <w:sz w:val="18"/>
          <w:szCs w:val="18"/>
          <w:color w:val="auto"/>
        </w:rPr>
        <w:t>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spacing w:after="0" w:line="147"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84" w:lineRule="exact"/>
        <w:rPr>
          <w:rFonts w:ascii="Arial" w:cs="Arial" w:eastAsia="Arial" w:hAnsi="Arial"/>
          <w:sz w:val="18"/>
          <w:szCs w:val="18"/>
          <w:color w:val="auto"/>
        </w:rPr>
      </w:pPr>
    </w:p>
    <w:p>
      <w:pPr>
        <w:ind w:left="1020" w:right="8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our CRM Platform subscriptions effectively so that we are able to attract and retain customers without compromising our profitability;</w:t>
      </w:r>
    </w:p>
    <w:p>
      <w:pPr>
        <w:spacing w:after="0" w:line="130"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71"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84"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94" w:lineRule="exact"/>
        <w:rPr>
          <w:rFonts w:ascii="Arial" w:cs="Arial" w:eastAsia="Arial" w:hAnsi="Arial"/>
          <w:sz w:val="16"/>
          <w:szCs w:val="16"/>
          <w:color w:val="auto"/>
        </w:rPr>
      </w:pPr>
    </w:p>
    <w:p>
      <w:pPr>
        <w:ind w:left="1020" w:right="4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14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rising inflation in the economies in which we operate and our ability to control costs, including operating expenses;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71" w:lineRule="exact"/>
        <w:rPr>
          <w:sz w:val="20"/>
          <w:szCs w:val="20"/>
          <w:color w:val="auto"/>
        </w:rPr>
      </w:pPr>
    </w:p>
    <w:p>
      <w:pPr>
        <w:jc w:val="both"/>
        <w:ind w:right="100" w:firstLine="509"/>
        <w:spacing w:after="0" w:line="270"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44" w:lineRule="exact"/>
        <w:rPr>
          <w:sz w:val="20"/>
          <w:szCs w:val="20"/>
          <w:color w:val="auto"/>
        </w:rPr>
      </w:pPr>
    </w:p>
    <w:p>
      <w:pPr>
        <w:jc w:val="both"/>
        <w:ind w:right="420" w:firstLine="509"/>
        <w:spacing w:after="0" w:line="294" w:lineRule="auto"/>
        <w:rPr>
          <w:sz w:val="20"/>
          <w:szCs w:val="20"/>
          <w:color w:val="auto"/>
        </w:rPr>
      </w:pPr>
      <w:r>
        <w:rPr>
          <w:rFonts w:ascii="Arial" w:cs="Arial" w:eastAsia="Arial" w:hAnsi="Arial"/>
          <w:sz w:val="16"/>
          <w:szCs w:val="16"/>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32" w:name="page33"/>
    <w:bookmarkEnd w:id="32"/>
    <w:p>
      <w:pPr>
        <w:ind w:right="320"/>
        <w:spacing w:after="0" w:line="261"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14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175"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55"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We incurred indebtedness in the aggregate principal amount of $400.0 million in connection with the issuance of our 0.25% convertible senior notes due June 1, 2022 (the “2022 Notes”). In June 2020, the Company exchanged approximately $272.1 million in aggregate principal amount of the 2022 Notes in privately-negotiated transactions for an aggregate of approximately $283.0 million in cash and 1.6 million shares of common stock. As of December 31, 2021, $19.4 million of principal remains outstanding on the 2022 Notes. In June 2020, concurrent with the partial repurchase of the 2022 Notes, we incurred indebtedness in the aggregate principal amount of $460.0 million in connection with the issuance of our 0.375% convertible senior notes due June 1, 2025 (the “2025 Notes”) and together with the 2022 Notes (the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3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78" w:lineRule="exact"/>
        <w:rPr>
          <w:sz w:val="20"/>
          <w:szCs w:val="20"/>
          <w:color w:val="auto"/>
        </w:rPr>
      </w:pPr>
    </w:p>
    <w:p>
      <w:pPr>
        <w:ind w:left="1020" w:right="4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ind w:right="360"/>
        <w:spacing w:after="0" w:line="246"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85"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130"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6"/>
          <w:szCs w:val="16"/>
          <w:color w:val="auto"/>
        </w:rPr>
        <w:t>Because the last reported sale price of the Company’s common stock for at least 20 trading days during the period of 30 consecutive trading days ending on the last trading day of the calendar quarter ended December 31, 2021 was equal to or greater than 130% of the conversion price of $94.77 on each applicable trading day, the 2022 Notes are convertible at the option of the holders thereof on the business day immediately preceding February 1,</w:t>
      </w:r>
    </w:p>
    <w:p>
      <w:pPr>
        <w:spacing w:after="0" w:line="250" w:lineRule="auto"/>
        <w:rPr>
          <w:sz w:val="20"/>
          <w:szCs w:val="20"/>
          <w:color w:val="auto"/>
        </w:rPr>
      </w:pPr>
      <w:r>
        <w:rPr>
          <w:rFonts w:ascii="Arial" w:cs="Arial" w:eastAsia="Arial" w:hAnsi="Arial"/>
          <w:sz w:val="17"/>
          <w:szCs w:val="17"/>
          <w:color w:val="auto"/>
        </w:rPr>
        <w:t>2022. In 2021, the Company settled approximately $106.5 million of the principal balance of the 2022 Notes in cash. On or after February 1, 2022 until the close of business on the second scheduled trading day immediately preceding the maturity date, holders may convert their notes at any time. As of February 11, 2022, the Company has not received additional conversion notices. Because the last reported sale price of the Company’s common stock for at least 20 trading days during the period of 30 consecutive trading days ending on the last trading day of the calendar quarter ended December 31, 2021 was equal to or greater than 130% of the applicable conversion price on each applicable trading day, the 2025 Notes are convertible at the option of the holders thereof during the calendar quarter ending March 31, 2022. Between the end of the most recently completed fiscal quarter and February 11, 2022, the Company settled $0.9 million of principal balance of the 2025 Notes in cash in response to conversion notices received prior to December 31, 2021. As of February 11, 2022, the Company has not received additional conversion notices. Whether the Notes that remain outstanding will be convertible following the calendar quarter ending December 31, 2021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4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Under Financial Accounting Standards Board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2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7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December 31, 2021. The market price of our common stock may fluctuate significantly in response to numerous factors, many of which are beyond our control, including:</w:t>
      </w:r>
    </w:p>
    <w:p>
      <w:pPr>
        <w:spacing w:after="0" w:line="80" w:lineRule="exact"/>
        <w:rPr>
          <w:sz w:val="20"/>
          <w:szCs w:val="20"/>
          <w:color w:val="auto"/>
        </w:rPr>
      </w:pPr>
    </w:p>
    <w:p>
      <w:pPr>
        <w:ind w:left="1020" w:right="3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03" w:lineRule="exact"/>
        <w:rPr>
          <w:rFonts w:ascii="Arial" w:cs="Arial" w:eastAsia="Arial" w:hAnsi="Arial"/>
          <w:sz w:val="18"/>
          <w:szCs w:val="18"/>
          <w:color w:val="auto"/>
        </w:rPr>
      </w:pPr>
    </w:p>
    <w:p>
      <w:pPr>
        <w:ind w:left="1020" w:right="400" w:hanging="503"/>
        <w:spacing w:after="0" w:line="32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16" w:lineRule="exact"/>
        <w:rPr>
          <w:rFonts w:ascii="Arial" w:cs="Arial" w:eastAsia="Arial" w:hAnsi="Arial"/>
          <w:sz w:val="16"/>
          <w:szCs w:val="16"/>
          <w:color w:val="auto"/>
        </w:rPr>
      </w:pPr>
    </w:p>
    <w:p>
      <w:pPr>
        <w:ind w:left="1020" w:right="5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171" w:lineRule="exact"/>
        <w:rPr>
          <w:sz w:val="20"/>
          <w:szCs w:val="20"/>
          <w:color w:val="auto"/>
        </w:rPr>
      </w:pPr>
    </w:p>
    <w:p>
      <w:pPr>
        <w:ind w:firstLine="578"/>
        <w:spacing w:after="0" w:line="24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55" w:lineRule="exact"/>
        <w:rPr>
          <w:sz w:val="20"/>
          <w:szCs w:val="20"/>
          <w:color w:val="auto"/>
        </w:rPr>
      </w:pPr>
    </w:p>
    <w:p>
      <w:pPr>
        <w:jc w:val="both"/>
        <w:ind w:right="260" w:firstLine="578"/>
        <w:spacing w:after="0" w:line="248"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ind w:right="160" w:firstLine="578"/>
        <w:spacing w:after="0" w:line="241"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62" w:lineRule="exact"/>
        <w:rPr>
          <w:sz w:val="20"/>
          <w:szCs w:val="20"/>
          <w:color w:val="auto"/>
        </w:rPr>
      </w:pPr>
    </w:p>
    <w:p>
      <w:pPr>
        <w:ind w:right="80" w:firstLine="578"/>
        <w:spacing w:after="0" w:line="274"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p>
      <w:pPr>
        <w:jc w:val="both"/>
        <w:spacing w:after="0" w:line="248" w:lineRule="auto"/>
        <w:rPr>
          <w:sz w:val="20"/>
          <w:szCs w:val="20"/>
          <w:color w:val="auto"/>
        </w:rPr>
      </w:pPr>
      <w:r>
        <w:rPr>
          <w:rFonts w:ascii="Arial" w:cs="Arial" w:eastAsia="Arial" w:hAnsi="Arial"/>
          <w:sz w:val="18"/>
          <w:szCs w:val="18"/>
          <w:color w:val="auto"/>
        </w:rPr>
        <w:t>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55" w:lineRule="exact"/>
        <w:rPr>
          <w:sz w:val="20"/>
          <w:szCs w:val="20"/>
          <w:color w:val="auto"/>
        </w:rPr>
      </w:pPr>
    </w:p>
    <w:p>
      <w:pPr>
        <w:ind w:right="160" w:firstLine="578"/>
        <w:spacing w:after="0" w:line="253"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85"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4" w:lineRule="exact"/>
        <w:rPr>
          <w:sz w:val="20"/>
          <w:szCs w:val="20"/>
          <w:color w:val="auto"/>
        </w:rPr>
      </w:pPr>
    </w:p>
    <w:p>
      <w:pPr>
        <w:ind w:left="1020" w:right="7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9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continuing effects of the COVID-19 pandemic are highly unpredictable and could be significant, and the duration and extent to which this will impact our future results of operations and overall financial performance remains uncertain.</w:t>
      </w:r>
    </w:p>
    <w:p>
      <w:pPr>
        <w:spacing w:after="0" w:line="14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COVID-19 pandemic and virus containment measures taken by federal and state governments have resulted in, and are expected to continue to result in, business slowdowns or shutdowns, weakened economic conditions, economic uncertainty, and volatility in the financial markets, both regionally and worldwide. We have continued to conduct business during the COVID-19 pandemic with substantial modifications to employee travel and where employees work, as well as virtualization, postponement, or cancellation of certain events, among other changes. We have begun to slowly re-open our offices on a staggered, region-by-region basis in accordance with local authority guidelines, we continue to actively monitor the situation and have taken and may take further actions to alter our business operations as may be required by federal, state, or local authorities. Although we have been able to navigate workplace restrictions and limitations with minimal disruptions to our business operations to date, we may further modify our business practices and real estate needs in response to the risks and negative impacts caused by the COVID-19 pandemic, but we cannot be certain that these measures will continue to be successful. We continue to actively monitor the situation and may take further actions to alter our business operations as may be required by federal, state, or local authorities, or that we determine are in the best interests of our employees, customers, partners, suppliers, and stockholders, including in response to outbreaks and variants.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7" w:name="page38"/>
    <w:bookmarkEnd w:id="37"/>
    <w:p>
      <w:pPr>
        <w:ind w:right="160" w:firstLine="509"/>
        <w:spacing w:after="0"/>
        <w:rPr>
          <w:sz w:val="20"/>
          <w:szCs w:val="20"/>
          <w:color w:val="auto"/>
        </w:rPr>
      </w:pPr>
      <w:r>
        <w:rPr>
          <w:rFonts w:ascii="Arial" w:cs="Arial" w:eastAsia="Arial" w:hAnsi="Arial"/>
          <w:sz w:val="18"/>
          <w:szCs w:val="18"/>
          <w:color w:val="auto"/>
        </w:rPr>
        <w:t>While we have not been materially adversely affected to date,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and its residual effects have a substantial impact on the ability of our customers to purchase our offerings, our results of operations, and overall financial performance may be harmed.</w:t>
      </w:r>
    </w:p>
    <w:p>
      <w:pPr>
        <w:spacing w:after="0" w:line="162"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The extent to which the pandemic impacts our business operations in future periods will depend on multiple factors that cannot be accurately predicated at this time, such as the duration and scope of the pandemic, future spikes of COVID-19 infections (including the spread of variants or mutant strains, and the degree of transmissibility and severity thereof),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 In addition, supply chain disruption and resulting inflationary pressures, a global labor shortage, the ebb and flow of COVID-19, including in specific geographies, and changes in economic policy could impact our outlook.</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85"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7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85"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100" w:firstLine="509"/>
        <w:spacing w:after="0" w:line="231" w:lineRule="auto"/>
        <w:rPr>
          <w:sz w:val="20"/>
          <w:szCs w:val="20"/>
          <w:color w:val="auto"/>
        </w:rPr>
      </w:pPr>
      <w:r>
        <w:rPr>
          <w:rFonts w:ascii="Arial" w:cs="Arial" w:eastAsia="Arial" w:hAnsi="Arial"/>
          <w:sz w:val="18"/>
          <w:szCs w:val="18"/>
          <w:color w:val="auto"/>
        </w:rPr>
        <w:t>We occupy approximately 447,000 square feet of office space in Cambridge, Massachusetts pursuant to lease agreements that expire through 2035. We also maintain a number of international offices across the world.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9" w:name="page40"/>
    <w:bookmarkEnd w:id="39"/>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77"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Our common stock has been listed on the New York Stock Exchange under the symbol “HUBS” since October 9, 2014. Prior to that date, there was no public trading market for our common stock. Our initial public offering was priced at $25.00 per share on October 8, 2014.</w:t>
      </w:r>
    </w:p>
    <w:p>
      <w:pPr>
        <w:spacing w:after="0" w:line="147" w:lineRule="exact"/>
        <w:rPr>
          <w:sz w:val="20"/>
          <w:szCs w:val="20"/>
          <w:color w:val="auto"/>
        </w:rPr>
      </w:pPr>
    </w:p>
    <w:p>
      <w:pPr>
        <w:ind w:right="40" w:firstLine="509"/>
        <w:spacing w:after="0" w:line="224" w:lineRule="auto"/>
        <w:rPr>
          <w:sz w:val="20"/>
          <w:szCs w:val="20"/>
          <w:color w:val="auto"/>
        </w:rPr>
      </w:pPr>
      <w:r>
        <w:rPr>
          <w:rFonts w:ascii="Arial" w:cs="Arial" w:eastAsia="Arial" w:hAnsi="Arial"/>
          <w:sz w:val="18"/>
          <w:szCs w:val="18"/>
          <w:color w:val="auto"/>
        </w:rPr>
        <w:t>As of February 11, 2022, we had 30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7" w:lineRule="exact"/>
        <w:rPr>
          <w:sz w:val="20"/>
          <w:szCs w:val="20"/>
          <w:color w:val="auto"/>
        </w:rPr>
      </w:pPr>
    </w:p>
    <w:p>
      <w:pPr>
        <w:ind w:right="220" w:firstLine="509"/>
        <w:spacing w:after="0" w:line="21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77" w:lineRule="exact"/>
        <w:rPr>
          <w:sz w:val="20"/>
          <w:szCs w:val="20"/>
          <w:color w:val="auto"/>
        </w:rPr>
      </w:pPr>
    </w:p>
    <w:p>
      <w:pPr>
        <w:ind w:right="520" w:firstLine="509"/>
        <w:spacing w:after="0" w:line="259"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14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6"/>
          <w:szCs w:val="16"/>
          <w:color w:val="auto"/>
        </w:rPr>
        <w:t>The following graph shows a comparison of the cumulative total return for our common stock, the Nasdaq Computer Index and the S&amp;P 500 Index for each of the last six fiscal years ended December 31, 2021. The graph assumes an initial investment of $100 in each of the Company’s common stock, the Nasdaq Computer Index and the S&amp;P 500.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111125</wp:posOffset>
            </wp:positionV>
            <wp:extent cx="4989195" cy="2366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8919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12/31/2015</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12/31/2016</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12/31/2017</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12/31/2018</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12/31/2019</w:t>
            </w: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12/31/2020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12/31/2021</w:t>
            </w:r>
          </w:p>
        </w:tc>
        <w:tc>
          <w:tcPr>
            <w:tcW w:w="60" w:type="dxa"/>
            <w:vAlign w:val="bottom"/>
          </w:tcPr>
          <w:p>
            <w:pPr>
              <w:spacing w:after="0"/>
              <w:rPr>
                <w:sz w:val="16"/>
                <w:szCs w:val="16"/>
                <w:color w:val="auto"/>
              </w:rPr>
            </w:pPr>
          </w:p>
        </w:tc>
      </w:tr>
      <w:tr>
        <w:trPr>
          <w:trHeight w:val="196"/>
        </w:trPr>
        <w:tc>
          <w:tcPr>
            <w:tcW w:w="2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HubSpot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1,171</w:t>
            </w:r>
          </w:p>
        </w:tc>
        <w:tc>
          <w:tcPr>
            <w:tcW w:w="60" w:type="dxa"/>
            <w:vAlign w:val="bottom"/>
            <w:shd w:val="clear" w:color="auto" w:fill="CFF0FC"/>
          </w:tcPr>
          <w:p>
            <w:pPr>
              <w:spacing w:after="0"/>
              <w:rPr>
                <w:sz w:val="17"/>
                <w:szCs w:val="17"/>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S&amp;P 500 Index</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60" w:type="dxa"/>
            <w:vAlign w:val="bottom"/>
          </w:tcPr>
          <w:p>
            <w:pPr>
              <w:spacing w:after="0"/>
              <w:rPr>
                <w:sz w:val="17"/>
                <w:szCs w:val="17"/>
                <w:color w:val="auto"/>
              </w:rPr>
            </w:pPr>
          </w:p>
        </w:tc>
      </w:tr>
      <w:tr>
        <w:trPr>
          <w:trHeight w:val="203"/>
        </w:trPr>
        <w:tc>
          <w:tcPr>
            <w:tcW w:w="2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Nasdaq Computer Index</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w:t>
            </w:r>
          </w:p>
        </w:tc>
        <w:tc>
          <w:tcPr>
            <w:tcW w:w="60" w:type="dxa"/>
            <w:vAlign w:val="bottom"/>
            <w:shd w:val="clear" w:color="auto" w:fill="CFF0FC"/>
          </w:tcPr>
          <w:p>
            <w:pPr>
              <w:spacing w:after="0"/>
              <w:rPr>
                <w:sz w:val="17"/>
                <w:szCs w:val="17"/>
                <w:color w:val="auto"/>
              </w:rPr>
            </w:pPr>
          </w:p>
        </w:tc>
      </w:tr>
      <w:tr>
        <w:trPr>
          <w:trHeight w:val="635"/>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2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0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Convertible Senior Notes, Convertible Note Hedges, Capped Call Options and Warrants</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In May 2017, we issued $400.0 million aggregate principal amount of 0.25% convertible senior (the “2022 Notes”) due June 1, 2022, of which $272.1 million was repurchased in June 2020 and $2.8 million was settled in cash during the fourth quarter of 2021. As of December 31, 2021, $19.4 million of principal remains outstanding on the 2022 Notes. Also in June 2020, we issued $460 million aggregate principal amount of convertible senior notes due June 1, 2025 (the “2025 Notes”).</w:t>
      </w:r>
    </w:p>
    <w:p>
      <w:pPr>
        <w:spacing w:after="0" w:line="8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shares of the Company’s common stock at a price of approximately $94.77 per share. In addition, the Company sold warrants (the “Warrants”) to certain bank counterparties whereby the holders of the warrants have the option to purchase (subject to adjustment for certain specified events) shares of the Company’s common stock at a price of $115.8 per share. In connection with the offering of the 2025 Notes, the Company purchased capped call options (“Capped Call Options”) that give the Company the option to purchase up to approximately 1.6 million shares of its common stock for $282.52 per share. As of December 31, 2021, Convertible Note Hedges corresponding to approximately 0.2 million shares of the Company’s common stock and Warrants corresponding to approximately 1.3 million shares of the Company’s common stock remain outstanding. See Note 9 in the Notes to the Consolidated Financial Statements for more information.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0"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spacing w:after="0" w:line="155"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 party applications to further customize to an individual company’s industry or needs. In addition, an end-to-end payment solution, Payments, is built within our CRM Platform which enables customers to streamline their payment process.</w:t>
      </w:r>
    </w:p>
    <w:p>
      <w:pPr>
        <w:spacing w:after="0" w:line="119" w:lineRule="exact"/>
        <w:rPr>
          <w:sz w:val="20"/>
          <w:szCs w:val="20"/>
          <w:color w:val="auto"/>
        </w:rPr>
      </w:pPr>
    </w:p>
    <w:p>
      <w:pPr>
        <w:jc w:val="both"/>
        <w:ind w:right="200" w:firstLine="554"/>
        <w:spacing w:after="0" w:line="270" w:lineRule="auto"/>
        <w:rPr>
          <w:sz w:val="20"/>
          <w:szCs w:val="20"/>
          <w:color w:val="auto"/>
        </w:rPr>
      </w:pPr>
      <w:r>
        <w:rPr>
          <w:rFonts w:ascii="Arial" w:cs="Arial" w:eastAsia="Arial" w:hAnsi="Arial"/>
          <w:sz w:val="17"/>
          <w:szCs w:val="17"/>
          <w:color w:val="212529"/>
        </w:rPr>
        <w:t>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23" w:lineRule="exact"/>
        <w:rPr>
          <w:sz w:val="20"/>
          <w:szCs w:val="20"/>
          <w:color w:val="auto"/>
        </w:rPr>
      </w:pPr>
    </w:p>
    <w:p>
      <w:pPr>
        <w:ind w:right="160" w:firstLine="509"/>
        <w:spacing w:after="0" w:line="272"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December 31, 2021, we had 5,895 full-time employees and 135,442 Customers of varying sizes in more than 120 countries, representing almost every industry.</w:t>
      </w:r>
    </w:p>
    <w:p>
      <w:pPr>
        <w:spacing w:after="0" w:line="14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CRM Platform is a multi-tenant, single code-based and globally available software-as-a-service product delivered through web browsers or mobile applications. We sell our CRM Platform on a subscription basis. Our total revenue increased to $1.3 billion in 2021, from $883.0 million in 2020, and from $674.9 million in 2019, representing year-over-year increases of 47% in 2021 and 31% in 2020. We had net losses of $77.8 million in 2021, $85.0 million in 2020, and $53.7 million in 2019, primarily due to investments in our growth.</w:t>
      </w:r>
    </w:p>
    <w:p>
      <w:pPr>
        <w:spacing w:after="0" w:line="147"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derive most of our revenue from subscriptions to our cloud-based CRM Platform and related professional services, which consist of customer on-boarding, training and consulting services. Subscription revenue accounted for 97% of our total revenue for the years ended December 31, 2021 and 2020, and 96% of our total revenue for the year ended December 31, 2019.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5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5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Many of our customers purchase on-boarding, training, and consulting services, as well as other tools and Payments, which are designed to help customers enhance their ability to attract, engage and delight their customers using our CRM Platform. We also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ind w:right="120"/>
        <w:spacing w:after="0" w:line="248" w:lineRule="auto"/>
        <w:rPr>
          <w:sz w:val="20"/>
          <w:szCs w:val="20"/>
          <w:color w:val="auto"/>
        </w:rPr>
      </w:pPr>
      <w:r>
        <w:rPr>
          <w:rFonts w:ascii="Arial" w:cs="Arial" w:eastAsia="Arial" w:hAnsi="Arial"/>
          <w:sz w:val="18"/>
          <w:szCs w:val="18"/>
          <w:color w:val="auto"/>
        </w:rPr>
        <w:t>generate revenue from a number of revenue-share agreements with other companies based on mutually agreed upon terms. Professional services and other revenue accounted for 3% of total revenue for the year ended December 31, 2021 and 2020, and 4% of total revenue for the year ended December 31, 2019.</w:t>
      </w:r>
    </w:p>
    <w:p>
      <w:pPr>
        <w:spacing w:after="0" w:line="155"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We have focused on rapidly growing our business and plan to continue to make investments to help us address some of the challenges facing us to support this growth, such as demand for our CRM Platform by existing and new customers, significant competition from other providers of marketing, sales, customer service, operations, and content management software and related applications and rapid technological change in our industry.</w:t>
      </w:r>
    </w:p>
    <w:p>
      <w:pPr>
        <w:spacing w:after="0" w:line="107"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CRM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support our business and do not expect to be profitable in the near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89" w:lineRule="exact"/>
        <w:rPr>
          <w:sz w:val="20"/>
          <w:szCs w:val="20"/>
          <w:color w:val="auto"/>
        </w:rPr>
      </w:pPr>
    </w:p>
    <w:p>
      <w:pPr>
        <w:ind w:right="80" w:firstLine="590"/>
        <w:spacing w:after="0" w:line="284" w:lineRule="auto"/>
        <w:rPr>
          <w:sz w:val="20"/>
          <w:szCs w:val="20"/>
          <w:color w:val="auto"/>
        </w:rPr>
      </w:pPr>
      <w:r>
        <w:rPr>
          <w:rFonts w:ascii="Arial" w:cs="Arial" w:eastAsia="Arial" w:hAnsi="Arial"/>
          <w:sz w:val="16"/>
          <w:szCs w:val="16"/>
          <w:color w:val="auto"/>
        </w:rPr>
        <w:t>In March 2020, the World Health Organization, or WHO, declared the outbreak of a disease caused by a novel strain of the coronavirus (“COVID-19”) to be a pandemic (the “pandemic”). This pandemic has had widespread, rapidly-evolving, and unpredictable impacts on global societies, economies, financial markets, and business practices. Federal and state governments have implemented various measures in an effort to contain the virus, which have caused, and are continuing to cause, business slowdowns or shutdowns in affected areas, both regionally and worldwide.</w:t>
      </w:r>
    </w:p>
    <w:p>
      <w:pPr>
        <w:spacing w:after="0" w:line="115" w:lineRule="exact"/>
        <w:rPr>
          <w:sz w:val="20"/>
          <w:szCs w:val="20"/>
          <w:color w:val="auto"/>
        </w:rPr>
      </w:pPr>
    </w:p>
    <w:p>
      <w:pPr>
        <w:ind w:right="80" w:firstLine="590"/>
        <w:spacing w:after="0" w:line="284" w:lineRule="auto"/>
        <w:rPr>
          <w:sz w:val="20"/>
          <w:szCs w:val="20"/>
          <w:color w:val="auto"/>
        </w:rPr>
      </w:pPr>
      <w:r>
        <w:rPr>
          <w:rFonts w:ascii="Arial" w:cs="Arial" w:eastAsia="Arial" w:hAnsi="Arial"/>
          <w:sz w:val="16"/>
          <w:szCs w:val="16"/>
          <w:color w:val="auto"/>
        </w:rPr>
        <w:t>Our focus remains on promoting employee health and safety, serving our customers, complying with regulations, and ensuring business continuity. As we continue to reassess local regulations and restrictions across the globe and the administration of vaccine programs ramps up and cases decline, we are moving towards slowly re-opening some of our offices on a staggered, region-to-region basis in accordance with local authority guidelines while ensuring that our return to work is thoughtful, prudent, and handled with an abundance of caution with the health of our employees being the top priority.</w:t>
      </w:r>
    </w:p>
    <w:p>
      <w:pPr>
        <w:spacing w:after="0" w:line="115" w:lineRule="exact"/>
        <w:rPr>
          <w:sz w:val="20"/>
          <w:szCs w:val="20"/>
          <w:color w:val="auto"/>
        </w:rPr>
      </w:pPr>
    </w:p>
    <w:p>
      <w:pPr>
        <w:ind w:firstLine="590"/>
        <w:spacing w:after="0" w:line="248" w:lineRule="auto"/>
        <w:rPr>
          <w:sz w:val="20"/>
          <w:szCs w:val="20"/>
          <w:color w:val="auto"/>
        </w:rPr>
      </w:pPr>
      <w:r>
        <w:rPr>
          <w:rFonts w:ascii="Arial" w:cs="Arial" w:eastAsia="Arial" w:hAnsi="Arial"/>
          <w:sz w:val="18"/>
          <w:szCs w:val="18"/>
          <w:color w:val="auto"/>
        </w:rPr>
        <w:t>While the pandemic has not had a material adverse financial impact on our business to date, the broader implications of the pandemic on our results of operations and overall financial performance will depend on future developments and conditions. See Part I, Item 1A. "Risk Factors" for further discussion of the impact and possible future impacts of the pandemic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than similar key business metrics used by other companies.</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r>
      <w:tr>
        <w:trPr>
          <w:trHeight w:val="19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135,442</w:t>
            </w: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103,994</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73,483</w:t>
            </w:r>
          </w:p>
        </w:tc>
        <w:tc>
          <w:tcPr>
            <w:tcW w:w="240" w:type="dxa"/>
            <w:vAlign w:val="bottom"/>
            <w:shd w:val="clear" w:color="auto" w:fill="CFF0FC"/>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Average Subscription Revenue per Customer</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10,486</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9,582</w:t>
            </w:r>
          </w:p>
        </w:tc>
        <w:tc>
          <w:tcPr>
            <w:tcW w:w="3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9,920</w:t>
            </w:r>
          </w:p>
        </w:tc>
        <w:tc>
          <w:tcPr>
            <w:tcW w:w="240" w:type="dxa"/>
            <w:vAlign w:val="bottom"/>
          </w:tcPr>
          <w:p>
            <w:pPr>
              <w:spacing w:after="0"/>
              <w:rPr>
                <w:sz w:val="17"/>
                <w:szCs w:val="17"/>
                <w:color w:val="auto"/>
              </w:rPr>
            </w:pPr>
          </w:p>
        </w:tc>
      </w:tr>
      <w:tr>
        <w:trPr>
          <w:trHeight w:val="203"/>
        </w:trPr>
        <w:tc>
          <w:tcPr>
            <w:tcW w:w="3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Revenue Retention</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115.2 %</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102.3 %</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99.9 %</w:t>
            </w:r>
          </w:p>
        </w:tc>
      </w:tr>
    </w:tbl>
    <w:p>
      <w:pPr>
        <w:spacing w:after="0" w:line="157"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color w:val="auto"/>
        </w:rPr>
        <w:t>Customers</w:t>
      </w:r>
      <w:r>
        <w:rPr>
          <w:rFonts w:ascii="Arial" w:cs="Arial" w:eastAsia="Arial" w:hAnsi="Arial"/>
          <w:sz w:val="18"/>
          <w:szCs w:val="18"/>
          <w:color w:val="auto"/>
        </w:rPr>
        <w:t>. We believe that our ability to increase our customer base is an indicator of our market penetration, the growth of our business,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future business opportunities as we continue to expand our sales force and invest in marketing efforts. We define our Customers at the end of a particular period as the number of business entities with one or more paid subscriptions to our CRM Platform either purchased directly with us or purchased from a Solutions Partner. We do not include in Customers business entities with one or more paid subscriptions solely for our legacy Sales Hub ($10) product or any PieSync product. A single customer may have separate paid subscriptions to our CRM Platform, but we count these as one Customer if certain customer-provided information such as company name, URL, or email address indicate that these subscriptions are managed by the same business entity.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4" w:name="page45"/>
    <w:bookmarkEnd w:id="44"/>
    <w:p>
      <w:pPr>
        <w:ind w:right="20" w:firstLine="509"/>
        <w:spacing w:after="0" w:line="245" w:lineRule="auto"/>
        <w:rPr>
          <w:sz w:val="20"/>
          <w:szCs w:val="20"/>
          <w:color w:val="auto"/>
        </w:rPr>
      </w:pPr>
      <w:r>
        <w:rPr>
          <w:rFonts w:ascii="Arial" w:cs="Arial" w:eastAsia="Arial" w:hAnsi="Arial"/>
          <w:sz w:val="18"/>
          <w:szCs w:val="18"/>
          <w:b w:val="1"/>
          <w:bCs w:val="1"/>
          <w:color w:val="auto"/>
        </w:rPr>
        <w:t xml:space="preserve">Average Subscription Revenue per Customer. </w:t>
      </w:r>
      <w:r>
        <w:rPr>
          <w:rFonts w:ascii="Arial" w:cs="Arial" w:eastAsia="Arial" w:hAnsi="Arial"/>
          <w:sz w:val="18"/>
          <w:szCs w:val="18"/>
          <w:color w:val="auto"/>
        </w:rPr>
        <w:t>We believe that our ability to increase the Average Subscription Revenue per Customer is an</w:t>
      </w:r>
      <w:r>
        <w:rPr>
          <w:rFonts w:ascii="Arial" w:cs="Arial" w:eastAsia="Arial" w:hAnsi="Arial"/>
          <w:sz w:val="18"/>
          <w:szCs w:val="18"/>
          <w:b w:val="1"/>
          <w:bCs w:val="1"/>
          <w:color w:val="auto"/>
        </w:rPr>
        <w:t xml:space="preserve"> </w:t>
      </w:r>
      <w:r>
        <w:rPr>
          <w:rFonts w:ascii="Arial" w:cs="Arial" w:eastAsia="Arial" w:hAnsi="Arial"/>
          <w:sz w:val="18"/>
          <w:szCs w:val="18"/>
          <w:color w:val="auto"/>
        </w:rPr>
        <w:t>indicator of our ability to grow the long-term value of our existing customer relationships. We define Average Subscription Revenue per Customer during a particular period as subscription revenue, excluding revenue from our legacy Sales Hub ($10) and PieSync products, from our Customers during the period divided by the average Customers during the same period.</w:t>
      </w:r>
    </w:p>
    <w:p>
      <w:pPr>
        <w:spacing w:after="0" w:line="154"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b w:val="1"/>
          <w:bCs w:val="1"/>
          <w:color w:val="auto"/>
        </w:rPr>
        <w:t xml:space="preserve">Net Revenue Retention. </w:t>
      </w:r>
      <w:r>
        <w:rPr>
          <w:rFonts w:ascii="Arial" w:cs="Arial" w:eastAsia="Arial" w:hAnsi="Arial"/>
          <w:sz w:val="17"/>
          <w:szCs w:val="17"/>
          <w:color w:val="auto"/>
        </w:rPr>
        <w:t>We believe that our ability to retain and expand a customer relationship is an indicator of the stability of our revenue base</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w:t>
      </w:r>
    </w:p>
    <w:p>
      <w:pPr>
        <w:spacing w:after="0" w:line="133"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i w:val="1"/>
          <w:iCs w:val="1"/>
          <w:color w:val="auto"/>
        </w:rPr>
        <w:t xml:space="preserve">Retained Subscription Revenue. </w:t>
      </w:r>
      <w:r>
        <w:rPr>
          <w:rFonts w:ascii="Arial" w:cs="Arial" w:eastAsia="Arial" w:hAnsi="Arial"/>
          <w:sz w:val="18"/>
          <w:szCs w:val="18"/>
          <w:color w:val="auto"/>
        </w:rPr>
        <w:t>Contractual Monthly Subscription Revenue of the same cohort of Customers as those that comprise the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Base Revenue at the end of the same month.</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Retention Base Revenue. </w:t>
      </w:r>
      <w:r>
        <w:rPr>
          <w:rFonts w:ascii="Arial" w:cs="Arial" w:eastAsia="Arial" w:hAnsi="Arial"/>
          <w:sz w:val="18"/>
          <w:szCs w:val="18"/>
          <w:color w:val="auto"/>
        </w:rPr>
        <w:t>Contractual Monthly Subscription Revenue of our Customers as of the beginning of each month.</w:t>
      </w:r>
    </w:p>
    <w:p>
      <w:pPr>
        <w:spacing w:after="0" w:line="387" w:lineRule="exact"/>
        <w:rPr>
          <w:sz w:val="20"/>
          <w:szCs w:val="20"/>
          <w:color w:val="auto"/>
        </w:rPr>
      </w:pPr>
    </w:p>
    <w:p>
      <w:pPr>
        <w:ind w:right="740" w:firstLine="509"/>
        <w:spacing w:after="0" w:line="324" w:lineRule="auto"/>
        <w:rPr>
          <w:sz w:val="20"/>
          <w:szCs w:val="20"/>
          <w:color w:val="auto"/>
        </w:rPr>
      </w:pPr>
      <w:r>
        <w:rPr>
          <w:rFonts w:ascii="Arial" w:cs="Arial" w:eastAsia="Arial" w:hAnsi="Arial"/>
          <w:sz w:val="16"/>
          <w:szCs w:val="16"/>
          <w:i w:val="1"/>
          <w:iCs w:val="1"/>
          <w:color w:val="auto"/>
        </w:rPr>
        <w:t xml:space="preserve">Contractual Monthly Subscription Revenue. </w:t>
      </w:r>
      <w:r>
        <w:rPr>
          <w:rFonts w:ascii="Arial" w:cs="Arial" w:eastAsia="Arial" w:hAnsi="Arial"/>
          <w:sz w:val="16"/>
          <w:szCs w:val="16"/>
          <w:color w:val="auto"/>
        </w:rPr>
        <w:t>The subscription fees contractually committed to be paid for a full month under our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converted into USD at fixed rates that are held consistent over time, excluding commissions owed to our Solutions Partners.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9"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derive our revenue from two major sources, revenue from subscriptions to our CRM Platform and professional services and other revenue consisting mainly of on-boarding, training, and consulting services fees.</w:t>
      </w:r>
    </w:p>
    <w:p>
      <w:pPr>
        <w:spacing w:after="0" w:line="13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Subscription based revenue is derived from customers using our CRM Platform for their inbound marketing, sales, service, operations, and content management needs. Our CRM Platform features integrated applications that create a cohesive and adaptable customer experience. These integrated applications include SEO, blogging, website content management, messaging, chatbots, social media, marketing automation, email, predictive lead scoring, sales productivity, ticketing and helpdesk tools, customer NPS surveys, analytics, and reporting. Subscriptions are billed in advance on various schedules. All subscription fees that are billed in advance of service are recorded in deferred revenue. Subscription based revenue is recognized net of consideration paid to Solutions Partners when those Solutions Partners purchase a subscription to our CRM Platform.</w:t>
      </w:r>
    </w:p>
    <w:p>
      <w:pPr>
        <w:spacing w:after="0" w:line="135"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Professional services and other revenue are derived primarily from customer on-boarding, training, and consulting services. These services provided to customers typically involve an implementation specialist. An implementation specialist will typically work with our customers to enhance their understanding of how to attract leads and convert them into customers through SEO, social media, blogging and other content.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processing fees from Payments and from a number of revenue-share agreements with other companies based on mutually agreed upon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Operating and Other Expenses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depreciation of fixed assets, and costs related to information technology.</w:t>
      </w:r>
    </w:p>
    <w:p>
      <w:pPr>
        <w:spacing w:after="0" w:line="161"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w:t>
      </w:r>
    </w:p>
    <w:p>
      <w:pPr>
        <w:spacing w:after="0" w:line="14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expect that the cost of subscription and professional services and other revenue will increase in absolute dollars as we continue to invest in growing our business. We expect stock-based compensation to increase on an absolute dollar value basis due to anticipated headcount growth, continued investment in stock-based awards, and a shift in stock award vesting schedules from four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5" w:name="page46"/>
    <w:bookmarkEnd w:id="45"/>
    <w:p>
      <w:pPr>
        <w:ind w:right="100"/>
        <w:spacing w:after="0" w:line="270" w:lineRule="auto"/>
        <w:rPr>
          <w:sz w:val="20"/>
          <w:szCs w:val="20"/>
          <w:color w:val="auto"/>
        </w:rPr>
      </w:pPr>
      <w:r>
        <w:rPr>
          <w:rFonts w:ascii="Arial" w:cs="Arial" w:eastAsia="Arial" w:hAnsi="Arial"/>
          <w:sz w:val="17"/>
          <w:szCs w:val="17"/>
          <w:color w:val="auto"/>
        </w:rPr>
        <w:t>years to three years beginning in 2022. Over time, we expect to gain benefits of scale associated with our costs of hosting our CRM Platform relative to subscription revenues, resulting in improved subscription gross margin, exclusive of stock-based compensation. We expect professional services and other margins to range from a moderate loss to breakeven for the foreseeable future, exclusive of stock-based compensation.</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CRM Platform and amortize such costs as costs of subscription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We expect stock-based compensation to increase on an absolute dollar value basis due to anticipated headcount growth, continued investment in stock-based awards, and a shift in stock award vesting schedules from four years to three years beginning in 2022. We expect research and development expenses to increase in absolute dollars as we continue to increase the functionality of our CRM Platform.</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capitalized software development costs associated with our internally built software platforms, professional and contractor fees and allocated overhead costs. We defer certain sales commissions related to acquiring new contracts and amortize them ratably over a period of benefit that we have determined to be approximately one to three years. Sales and marketing expenses also include commissions paid to our Solutions Partners in instances where the end customer purchases and pays for a subscription to our CRM Platform.</w:t>
      </w:r>
    </w:p>
    <w:p>
      <w:pPr>
        <w:spacing w:after="0" w:line="121"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plan to continue to expand sales and marketing to grow our customer base and increase sales to existing customers. This growth will include adding sales personnel and expanding our marketing activities to continue to generate additional leads and build brand awareness. We expect sales and marketing expenses will increase absolute dollars as a result of hiring net new quota-carrying sales representatives in the United States and worldwide and adding to our marketing staff. We expect stock-based compensation to increase on an absolute dollar value basis due to anticipated headcount growth, continued investment in stock-based awards, and a shift in stock award vesting schedules from four years to three years beginning in 2022. Over time, we expect sales and marketing expenses will decline as a percentage of total revenue, exclusive of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amortization of capitalized software development costs associated with our internally built software platforms, and allocated overhead costs. We expect stock-based compensation to increase on an absolute dollar value basis due to anticipated headcount growth, continued investment in stock-based awards, and a shift in stock award vesting schedules from four years to three years beginning in 2022. We expect that general and administrative expenses will increase on an absolute dollar basis but decrease as a percentage of total revenue, exclusive of stock-based compensation expense, as we focus on processes, systems and controls to enable our internal support functions to scale with the growth of our business. We also anticipate continuing increases to general and administrative expenses as we incur the costs of compliance associated with being a publicly traded company, including audit and consulting fees.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Interest income primarily consists of interest earned on invested cash and cash equivalents balances and investments. Interest expense primarily consists of amortization of the debt discount, issuance costs and contractual interest expense related to our Notes, and the loss on early extinguishment of our 2022 Notes. Other income (expense) primarily consists of the impact of foreign currency transaction gains and losses associated with monetary assets and liabilities, any gains or losses on our strategic investments, and our proportionate share of net earnings and losses on our equity method investments.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Income tax expense consists of current and deferred taxes for U.S. and foreign jurisdictions. We have historically had a taxable loss in our most significant jurisdiction, the U.S., and a full valuation allowance against the majority of our deferred tax assets. We expect this to continue in the near term.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certain consolidated financial data in dollar amounts and as a percentage of total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Subscription</w:t>
            </w:r>
          </w:p>
        </w:tc>
        <w:tc>
          <w:tcPr>
            <w:tcW w:w="17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853,025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646,266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42,339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30,001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28,594</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1,300,658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883,026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674,860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Subscription</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211,132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130,685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98,510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47,725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36,274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31,448</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1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258,857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166,959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129,958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1,041,801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716,067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544,902</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301,970</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205,589</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158,237</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649,681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452,081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340,685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144,949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109,225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92,971</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1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1,096,600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766,895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591,893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(54,799</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(50,828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(46,991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spacing w:after="0" w:line="196" w:lineRule="exact"/>
              <w:rPr>
                <w:sz w:val="20"/>
                <w:szCs w:val="20"/>
                <w:color w:val="auto"/>
              </w:rPr>
            </w:pPr>
            <w:r>
              <w:rPr>
                <w:rFonts w:ascii="Arial" w:cs="Arial" w:eastAsia="Arial" w:hAnsi="Arial"/>
                <w:sz w:val="18"/>
                <w:szCs w:val="18"/>
                <w:color w:val="auto"/>
              </w:rPr>
              <w:t>Other expense: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1,173</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7,773</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19,429</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(30,282 )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(37,049 )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(22,818 )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10,090</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(711 )</w:t>
            </w: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(393 )</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other expense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(19,019 )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(29,987 )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(3,782 )</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 expense</w:t>
            </w:r>
          </w:p>
        </w:tc>
        <w:tc>
          <w:tcPr>
            <w:tcW w:w="15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(73,818</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(80,815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(50,773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360"/>
              <w:spacing w:after="0" w:line="202" w:lineRule="exact"/>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(4,019 )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(4,216 )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(2,973 )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1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(77,837</w:t>
            </w:r>
          </w:p>
        </w:tc>
        <w:tc>
          <w:tcPr>
            <w:tcW w:w="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(85,031</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(53,746</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r>
      <w:tr>
        <w:trPr>
          <w:trHeight w:val="358"/>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Subscription</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97 %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1"/>
              <w:spacing w:after="0" w:line="202" w:lineRule="exact"/>
              <w:rPr>
                <w:sz w:val="20"/>
                <w:szCs w:val="20"/>
                <w:color w:val="auto"/>
              </w:rPr>
            </w:pPr>
            <w:r>
              <w:rPr>
                <w:rFonts w:ascii="Arial" w:cs="Arial" w:eastAsia="Arial" w:hAnsi="Arial"/>
                <w:sz w:val="18"/>
                <w:szCs w:val="18"/>
                <w:color w:val="auto"/>
              </w:rPr>
              <w:t>97 %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96 %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Subscription</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360"/>
              <w:spacing w:after="0" w:line="202" w:lineRule="exact"/>
              <w:rPr>
                <w:sz w:val="20"/>
                <w:szCs w:val="20"/>
                <w:color w:val="auto"/>
              </w:rPr>
            </w:pPr>
            <w:r>
              <w:rPr>
                <w:rFonts w:ascii="Arial" w:cs="Arial" w:eastAsia="Arial" w:hAnsi="Arial"/>
                <w:sz w:val="18"/>
                <w:szCs w:val="18"/>
                <w:color w:val="auto"/>
              </w:rPr>
              <w:t>Total other expense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 expense</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(0 )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15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-6082665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-6082665</wp:posOffset>
            </wp:positionV>
            <wp:extent cx="603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-6082665</wp:posOffset>
            </wp:positionV>
            <wp:extent cx="596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-5551170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-5551170</wp:posOffset>
            </wp:positionV>
            <wp:extent cx="603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-5551170</wp:posOffset>
            </wp:positionV>
            <wp:extent cx="5969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-5276850</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-5276850</wp:posOffset>
            </wp:positionV>
            <wp:extent cx="603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-5276850</wp:posOffset>
            </wp:positionV>
            <wp:extent cx="596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-4754245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-4754245</wp:posOffset>
            </wp:positionV>
            <wp:extent cx="603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-4754245</wp:posOffset>
            </wp:positionV>
            <wp:extent cx="5969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-4479925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-4479925</wp:posOffset>
            </wp:positionV>
            <wp:extent cx="6032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-4479925</wp:posOffset>
            </wp:positionV>
            <wp:extent cx="5969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-3956685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-3956685</wp:posOffset>
            </wp:positionV>
            <wp:extent cx="603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-3956685</wp:posOffset>
            </wp:positionV>
            <wp:extent cx="5969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-3419475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-3402330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-3419475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-3402330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-3419475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-3402330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-2636520</wp:posOffset>
            </wp:positionV>
            <wp:extent cx="16319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-2636520</wp:posOffset>
            </wp:positionV>
            <wp:extent cx="15430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-2636520</wp:posOffset>
            </wp:positionV>
            <wp:extent cx="15430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-2105025</wp:posOffset>
            </wp:positionV>
            <wp:extent cx="16319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-2105025</wp:posOffset>
            </wp:positionV>
            <wp:extent cx="15430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-2105025</wp:posOffset>
            </wp:positionV>
            <wp:extent cx="1543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-1830705</wp:posOffset>
            </wp:positionV>
            <wp:extent cx="1631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-1830705</wp:posOffset>
            </wp:positionV>
            <wp:extent cx="1543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-1830705</wp:posOffset>
            </wp:positionV>
            <wp:extent cx="1543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-1308100</wp:posOffset>
            </wp:positionV>
            <wp:extent cx="16319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-1308100</wp:posOffset>
            </wp:positionV>
            <wp:extent cx="15430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-1308100</wp:posOffset>
            </wp:positionV>
            <wp:extent cx="1543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-504825</wp:posOffset>
            </wp:positionV>
            <wp:extent cx="1631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-488315</wp:posOffset>
            </wp:positionV>
            <wp:extent cx="1631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-504825</wp:posOffset>
            </wp:positionV>
            <wp:extent cx="1543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-488315</wp:posOffset>
            </wp:positionV>
            <wp:extent cx="1543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-504825</wp:posOffset>
            </wp:positionV>
            <wp:extent cx="1543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-488315</wp:posOffset>
            </wp:positionV>
            <wp:extent cx="154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7" w:name="page48"/>
    <w:bookmarkEnd w:id="47"/>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Percentages are based on actual values. Totals may not sum due to rounding.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the Year Ended December 31, 2020</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28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w w:val="82"/>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1,258,319</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853,025</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405,294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48 %</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Professional services and other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42,339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12,338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41 %</w:t>
            </w:r>
          </w:p>
        </w:tc>
      </w:tr>
      <w:tr>
        <w:trPr>
          <w:trHeight w:val="236"/>
        </w:trPr>
        <w:tc>
          <w:tcPr>
            <w:tcW w:w="498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1,300,658</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883,026</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417,632</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140" w:firstLine="578"/>
        <w:spacing w:after="0"/>
        <w:rPr>
          <w:sz w:val="20"/>
          <w:szCs w:val="20"/>
          <w:color w:val="auto"/>
        </w:rPr>
      </w:pPr>
      <w:r>
        <w:rPr>
          <w:rFonts w:ascii="Arial" w:cs="Arial" w:eastAsia="Arial" w:hAnsi="Arial"/>
          <w:sz w:val="18"/>
          <w:szCs w:val="18"/>
          <w:color w:val="auto"/>
        </w:rPr>
        <w:t>Subscription revenue increased during 2021 due to an increase throughout the year in Customers, which grew from 103,994 as of December 31, 2020 to 135,442 as of December 31, 2021. Average Subscription Revenue per Customer increased from $9,582 for the year ended December 31, 2020 to $10,486 for the year ended December 31, 2021. The growth in Customers was primarily driven by our increased sales representative capacity to meet market demand as well as an increase in demand primarily for our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203" w:lineRule="exact"/>
        <w:rPr>
          <w:sz w:val="20"/>
          <w:szCs w:val="20"/>
          <w:color w:val="auto"/>
        </w:rPr>
      </w:pPr>
    </w:p>
    <w:p>
      <w:pPr>
        <w:ind w:right="360" w:firstLine="509"/>
        <w:spacing w:after="0" w:line="270" w:lineRule="auto"/>
        <w:rPr>
          <w:sz w:val="20"/>
          <w:szCs w:val="20"/>
          <w:color w:val="auto"/>
        </w:rPr>
      </w:pPr>
      <w:r>
        <w:rPr>
          <w:rFonts w:ascii="Arial" w:cs="Arial" w:eastAsia="Arial" w:hAnsi="Arial"/>
          <w:sz w:val="17"/>
          <w:szCs w:val="17"/>
          <w:color w:val="auto"/>
        </w:rPr>
        <w:t>Professional services and other revenue increased during 2021 primarily due to the increase in Customers and from the delivery of on-boarding, training, and consulting services for the additional subscriptions sold, as well as additional advertising revenue generated from our acquisition of the Hustle, which will not recur, and fees earned from Payments and revenue share arrangements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03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97"/>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35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cost of revenue</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258,857</w:t>
            </w: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166,959</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91,898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55 %</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1,041,801</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716,067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325,734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45 %</w:t>
            </w: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margin</w:t>
            </w:r>
          </w:p>
        </w:tc>
        <w:tc>
          <w:tcPr>
            <w:tcW w:w="44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80 %</w:t>
            </w:r>
          </w:p>
        </w:tc>
        <w:tc>
          <w:tcPr>
            <w:tcW w:w="7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81 %</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bl>
    <w:p>
      <w:pPr>
        <w:spacing w:after="0" w:line="269"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Total cost of revenue increased during 2021 primarily due to an increase in subscription and hosting costs, employee-related costs, amortization of capitalized software development costs, and allocated overhead expenses, offset by a decrease in amortization of acquired technology due to certain acquired technology reaching the end of its useful life during the year ended December 31, 2020. Gross margin remained consistent year-over-year.</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2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 cost of 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211,132</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130,685</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80,447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62 %</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0"/>
                <w:szCs w:val="20"/>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60"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increase in subscription cost of revenue for the year ended December 31, 2021 compared to the year ended December 31, 2020 was primarily due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 and hosting costs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58,174</w:t>
            </w: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Employee-related costs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14,970</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7,129</w:t>
            </w: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1,578</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acquired technology</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(1,404 )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6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80,447</w:t>
            </w:r>
          </w:p>
        </w:tc>
        <w:tc>
          <w:tcPr>
            <w:tcW w:w="10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40" w:type="dxa"/>
            <w:vAlign w:val="bottom"/>
            <w:vMerge w:val="restart"/>
          </w:tcPr>
          <w:p>
            <w:pPr>
              <w:ind w:left="3840"/>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6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-639445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ind w:firstLine="509"/>
        <w:spacing w:after="0" w:line="254" w:lineRule="auto"/>
        <w:rPr>
          <w:sz w:val="20"/>
          <w:szCs w:val="20"/>
          <w:color w:val="auto"/>
        </w:rPr>
      </w:pPr>
      <w:r>
        <w:rPr>
          <w:rFonts w:ascii="Arial" w:cs="Arial" w:eastAsia="Arial" w:hAnsi="Arial"/>
          <w:sz w:val="17"/>
          <w:szCs w:val="17"/>
          <w:color w:val="auto"/>
        </w:rPr>
        <w:t>Subscription and hosting costs increased primarily due to growth in our Customer base from 103,994 at December 31, 2020 to 135,442 at December 31, 2021. We also saw higher subscription and hosting costs as we launched an additional data center and continued to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an increase in shared company expenses associated with our systems and infrastructure as we continued to grow our business and expand headcount. Amortization of acquired technology decreased due to certain acquired technology reaching the end of its useful life during the year ended December 31, 2020.</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 and other cost of revenue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47,725</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36,274</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11,451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32 %</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113 %</w:t>
            </w:r>
          </w:p>
        </w:tc>
        <w:tc>
          <w:tcPr>
            <w:tcW w:w="24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121 %</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60"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increase in professional services and other cost of revenue for the year ended December 31, 2021 compared to the year ended December 31, 2020 was primarily due to the following:</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9,550</w:t>
            </w:r>
          </w:p>
        </w:tc>
        <w:tc>
          <w:tcPr>
            <w:tcW w:w="6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1,766</w:t>
            </w:r>
          </w:p>
        </w:tc>
        <w:tc>
          <w:tcPr>
            <w:tcW w:w="6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Allocated overhead expenses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11,451</w:t>
            </w:r>
          </w:p>
        </w:tc>
        <w:tc>
          <w:tcPr>
            <w:tcW w:w="6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Professional fees increased as we continued to expand our Solutions Partners onboarding services program. Allocated overhead expenses increased due to an increase in shared company expenses associated with our systems and infrastructure as we continued to grow our business and expand headcount.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8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301,970</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205,589</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96,381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47 %</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23 %</w:t>
            </w:r>
          </w:p>
        </w:tc>
        <w:tc>
          <w:tcPr>
            <w:tcW w:w="24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23 %</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1"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increase in research and development expense for the year ended December 31, 2021 compared to the year ended December 31, 2020 was primarily due to the following:</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5"/>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83,583</w:t>
            </w:r>
          </w:p>
        </w:tc>
        <w:tc>
          <w:tcPr>
            <w:tcW w:w="6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Hosting expenses</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4,629</w:t>
            </w:r>
          </w:p>
        </w:tc>
        <w:tc>
          <w:tcPr>
            <w:tcW w:w="6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Allocated overhead expenses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4,927</w:t>
            </w:r>
          </w:p>
        </w:tc>
        <w:tc>
          <w:tcPr>
            <w:tcW w:w="6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3,242</w:t>
            </w:r>
          </w:p>
        </w:tc>
        <w:tc>
          <w:tcPr>
            <w:tcW w:w="60" w:type="dxa"/>
            <w:vAlign w:val="bottom"/>
          </w:tcPr>
          <w:p>
            <w:pPr>
              <w:spacing w:after="0"/>
              <w:rPr>
                <w:sz w:val="17"/>
                <w:szCs w:val="17"/>
                <w:color w:val="auto"/>
              </w:rPr>
            </w:pPr>
          </w:p>
        </w:tc>
      </w:tr>
      <w:tr>
        <w:trPr>
          <w:trHeight w:val="236"/>
        </w:trPr>
        <w:tc>
          <w:tcPr>
            <w:tcW w:w="6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96,381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Employee-related costs increased as a result of increased headcount as we continued to grow our engineering organization to develop new products, increase functionality and to maintain our existing CRM Platform. Hosting expense increased due to incremental spend associated with product development infrastructure that is unrelated to the hosting of our CRM Platform for paying Customers. In July of 2021, we launched a new data center and ongoing expenses related to the hosting of our CRM Platform on that data center have been classified as subscription cost of revenue. Allocated overhead expenses increased due to an increase in shared company expenses associated with our systems and infrastructure as we continued to grow our business and expand headcount. Professional fees increased due to an increase in the use of third party services and contractors as we continued to grow our engineering organization.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w w:val="98"/>
              </w:rPr>
              <w:t>(dollars in</w:t>
            </w:r>
          </w:p>
        </w:tc>
        <w:tc>
          <w:tcPr>
            <w:tcW w:w="142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w w:val="82"/>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649,681</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452,081</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197,600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44 %</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50 %</w:t>
            </w:r>
          </w:p>
        </w:tc>
        <w:tc>
          <w:tcPr>
            <w:tcW w:w="240" w:type="dxa"/>
            <w:vAlign w:val="bottom"/>
          </w:tcPr>
          <w:p>
            <w:pPr>
              <w:spacing w:after="0"/>
              <w:rPr>
                <w:sz w:val="21"/>
                <w:szCs w:val="21"/>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51 %</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1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increase in sales and marketing expense for the year ended December 31, 2021 compared to the year ended December 31, 2020 was primarily due to the following:</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4"/>
                <w:szCs w:val="14"/>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127,426</w:t>
            </w:r>
          </w:p>
        </w:tc>
        <w:tc>
          <w:tcPr>
            <w:tcW w:w="6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Marketing programs</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26,653</w:t>
            </w:r>
          </w:p>
        </w:tc>
        <w:tc>
          <w:tcPr>
            <w:tcW w:w="6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Solutions Partner commissions</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26,703</w:t>
            </w:r>
          </w:p>
        </w:tc>
        <w:tc>
          <w:tcPr>
            <w:tcW w:w="6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9,617</w:t>
            </w:r>
          </w:p>
        </w:tc>
        <w:tc>
          <w:tcPr>
            <w:tcW w:w="60" w:type="dxa"/>
            <w:vAlign w:val="bottom"/>
          </w:tcPr>
          <w:p>
            <w:pPr>
              <w:spacing w:after="0"/>
              <w:rPr>
                <w:sz w:val="17"/>
                <w:szCs w:val="17"/>
                <w:color w:val="auto"/>
              </w:rPr>
            </w:pPr>
          </w:p>
        </w:tc>
      </w:tr>
      <w:tr>
        <w:trPr>
          <w:trHeight w:val="202"/>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fees</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6,892</w:t>
            </w:r>
          </w:p>
        </w:tc>
        <w:tc>
          <w:tcPr>
            <w:tcW w:w="6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Amortization of customer relationships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w:t>
            </w:r>
          </w:p>
        </w:tc>
        <w:tc>
          <w:tcPr>
            <w:tcW w:w="60" w:type="dxa"/>
            <w:vAlign w:val="bottom"/>
          </w:tcPr>
          <w:p>
            <w:pPr>
              <w:spacing w:after="0"/>
              <w:rPr>
                <w:sz w:val="17"/>
                <w:szCs w:val="17"/>
                <w:color w:val="auto"/>
              </w:rPr>
            </w:pPr>
          </w:p>
        </w:tc>
      </w:tr>
      <w:tr>
        <w:trPr>
          <w:trHeight w:val="236"/>
        </w:trPr>
        <w:tc>
          <w:tcPr>
            <w:tcW w:w="5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197,600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Employee-related costs increased as a result of increased headcount as we continued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an increase in shared company expenses associated with our systems and infrastructure as we continued to grow our business and expand headcount. Professional fees increased due to an increase in the use of third party services and contractors for our marketing efforts. Amortization of acquired intangible assets increased due to the amortization of customer relationships associated with our acquisition of the Hustle during 2021.</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8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144,949</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109,225</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35,724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33 %</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1"/>
                <w:szCs w:val="21"/>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1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increase in general and administrative expense for the year ended December 31, 2021 compared to the year ended December 31, 2020 was primarily due to the following:</w:t>
      </w:r>
    </w:p>
    <w:p>
      <w:pPr>
        <w:sectPr>
          <w:pgSz w:w="11900" w:h="16838" w:orient="portrait"/>
          <w:cols w:equalWidth="0" w:num="1">
            <w:col w:w="11180"/>
          </w:cols>
          <w:pgMar w:left="320" w:top="652"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wp:posOffset>
            </wp:positionV>
            <wp:extent cx="427736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6"/>
          <w:szCs w:val="16"/>
          <w:color w:val="auto"/>
        </w:rPr>
        <w:t>Allocated overhead expenses</w:t>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-1905</wp:posOffset>
            </wp:positionV>
            <wp:extent cx="427736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254"/>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8997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8" w:lineRule="exact"/>
        <w:rPr>
          <w:sz w:val="20"/>
          <w:szCs w:val="20"/>
          <w:color w:val="auto"/>
        </w:rPr>
      </w:pPr>
    </w:p>
    <w:p>
      <w:pPr>
        <w:jc w:val="center"/>
        <w:ind w:right="2254"/>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906" w:hanging="906"/>
        <w:spacing w:after="0"/>
        <w:tabs>
          <w:tab w:leader="none" w:pos="906" w:val="left"/>
        </w:tabs>
        <w:numPr>
          <w:ilvl w:val="0"/>
          <w:numId w:val="19"/>
        </w:numPr>
        <w:rPr>
          <w:rFonts w:ascii="Arial" w:cs="Arial" w:eastAsia="Arial" w:hAnsi="Arial"/>
          <w:sz w:val="15"/>
          <w:szCs w:val="15"/>
          <w:color w:val="auto"/>
        </w:rPr>
      </w:pPr>
      <w:r>
        <w:rPr>
          <w:rFonts w:ascii="Arial" w:cs="Arial" w:eastAsia="Arial" w:hAnsi="Arial"/>
          <w:sz w:val="15"/>
          <w:szCs w:val="15"/>
          <w:color w:val="auto"/>
        </w:rPr>
        <w:t>20,693</w:t>
      </w:r>
    </w:p>
    <w:p>
      <w:pPr>
        <w:spacing w:after="0" w:line="30" w:lineRule="exact"/>
        <w:rPr>
          <w:rFonts w:ascii="Arial" w:cs="Arial" w:eastAsia="Arial" w:hAnsi="Arial"/>
          <w:sz w:val="15"/>
          <w:szCs w:val="15"/>
          <w:color w:val="auto"/>
        </w:rPr>
      </w:pPr>
    </w:p>
    <w:p>
      <w:pPr>
        <w:ind w:left="986"/>
        <w:spacing w:after="0"/>
        <w:rPr>
          <w:rFonts w:ascii="Arial" w:cs="Arial" w:eastAsia="Arial" w:hAnsi="Arial"/>
          <w:sz w:val="15"/>
          <w:szCs w:val="15"/>
          <w:color w:val="auto"/>
        </w:rPr>
      </w:pPr>
      <w:r>
        <w:rPr>
          <w:rFonts w:ascii="Arial" w:cs="Arial" w:eastAsia="Arial" w:hAnsi="Arial"/>
          <w:sz w:val="15"/>
          <w:szCs w:val="15"/>
          <w:color w:val="auto"/>
        </w:rPr>
        <w:t>6,608</w:t>
      </w:r>
    </w:p>
    <w:p>
      <w:pPr>
        <w:spacing w:after="0" w:line="30" w:lineRule="exact"/>
        <w:rPr>
          <w:rFonts w:ascii="Arial" w:cs="Arial" w:eastAsia="Arial" w:hAnsi="Arial"/>
          <w:sz w:val="15"/>
          <w:szCs w:val="15"/>
          <w:color w:val="auto"/>
        </w:rPr>
      </w:pPr>
    </w:p>
    <w:p>
      <w:pPr>
        <w:ind w:left="986"/>
        <w:spacing w:after="0"/>
        <w:rPr>
          <w:rFonts w:ascii="Arial" w:cs="Arial" w:eastAsia="Arial" w:hAnsi="Arial"/>
          <w:sz w:val="15"/>
          <w:szCs w:val="15"/>
          <w:color w:val="auto"/>
        </w:rPr>
      </w:pPr>
      <w:r>
        <w:rPr>
          <w:rFonts w:ascii="Arial" w:cs="Arial" w:eastAsia="Arial" w:hAnsi="Arial"/>
          <w:sz w:val="15"/>
          <w:szCs w:val="15"/>
          <w:color w:val="auto"/>
        </w:rPr>
        <w:t>4,626</w:t>
      </w:r>
    </w:p>
    <w:p>
      <w:pPr>
        <w:spacing w:after="0" w:line="30" w:lineRule="exact"/>
        <w:rPr>
          <w:rFonts w:ascii="Arial" w:cs="Arial" w:eastAsia="Arial" w:hAnsi="Arial"/>
          <w:sz w:val="15"/>
          <w:szCs w:val="15"/>
          <w:color w:val="auto"/>
        </w:rPr>
      </w:pPr>
    </w:p>
    <w:p>
      <w:pPr>
        <w:ind w:left="986"/>
        <w:spacing w:after="0"/>
        <w:rPr>
          <w:rFonts w:ascii="Arial" w:cs="Arial" w:eastAsia="Arial" w:hAnsi="Arial"/>
          <w:sz w:val="15"/>
          <w:szCs w:val="15"/>
          <w:color w:val="auto"/>
        </w:rPr>
      </w:pPr>
      <w:r>
        <w:rPr>
          <w:rFonts w:ascii="Arial" w:cs="Arial" w:eastAsia="Arial" w:hAnsi="Arial"/>
          <w:sz w:val="15"/>
          <w:szCs w:val="15"/>
          <w:color w:val="auto"/>
        </w:rPr>
        <w:t>3,797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8997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2" w:lineRule="exact"/>
        <w:rPr>
          <w:sz w:val="20"/>
          <w:szCs w:val="20"/>
          <w:color w:val="auto"/>
        </w:rPr>
      </w:pPr>
    </w:p>
    <w:p>
      <w:pPr>
        <w:ind w:left="906" w:hanging="906"/>
        <w:spacing w:after="0"/>
        <w:tabs>
          <w:tab w:leader="none" w:pos="906" w:val="left"/>
        </w:tabs>
        <w:numPr>
          <w:ilvl w:val="0"/>
          <w:numId w:val="20"/>
        </w:numPr>
        <w:rPr>
          <w:rFonts w:ascii="Arial" w:cs="Arial" w:eastAsia="Arial" w:hAnsi="Arial"/>
          <w:sz w:val="15"/>
          <w:szCs w:val="15"/>
          <w:color w:val="auto"/>
        </w:rPr>
      </w:pPr>
      <w:r>
        <w:rPr>
          <w:rFonts w:ascii="Arial" w:cs="Arial" w:eastAsia="Arial" w:hAnsi="Arial"/>
          <w:sz w:val="15"/>
          <w:szCs w:val="15"/>
          <w:color w:val="auto"/>
        </w:rPr>
        <w:t>35,724</w:t>
      </w:r>
    </w:p>
    <w:p>
      <w:pPr>
        <w:spacing w:after="0" w:line="200" w:lineRule="exact"/>
        <w:rPr>
          <w:sz w:val="20"/>
          <w:szCs w:val="20"/>
          <w:color w:val="auto"/>
        </w:rPr>
      </w:pPr>
    </w:p>
    <w:p>
      <w:pPr>
        <w:sectPr>
          <w:pgSz w:w="11900" w:h="16838" w:orient="portrait"/>
          <w:cols w:equalWidth="0" w:num="2">
            <w:col w:w="6814" w:space="720"/>
            <w:col w:w="3646"/>
          </w:cols>
          <w:pgMar w:left="320" w:top="652" w:right="399" w:bottom="1440" w:gutter="0" w:footer="0" w:header="0"/>
          <w:type w:val="continuous"/>
        </w:sectPr>
      </w:pPr>
    </w:p>
    <w:p>
      <w:pPr>
        <w:spacing w:after="0" w:line="99"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Employee-related costs increased as a result of increased headcount as we continue to grow our business and require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 and expand headcount. Professional fees increased primarily due to an increase in legal and consulting services.</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type w:val="continuous"/>
        </w:sectPr>
      </w:pPr>
    </w:p>
    <w:bookmarkStart w:id="50" w:name="page51"/>
    <w:bookmarkEnd w:id="50"/>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1,173</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7,773</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(6,600 )</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(85 )%</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1 %</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(30,282 )</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(37,049 )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(6,767 )</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(18 )%</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(2 )%</w:t>
            </w:r>
          </w:p>
        </w:tc>
        <w:tc>
          <w:tcPr>
            <w:tcW w:w="220" w:type="dxa"/>
            <w:vAlign w:val="bottom"/>
          </w:tcPr>
          <w:p>
            <w:pPr>
              <w:spacing w:after="0"/>
              <w:rPr>
                <w:sz w:val="17"/>
                <w:szCs w:val="17"/>
                <w:color w:val="auto"/>
              </w:rPr>
            </w:pPr>
          </w:p>
        </w:tc>
        <w:tc>
          <w:tcPr>
            <w:tcW w:w="12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(4 )%</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10,090</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(711 )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1519 %</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51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not meaningful</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year is due to a decrease in yields on our investment balances.</w:t>
      </w:r>
    </w:p>
    <w:p>
      <w:pPr>
        <w:spacing w:after="0" w:line="171"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Interest expense primarily consists of amortization of the debt discount and issuance costs and contractual interest expense related to our Notes, and the loss on early extinguishment of our 2022 Notes. The change in interest expense during 2021 was primarily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03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800" w:right="1420" w:hanging="89"/>
        <w:spacing w:after="0" w:line="241" w:lineRule="auto"/>
        <w:rPr>
          <w:sz w:val="20"/>
          <w:szCs w:val="20"/>
          <w:color w:val="auto"/>
        </w:rPr>
      </w:pPr>
      <w:r>
        <w:rPr>
          <w:rFonts w:ascii="Arial" w:cs="Arial" w:eastAsia="Arial" w:hAnsi="Arial"/>
          <w:sz w:val="17"/>
          <w:szCs w:val="17"/>
          <w:color w:val="auto"/>
        </w:rPr>
        <w:t>Amortization of the debt discount and issuance costs and contractual interest expense related to our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-368300</wp:posOffset>
            </wp:positionV>
            <wp:extent cx="498919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89195" cy="1289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6"/>
          <w:szCs w:val="16"/>
          <w:color w:val="auto"/>
        </w:rPr>
        <w:t>Loss on early extinguishment of 2022 Convertible Notes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968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5"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1040" w:hanging="1034"/>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(1,151 )</w:t>
      </w:r>
    </w:p>
    <w:p>
      <w:pPr>
        <w:spacing w:after="0" w:line="178"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(5,616 )</w:t>
      </w:r>
    </w:p>
    <w:p>
      <w:pPr>
        <w:spacing w:after="0" w:line="23" w:lineRule="exact"/>
        <w:rPr>
          <w:sz w:val="20"/>
          <w:szCs w:val="20"/>
          <w:color w:val="auto"/>
        </w:rPr>
      </w:pPr>
    </w:p>
    <w:p>
      <w:pPr>
        <w:ind w:left="1040" w:hanging="1034"/>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(6,767 )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9683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968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280"/>
          </w:cols>
          <w:pgMar w:left="320" w:top="476" w:right="359" w:bottom="1440" w:gutter="0" w:footer="0" w:header="0"/>
          <w:type w:val="continuous"/>
        </w:sectPr>
      </w:pPr>
    </w:p>
    <w:p>
      <w:pPr>
        <w:spacing w:after="0" w:line="61" w:lineRule="exact"/>
        <w:rPr>
          <w:sz w:val="20"/>
          <w:szCs w:val="20"/>
          <w:color w:val="auto"/>
        </w:rPr>
      </w:pPr>
    </w:p>
    <w:p>
      <w:pPr>
        <w:ind w:right="540" w:firstLine="509"/>
        <w:spacing w:after="0" w:line="324" w:lineRule="auto"/>
        <w:rPr>
          <w:sz w:val="20"/>
          <w:szCs w:val="20"/>
          <w:color w:val="auto"/>
        </w:rPr>
      </w:pPr>
      <w:r>
        <w:rPr>
          <w:rFonts w:ascii="Arial" w:cs="Arial" w:eastAsia="Arial" w:hAnsi="Arial"/>
          <w:sz w:val="16"/>
          <w:szCs w:val="16"/>
          <w:color w:val="auto"/>
        </w:rPr>
        <w:t>Other income (expense) primarily consists of the impact of foreign currency transaction gains and losses associated with monetary assets and liabilities and any gains or losses on our strategic investments. The change in other expense during 2021 is primarily due to the following:</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5"/>
        </w:trPr>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Gain on strategic investments (Note 5)</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tcBorders>
              <w:top w:val="single" w:sz="8" w:color="auto"/>
            </w:tcBorders>
            <w:gridSpan w:val="2"/>
            <w:shd w:val="clear" w:color="auto" w:fill="CFF0FC"/>
          </w:tcPr>
          <w:p>
            <w:pPr>
              <w:jc w:val="right"/>
              <w:ind w:right="148"/>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11,741</w:t>
            </w:r>
          </w:p>
        </w:tc>
        <w:tc>
          <w:tcPr>
            <w:tcW w:w="100" w:type="dxa"/>
            <w:vAlign w:val="bottom"/>
            <w:shd w:val="clear" w:color="auto" w:fill="CFF0FC"/>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2"/>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Foreign currency gains and losses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(940 )</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6"/>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FF0FC"/>
          </w:tcPr>
          <w:p>
            <w:pPr>
              <w:jc w:val="right"/>
              <w:ind w:right="148"/>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10,801</w:t>
            </w: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20"/>
        </w:trPr>
        <w:tc>
          <w:tcPr>
            <w:tcW w:w="4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Income Tax expense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right"/>
              <w:ind w:right="64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9"/>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gridSpan w:val="2"/>
          </w:tcPr>
          <w:p>
            <w:pPr>
              <w:spacing w:after="0"/>
              <w:rPr>
                <w:sz w:val="14"/>
                <w:szCs w:val="14"/>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1320" w:type="dxa"/>
            <w:vAlign w:val="bottom"/>
            <w:gridSpan w:val="3"/>
          </w:tcPr>
          <w:p>
            <w:pPr>
              <w:jc w:val="right"/>
              <w:ind w:right="598"/>
              <w:spacing w:after="0"/>
              <w:rPr>
                <w:sz w:val="20"/>
                <w:szCs w:val="20"/>
                <w:color w:val="auto"/>
              </w:rPr>
            </w:pPr>
            <w:r>
              <w:rPr>
                <w:rFonts w:ascii="Arial" w:cs="Arial" w:eastAsia="Arial" w:hAnsi="Arial"/>
                <w:sz w:val="14"/>
                <w:szCs w:val="14"/>
                <w:b w:val="1"/>
                <w:bCs w:val="1"/>
                <w:color w:val="auto"/>
                <w:w w:val="82"/>
              </w:rPr>
              <w:t>thousands)</w:t>
            </w:r>
          </w:p>
        </w:tc>
        <w:tc>
          <w:tcPr>
            <w:tcW w:w="1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60" w:type="dxa"/>
            <w:vAlign w:val="bottom"/>
          </w:tcPr>
          <w:p>
            <w:pPr>
              <w:spacing w:after="0"/>
              <w:rPr>
                <w:sz w:val="17"/>
                <w:szCs w:val="17"/>
                <w:color w:val="auto"/>
              </w:rPr>
            </w:pPr>
          </w:p>
        </w:tc>
        <w:tc>
          <w:tcPr>
            <w:tcW w:w="48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(4,019 )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(4,216 )</w:t>
            </w:r>
          </w:p>
        </w:tc>
        <w:tc>
          <w:tcPr>
            <w:tcW w:w="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(197 )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(5 )%</w:t>
            </w:r>
          </w:p>
        </w:tc>
      </w:tr>
      <w:tr>
        <w:trPr>
          <w:trHeight w:val="243"/>
        </w:trPr>
        <w:tc>
          <w:tcPr>
            <w:tcW w:w="6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1"/>
                <w:szCs w:val="21"/>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-1122045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-1104900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Income tax expense consists of current and deferred taxes for U.S. and foreign income taxes. The decrease during 2021 was primarily driven by a non-recurring income tax benefit relating to the release of a portion of the Company’s valuation allowance, offset by increased income in jurisdictions outside of the United States that are profitable from a tax perspective. The release was due to recording net deferred tax liabilities related to the Hustle acquisition, which are a source of income to support the realizability of the Company’s pre-existing U.S. deferred tax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51" w:name="page52"/>
    <w:bookmarkEnd w:id="51"/>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280" w:type="dxa"/>
            <w:vAlign w:val="bottom"/>
            <w:gridSpan w:val="3"/>
          </w:tcPr>
          <w:p>
            <w:pPr>
              <w:jc w:val="right"/>
              <w:ind w:right="537"/>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853,025</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646,266</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206,759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32 %</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Professional services and other</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28,594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5 %</w:t>
            </w:r>
          </w:p>
        </w:tc>
      </w:tr>
      <w:tr>
        <w:trPr>
          <w:trHeight w:val="236"/>
        </w:trPr>
        <w:tc>
          <w:tcPr>
            <w:tcW w:w="50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883,026</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674,860</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208,166</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firstLine="554"/>
        <w:spacing w:after="0" w:line="259" w:lineRule="auto"/>
        <w:rPr>
          <w:sz w:val="20"/>
          <w:szCs w:val="20"/>
          <w:color w:val="auto"/>
        </w:rPr>
      </w:pPr>
      <w:r>
        <w:rPr>
          <w:rFonts w:ascii="Arial" w:cs="Arial" w:eastAsia="Arial" w:hAnsi="Arial"/>
          <w:sz w:val="17"/>
          <w:szCs w:val="17"/>
          <w:color w:val="auto"/>
        </w:rPr>
        <w:t>Subscription revenue increased during 2020 due to an increase throughout the year in Customers, which grew from 73,483 as of December 31, 2019 to 103,994 as of December 31, 2020. Average Subscription Revenue per Customer decreased from $9,920 for the year ended December 31, 2019 to $9,582 for the year ended December 31, 2020. The growth in Customers was primarily driven by our increased sales representative capacity to meet market demand as well as our freemium product offering and lower priced starter products. The decrease in average subscription revenue per customer was driven primarily by the volume of continued purchases of our lower priced starter products.</w:t>
      </w:r>
    </w:p>
    <w:p>
      <w:pPr>
        <w:spacing w:after="0" w:line="133"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The increase in professional services and other revenue resulted primarily from the increase in Customers and from the delivery of on-boarding services for the additional subscriptions sold, slightly offset by fewer classroom trainings being held due to social gathering restrictions and travel bans implemented due to the pandemic.</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8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cost of 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166,959</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129,958</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37,001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28 %</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716,067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544,902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171,165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31 %</w:t>
            </w: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81 %</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81 %</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Total cost of revenue increased during 2020 primarily due to an increase in subscription and hosting costs, employee-related costs, amortization of capitalized software development costs, and allocated overhead expenses, offset by a decrease in amortization of acquired technology due to certain acquired technology reaching the end of its useful life during the year ended December 31, 2020. Gross margin remained consistent year-over-year.</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8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 cost of revenue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130,685</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98,510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32,175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33 %</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240" w:type="dxa"/>
            <w:vAlign w:val="bottom"/>
          </w:tcPr>
          <w:p>
            <w:pPr>
              <w:spacing w:after="0"/>
              <w:rPr>
                <w:sz w:val="20"/>
                <w:szCs w:val="20"/>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3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increase in subscription cost of revenue for the year ended December 31, 2020 compared to the year ended December 31, 2019 was primarily due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Subscription and hosting costs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21,990</w:t>
            </w:r>
          </w:p>
        </w:tc>
        <w:tc>
          <w:tcPr>
            <w:tcW w:w="100" w:type="dxa"/>
            <w:vAlign w:val="bottom"/>
            <w:shd w:val="clear" w:color="auto" w:fill="CFF0FC"/>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Employee-related costs</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5,238</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4,834</w:t>
            </w:r>
          </w:p>
        </w:tc>
        <w:tc>
          <w:tcPr>
            <w:tcW w:w="100" w:type="dxa"/>
            <w:vAlign w:val="bottom"/>
            <w:shd w:val="clear" w:color="auto" w:fill="CFF0FC"/>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974</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acquired technology</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(861 )</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5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32,175</w:t>
            </w:r>
          </w:p>
        </w:tc>
        <w:tc>
          <w:tcPr>
            <w:tcW w:w="100" w:type="dxa"/>
            <w:vAlign w:val="bottom"/>
            <w:tcBorders>
              <w:top w:val="single" w:sz="8" w:color="CFF0FC"/>
            </w:tcBorders>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260" w:type="dxa"/>
            <w:vAlign w:val="bottom"/>
            <w:vMerge w:val="restart"/>
          </w:tcPr>
          <w:p>
            <w:pPr>
              <w:ind w:left="328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2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-639445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2" w:name="page53"/>
    <w:bookmarkEnd w:id="52"/>
    <w:p>
      <w:pPr>
        <w:ind w:firstLine="509"/>
        <w:spacing w:after="0" w:line="238" w:lineRule="auto"/>
        <w:rPr>
          <w:sz w:val="20"/>
          <w:szCs w:val="20"/>
          <w:color w:val="auto"/>
        </w:rPr>
      </w:pPr>
      <w:r>
        <w:rPr>
          <w:rFonts w:ascii="Arial" w:cs="Arial" w:eastAsia="Arial" w:hAnsi="Arial"/>
          <w:sz w:val="18"/>
          <w:szCs w:val="18"/>
          <w:color w:val="auto"/>
        </w:rPr>
        <w:t>Subscription and hosting costs increased primarily due to growth in our Customer base from 73,483 at December 31, 2019 to 103,994 at December 31, 2020. Additionally, we saw higher subscription and hosting costs as we focus on the security, reliability and performance of our CRM Platform. Employee-related costs increased as a result of increased headcount as we continue to grow our customer support organization to support our customer growth and improve service levels and offerings, offset slightly by reduced discretionary spending as a result of the pandemic.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year ended December 31, 2020.</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4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 and other cost of 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36,274</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31,448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15 %</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121 %</w:t>
            </w:r>
          </w:p>
        </w:tc>
        <w:tc>
          <w:tcPr>
            <w:tcW w:w="240" w:type="dxa"/>
            <w:vAlign w:val="bottom"/>
          </w:tcPr>
          <w:p>
            <w:pPr>
              <w:spacing w:after="0"/>
              <w:rPr>
                <w:sz w:val="20"/>
                <w:szCs w:val="20"/>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110 %</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47"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increase in professional services and other cost of revenue for the year ended December 31, 2020 compared to the year ended December 31, 2019 was primarily due to the following:</w:t>
      </w:r>
    </w:p>
    <w:p>
      <w:pPr>
        <w:spacing w:after="0" w:line="176"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15240</wp:posOffset>
            </wp:positionV>
            <wp:extent cx="8915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15240</wp:posOffset>
            </wp:positionV>
            <wp:extent cx="42773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5" w:lineRule="exact"/>
        <w:rPr>
          <w:sz w:val="20"/>
          <w:szCs w:val="20"/>
          <w:color w:val="auto"/>
        </w:rPr>
      </w:pPr>
    </w:p>
    <w:p>
      <w:pPr>
        <w:ind w:left="2260"/>
        <w:spacing w:after="0"/>
        <w:tabs>
          <w:tab w:leader="none" w:pos="7520" w:val="left"/>
          <w:tab w:leader="none" w:pos="8500" w:val="left"/>
        </w:tabs>
        <w:rPr>
          <w:sz w:val="20"/>
          <w:szCs w:val="20"/>
          <w:color w:val="auto"/>
        </w:rPr>
      </w:pPr>
      <w:r>
        <w:rPr>
          <w:rFonts w:ascii="Arial" w:cs="Arial" w:eastAsia="Arial" w:hAnsi="Arial"/>
          <w:sz w:val="18"/>
          <w:szCs w:val="18"/>
          <w:color w:val="auto"/>
        </w:rPr>
        <w:t>Employee-related costs and allocated overhead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4,826</w:t>
      </w:r>
    </w:p>
    <w:p>
      <w:pPr>
        <w:spacing w:after="0" w:line="9" w:lineRule="exact"/>
        <w:rPr>
          <w:sz w:val="20"/>
          <w:szCs w:val="20"/>
          <w:color w:val="auto"/>
        </w:rPr>
      </w:pPr>
    </w:p>
    <w:p>
      <w:pPr>
        <w:ind w:left="7540"/>
        <w:spacing w:after="0"/>
        <w:tabs>
          <w:tab w:leader="none" w:pos="8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-3175</wp:posOffset>
            </wp:positionV>
            <wp:extent cx="8915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13335</wp:posOffset>
            </wp:positionV>
            <wp:extent cx="8915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76"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8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205,589</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158,237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47,352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30 %</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0"/>
                <w:szCs w:val="20"/>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0" w:lineRule="exact"/>
        <w:rPr>
          <w:sz w:val="20"/>
          <w:szCs w:val="20"/>
          <w:color w:val="auto"/>
        </w:rPr>
      </w:pPr>
    </w:p>
    <w:p>
      <w:pPr>
        <w:spacing w:after="0" w:line="35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increase in research and development expense for the year ended December 31, 2020 compared to the year ended December 31, 2019 was primarily due to the following:</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4"/>
                <w:szCs w:val="14"/>
                <w:color w:val="auto"/>
              </w:rPr>
            </w:pP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39,791</w:t>
            </w:r>
          </w:p>
        </w:tc>
        <w:tc>
          <w:tcPr>
            <w:tcW w:w="6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7,561</w:t>
            </w:r>
          </w:p>
        </w:tc>
        <w:tc>
          <w:tcPr>
            <w:tcW w:w="60" w:type="dxa"/>
            <w:vAlign w:val="bottom"/>
          </w:tcPr>
          <w:p>
            <w:pPr>
              <w:spacing w:after="0"/>
              <w:rPr>
                <w:sz w:val="17"/>
                <w:szCs w:val="17"/>
                <w:color w:val="auto"/>
              </w:rPr>
            </w:pPr>
          </w:p>
        </w:tc>
      </w:tr>
      <w:tr>
        <w:trPr>
          <w:trHeight w:val="236"/>
        </w:trPr>
        <w:tc>
          <w:tcPr>
            <w:tcW w:w="5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47,352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8"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Employee-related costs increased as a result of increased headcount as we continue to grow our engineering organization to develop new products, increase functionality and to maintain our existing CRM Platform, slightly offset by reduced discretionary spending as a result of the pandemic. Allocated overhead expense increased due to expanding our leased space and infrastructure as we continue to grow our business and expand headcount.</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0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2"/>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452,081</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340,685</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111,396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33 %</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51 %</w:t>
            </w:r>
          </w:p>
        </w:tc>
        <w:tc>
          <w:tcPr>
            <w:tcW w:w="24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50 %</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ind w:right="160" w:firstLine="509"/>
        <w:spacing w:after="0" w:line="261" w:lineRule="auto"/>
        <w:rPr>
          <w:sz w:val="20"/>
          <w:szCs w:val="20"/>
          <w:color w:val="auto"/>
        </w:rPr>
      </w:pPr>
      <w:r>
        <w:rPr>
          <w:rFonts w:ascii="Arial" w:cs="Arial" w:eastAsia="Arial" w:hAnsi="Arial"/>
          <w:sz w:val="18"/>
          <w:szCs w:val="18"/>
          <w:color w:val="auto"/>
        </w:rPr>
        <w:t>The increase in sales and marketing expense for the year ended December 31, 2020 compared to the year ended December 31, 2019 was primarily due to the following:</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4"/>
                <w:szCs w:val="14"/>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65,646</w:t>
            </w:r>
          </w:p>
        </w:tc>
        <w:tc>
          <w:tcPr>
            <w:tcW w:w="6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Marketing programs</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17,536</w:t>
            </w:r>
          </w:p>
        </w:tc>
        <w:tc>
          <w:tcPr>
            <w:tcW w:w="6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Solutions Partner commissions</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14,637</w:t>
            </w:r>
          </w:p>
        </w:tc>
        <w:tc>
          <w:tcPr>
            <w:tcW w:w="6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Allocated overhead expense</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13,577</w:t>
            </w:r>
          </w:p>
        </w:tc>
        <w:tc>
          <w:tcPr>
            <w:tcW w:w="60" w:type="dxa"/>
            <w:vAlign w:val="bottom"/>
          </w:tcPr>
          <w:p>
            <w:pPr>
              <w:spacing w:after="0"/>
              <w:rPr>
                <w:sz w:val="17"/>
                <w:szCs w:val="17"/>
                <w:color w:val="auto"/>
              </w:rPr>
            </w:pPr>
          </w:p>
        </w:tc>
      </w:tr>
      <w:tr>
        <w:trPr>
          <w:trHeight w:val="236"/>
        </w:trPr>
        <w:tc>
          <w:tcPr>
            <w:tcW w:w="5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111,396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8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Employee-related costs increased as a result of increased headcount as we continue to expand our selling and marketing organizations to grow our customer base, offset by reduced discretionary spending as a result of the pandemic.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6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109,225</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92,971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16,254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17 %</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20"/>
                <w:szCs w:val="20"/>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33"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The increase in general and administrative expense for the year ended December 31, 2020 compared to the year ended December 31, 2019 was primarily due to the following:</w:t>
      </w:r>
    </w:p>
    <w:tbl>
      <w:tblPr>
        <w:tblLayout w:type="fixed"/>
        <w:tblInd w:w="226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4"/>
                <w:szCs w:val="14"/>
                <w:color w:val="auto"/>
              </w:rPr>
            </w:pPr>
          </w:p>
        </w:tc>
      </w:tr>
      <w:tr>
        <w:trPr>
          <w:trHeight w:val="203"/>
        </w:trPr>
        <w:tc>
          <w:tcPr>
            <w:tcW w:w="5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7,008</w:t>
            </w:r>
          </w:p>
        </w:tc>
        <w:tc>
          <w:tcPr>
            <w:tcW w:w="6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5,884</w:t>
            </w:r>
          </w:p>
        </w:tc>
        <w:tc>
          <w:tcPr>
            <w:tcW w:w="60" w:type="dxa"/>
            <w:vAlign w:val="bottom"/>
          </w:tcPr>
          <w:p>
            <w:pPr>
              <w:spacing w:after="0"/>
              <w:rPr>
                <w:sz w:val="17"/>
                <w:szCs w:val="17"/>
                <w:color w:val="auto"/>
              </w:rPr>
            </w:pPr>
          </w:p>
        </w:tc>
      </w:tr>
      <w:tr>
        <w:trPr>
          <w:trHeight w:val="203"/>
        </w:trPr>
        <w:tc>
          <w:tcPr>
            <w:tcW w:w="5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Customer credit card fees</w:t>
            </w: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3,362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16,254</w:t>
            </w:r>
          </w:p>
        </w:tc>
        <w:tc>
          <w:tcPr>
            <w:tcW w:w="6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-159385</wp:posOffset>
            </wp:positionV>
            <wp:extent cx="342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ind w:right="180" w:firstLine="360"/>
        <w:spacing w:after="0" w:line="243" w:lineRule="auto"/>
        <w:rPr>
          <w:sz w:val="20"/>
          <w:szCs w:val="20"/>
          <w:color w:val="auto"/>
        </w:rPr>
      </w:pPr>
      <w:r>
        <w:rPr>
          <w:rFonts w:ascii="Arial" w:cs="Arial" w:eastAsia="Arial" w:hAnsi="Arial"/>
          <w:sz w:val="18"/>
          <w:szCs w:val="18"/>
          <w:color w:val="auto"/>
        </w:rPr>
        <w:t>Employee-related costs increased as a result of increased headcount as we continue to grow our business and require additional personnel to support our expanded operations, offset by reduced discretionary spending as a result of the pandemic.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jc w:val="right"/>
              <w:ind w:right="788"/>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16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color w:val="auto"/>
              </w:rPr>
              <w:t>(dollars 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7,773</w:t>
            </w: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19,429</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(11,656 )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-60 %</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1 %</w:t>
            </w:r>
          </w:p>
        </w:tc>
        <w:tc>
          <w:tcPr>
            <w:tcW w:w="240" w:type="dxa"/>
            <w:vAlign w:val="bottom"/>
          </w:tcPr>
          <w:p>
            <w:pPr>
              <w:spacing w:after="0"/>
              <w:rPr>
                <w:sz w:val="17"/>
                <w:szCs w:val="17"/>
                <w:color w:val="auto"/>
              </w:rPr>
            </w:pPr>
          </w:p>
        </w:tc>
        <w:tc>
          <w:tcPr>
            <w:tcW w:w="122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3 %</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(37,049 )</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(22,818 )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(14,231 )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62 %</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(4 )%</w:t>
            </w:r>
          </w:p>
        </w:tc>
        <w:tc>
          <w:tcPr>
            <w:tcW w:w="240" w:type="dxa"/>
            <w:vAlign w:val="bottom"/>
          </w:tcPr>
          <w:p>
            <w:pPr>
              <w:spacing w:after="0"/>
              <w:rPr>
                <w:sz w:val="17"/>
                <w:szCs w:val="17"/>
                <w:color w:val="auto"/>
              </w:rPr>
            </w:pPr>
          </w:p>
        </w:tc>
        <w:tc>
          <w:tcPr>
            <w:tcW w:w="12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(3 )%</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(711 )</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(393 )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(318 )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81 %</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512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not meaningful</w:t>
      </w:r>
    </w:p>
    <w:p>
      <w:pPr>
        <w:spacing w:after="0" w:line="21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year is due to a decrease in yields on our investment balances, offset by an increase in the amount of investment holdings from the proceeds received from the issuance of the 2025 Notes.</w:t>
      </w:r>
    </w:p>
    <w:p>
      <w:pPr>
        <w:spacing w:after="0" w:line="18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increase during the year ended December 31,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4" w:name="page55"/>
    <w:bookmarkEnd w:id="54"/>
    <w:p>
      <w:pPr>
        <w:ind w:right="120"/>
        <w:spacing w:after="0" w:line="261" w:lineRule="auto"/>
        <w:rPr>
          <w:sz w:val="20"/>
          <w:szCs w:val="20"/>
          <w:color w:val="auto"/>
        </w:rPr>
      </w:pPr>
      <w:r>
        <w:rPr>
          <w:rFonts w:ascii="Arial" w:cs="Arial" w:eastAsia="Arial" w:hAnsi="Arial"/>
          <w:sz w:val="18"/>
          <w:szCs w:val="18"/>
          <w:color w:val="auto"/>
        </w:rPr>
        <w:t>was primarily due to the $10.5 million loss on the early extinguishment of our 2022 Notes and amortization of the debt discount and issuance costs related to the 2025 Notes.</w:t>
      </w:r>
    </w:p>
    <w:p>
      <w:pPr>
        <w:spacing w:after="0" w:line="17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Other expense primarily consists of the impact of foreign currency transaction gains and losses associated with monetary assets and liabilities. The increase was primarily due to exchange rate fluctuations.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w w:val="95"/>
              </w:rPr>
              <w:t>(dollars in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(4,216 )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(2,973 )   $</w:t>
            </w: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(1,243 )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42 %</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0"/>
                <w:szCs w:val="20"/>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33"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the income tax expense was primarily driven by increased income in jurisdictions outside of the United States that are profitable from a tax perspective.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30"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(used in) and provided by financing activities for the years ended December 31, 2021, 2020 and 2019:</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377,013</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378,123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269,670</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836,100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1,011,420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787,235</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and cash equivalents provided by operating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238,728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88,913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118,973</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Net cash and cash equivalents used in investing activities</w:t>
            </w:r>
          </w:p>
        </w:tc>
        <w:tc>
          <w:tcPr>
            <w:tcW w:w="30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(179,508 )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(215,567 )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(316,194 )</w:t>
            </w: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Net cash and cash equivalents (used in) provided by financing activities</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(51,469 )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222,460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359,342</w:t>
            </w:r>
          </w:p>
        </w:tc>
        <w:tc>
          <w:tcPr>
            <w:tcW w:w="100" w:type="dxa"/>
            <w:vAlign w:val="bottom"/>
            <w:shd w:val="clear" w:color="auto" w:fill="CFF0FC"/>
          </w:tcPr>
          <w:p>
            <w:pPr>
              <w:spacing w:after="0"/>
              <w:rPr>
                <w:sz w:val="17"/>
                <w:szCs w:val="17"/>
                <w:color w:val="auto"/>
              </w:rPr>
            </w:pPr>
          </w:p>
        </w:tc>
      </w:tr>
    </w:tbl>
    <w:p>
      <w:pPr>
        <w:spacing w:after="0" w:line="37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Our cash and cash equivalents at December 31, 2021 were held for working capital purposes. We believe our working capital is sufficient to support our operations for at least the next 12 months. At December 31, 2021, $110.5 million of our cash and cash equivalents was held in accounts outside the United States. We do not </w:t>
      </w:r>
      <w:r>
        <w:rPr>
          <w:rFonts w:ascii="Arial" w:cs="Arial" w:eastAsia="Arial" w:hAnsi="Arial"/>
          <w:sz w:val="18"/>
          <w:szCs w:val="18"/>
          <w:color w:val="222222"/>
        </w:rPr>
        <w:t>assert indefinite reinvestment of our foreign earnings because these earnings have been subject to U.S. Federal tax. While we have</w:t>
      </w:r>
      <w:r>
        <w:rPr>
          <w:rFonts w:ascii="Arial" w:cs="Arial" w:eastAsia="Arial" w:hAnsi="Arial"/>
          <w:sz w:val="18"/>
          <w:szCs w:val="18"/>
          <w:color w:val="auto"/>
        </w:rPr>
        <w:t xml:space="preserve"> </w:t>
      </w:r>
      <w:r>
        <w:rPr>
          <w:rFonts w:ascii="Arial" w:cs="Arial" w:eastAsia="Arial" w:hAnsi="Arial"/>
          <w:sz w:val="18"/>
          <w:szCs w:val="18"/>
          <w:color w:val="222222"/>
        </w:rPr>
        <w:t>concluded that any incremental tax incurred upon ultimate distribution of these earnings to be immaterial, our current plans do not demonstrate a need to repatriate undistributed earnings to fund our U.S. operations.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Operating Activities</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4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2021 primarily reflected our net loss of $77.8 million, the portion of the repayment of the 2022 Notes attributable to the debt discount of $26.4 million, benefit from deferred income taxes of $2.9 million, gain on termination of operating leases of $4.3 million, and gains on strategic investments of $11.7 million, offset by non-cash expenses that included $45.2 million of depreciation and amortization, $166.8 million in stock-based compensation, $4.3 million amortization of bond discounts, $23.5 million of amortization of debt discount and issuance costs, loss on disposal of fixed assets of $6.5 million, and $4.9 million of loss on early extinguishment of 2022 Notes. Working capital sources of cash and cash equivalents primarily included a $127.7 million increase in deferred revenue primarily resulting from the growth in the number of customers invoiced during the period, a $31.4 million increase in right-of-use asset, and $58.2 million increase in accrued expenses and other liabilities. These sources of cash and cash equivalents were offset by a $10.6 million increase in accounts payable related to timing of bill payments, a $29.5 million decrease in operating lease liabilities, a $32.6 million increase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ind w:right="300"/>
        <w:spacing w:after="0" w:line="261" w:lineRule="auto"/>
        <w:rPr>
          <w:sz w:val="20"/>
          <w:szCs w:val="20"/>
          <w:color w:val="auto"/>
        </w:rPr>
      </w:pPr>
      <w:r>
        <w:rPr>
          <w:rFonts w:ascii="Arial" w:cs="Arial" w:eastAsia="Arial" w:hAnsi="Arial"/>
          <w:sz w:val="18"/>
          <w:szCs w:val="18"/>
          <w:color w:val="auto"/>
        </w:rPr>
        <w:t>in deferred commissions, a $1.1 million increase in prepaid and other assets, and a $34.1 million increase in accounts receivable as a result of increased billings to customers consistent with the overall growth of the business.</w:t>
      </w:r>
    </w:p>
    <w:p>
      <w:pPr>
        <w:spacing w:after="0" w:line="14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6"/>
          <w:szCs w:val="16"/>
          <w:color w:val="auto"/>
        </w:rPr>
        <w:t>Net cash and cash equivalents provided by operating activities during the year ended December 31, 2020 primarily reflected our net loss of $85.0 million, the portion of the repayment of the 2022 Notes attributable to the debt discount of $49.0 million, benefit from deferred income taxes of $2.2 million and accretion of bond discounts of $3.7 million, offset by non-cash expenses that included $37.1 million of depreciation and amortization, $121.5 million in stock-based compensation, $10.5 million of loss on early extinguishment of 2022 Notes and $24.9 million of amortization of debt discount and issuance costs. Working capital sources of cash and cash equivalents primarily included a $72.6 million increase in deferred revenue primarily resulting from the growth in the number of customers invoiced during the period, a $26.0 million increase in accrued expenses, a $3.7 million increase in accounts payable related to timing of bill payments, and a $31.4 million increase in right-of-use asset. These sources of cash and cash equivalents were offset by a $31.6 million decrease in lease liabilities, a $30.0 million increase in accounts receivable as a result of increased billings to customers consistent with the overall growth of the business, $19.3 million increase in deferred commissions and a $17.0 million increase in prepaid and other assets.</w:t>
      </w:r>
    </w:p>
    <w:p>
      <w:pPr>
        <w:spacing w:after="0" w:line="12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2019 primarily reflected our net loss of $53.7 million and accretion of bond discount of $14.2 million offset by non-cash expenses that included $28.8 million of depreciation and amortization, $97.8 million in stock-based compensation, and $21.8 million of amortization of debt discount and issuance costs. Working capital sources of cash and cash equivalents primarily included a $49.3 million increase in deferred revenue primarily resulting from the growth in the number of customers invoiced during the period, a $7.8 million increase in accrued expenses, a $3.9 million increase in accounts payable related to timing of bill payments, and a $22.7 million increase in right-of-use asset. These sources of cash and cash equivalents were offset by a $15.8 million decrease in lease liabilities, a $15.4 million increase in accounts receivable as a result of increased billings to customers consistent with the overall growth of the business, $9.7 million increase in deferred commissions and a $3.3 million increase in prepaid and other assets.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Used in Investing Activities</w:t>
      </w:r>
    </w:p>
    <w:p>
      <w:pPr>
        <w:spacing w:after="0" w:line="185" w:lineRule="exact"/>
        <w:rPr>
          <w:sz w:val="20"/>
          <w:szCs w:val="20"/>
          <w:color w:val="auto"/>
        </w:rPr>
      </w:pPr>
    </w:p>
    <w:p>
      <w:pPr>
        <w:jc w:val="both"/>
        <w:ind w:right="460" w:firstLine="509"/>
        <w:spacing w:after="0" w:line="294" w:lineRule="auto"/>
        <w:rPr>
          <w:sz w:val="20"/>
          <w:szCs w:val="20"/>
          <w:color w:val="auto"/>
        </w:rPr>
      </w:pPr>
      <w:r>
        <w:rPr>
          <w:rFonts w:ascii="Arial" w:cs="Arial" w:eastAsia="Arial" w:hAnsi="Arial"/>
          <w:sz w:val="16"/>
          <w:szCs w:val="16"/>
          <w:color w:val="auto"/>
        </w:rPr>
        <w:t>Our investing activities have consisted primarily of purchases, maturities and sale of investments, property and equipment purchases, business acquisitions,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07"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Net cash and cash equivalents used in investing activities during the year ended December 31, 2021 consisted primarily of $1.5 billion purchases of investments, $28.7 million of purchased property and equipment, a $16.8 million business acquisition, $13.1 million of purchases of strategic investments, $3.1 million in an equity method investment and $33.1 million of capitalized software development costs. These uses of cash were offset by $1.4 billion received related to the maturity of investments and $12.6 million received for sale of strategic investments.</w:t>
      </w:r>
    </w:p>
    <w:p>
      <w:pPr>
        <w:spacing w:after="0" w:line="13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Net cash and cash equivalents used in investing activities during the year ended December 31, 2020 consisted primarily of $1.5 billion in purchases of investments, $37.3 million of purchased property and equipment, $2.5 million of purchases of strategic investments, and $21.6 million of capitalized software development costs. These uses of cash were offset by $1.4 billion received related to the maturity of investments and $10.9 million received for sale of investments.</w:t>
      </w:r>
    </w:p>
    <w:p>
      <w:pPr>
        <w:spacing w:after="0" w:line="16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Net cash and cash equivalents used in investing activities during the year ended December 31, 2019 consisted primarily of $1.3 billion of purchases of investments, $40.4 million of purchased property and equipment, $13.5 million of capitalized software development costs, a $23.3 million business acquisition and $0.6 million related to the purchase of strategic investments. These uses of cash were offset by $1.1 billion received related to the maturity of investments.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(Used in) Provided by Financing Activities</w:t>
      </w:r>
    </w:p>
    <w:p>
      <w:pPr>
        <w:spacing w:after="0" w:line="171" w:lineRule="exact"/>
        <w:rPr>
          <w:sz w:val="20"/>
          <w:szCs w:val="20"/>
          <w:color w:val="auto"/>
        </w:rPr>
      </w:pPr>
    </w:p>
    <w:p>
      <w:pPr>
        <w:jc w:val="both"/>
        <w:ind w:right="720" w:firstLine="509"/>
        <w:spacing w:after="0" w:line="248" w:lineRule="auto"/>
        <w:rPr>
          <w:sz w:val="20"/>
          <w:szCs w:val="20"/>
          <w:color w:val="auto"/>
        </w:rPr>
      </w:pPr>
      <w:r>
        <w:rPr>
          <w:rFonts w:ascii="Arial" w:cs="Arial" w:eastAsia="Arial" w:hAnsi="Arial"/>
          <w:sz w:val="18"/>
          <w:szCs w:val="18"/>
          <w:color w:val="auto"/>
        </w:rPr>
        <w:t>Our financing activities have consisted primarily of our stock offerings, the various components of our 2022 Notes repayment, the various components of our 2025 Notes offering, the issuance of common stock under our stock plans, payments of employee taxes related to the net share settlement of stock-based awards, and repayments of our finance leases.</w:t>
      </w:r>
    </w:p>
    <w:p>
      <w:pPr>
        <w:spacing w:after="0" w:line="15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For the year ended December 31, 2021, cash used in financing activities consisted of $89.5 million used for repayment of the 2022 Notes attributable to the principal and $17.4 million used for payment of employee taxes related to the net share settlement of stock-based awards, offset by $9.0 million of proceeds from the settlement of the Convertible Note Hedges related to the 2022 Notes and $46.5 million of proceeds related to issuance of common stock under stock plans.</w:t>
      </w:r>
    </w:p>
    <w:p>
      <w:pPr>
        <w:spacing w:after="0" w:line="147"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For the year ended December 31, 2020, cash provided by financing activities consisted of $450.1 million of net proceeds from the issuance of the 2025 Notes, $363.6 million of proceeds from the settlement of the Convertible Note Hedges related to the 2022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6" w:name="page57"/>
    <w:bookmarkEnd w:id="56"/>
    <w:p>
      <w:pPr>
        <w:ind w:right="160"/>
        <w:spacing w:after="0" w:line="243" w:lineRule="auto"/>
        <w:rPr>
          <w:sz w:val="20"/>
          <w:szCs w:val="20"/>
          <w:color w:val="auto"/>
        </w:rPr>
      </w:pPr>
      <w:r>
        <w:rPr>
          <w:rFonts w:ascii="Arial" w:cs="Arial" w:eastAsia="Arial" w:hAnsi="Arial"/>
          <w:sz w:val="18"/>
          <w:szCs w:val="18"/>
          <w:color w:val="auto"/>
        </w:rPr>
        <w:t>Notes, and $30.4 million of proceeds related to issuance of common stock under stock plans. This source of cash was offset by $236.0 million used for repayment of the 2022 Notes attributable to the principal, $327.5 million for payment to settle the Warrants related to the 2022 Notes, $50.6 million for payment of the Capped Call Options related to the 2025 Notes, and $7.4 million used for payment of employee taxes related to the net share settlement of stock-based awards.</w:t>
      </w:r>
    </w:p>
    <w:p>
      <w:pPr>
        <w:spacing w:after="0" w:line="161" w:lineRule="exact"/>
        <w:rPr>
          <w:sz w:val="20"/>
          <w:szCs w:val="20"/>
          <w:color w:val="auto"/>
        </w:rPr>
      </w:pPr>
    </w:p>
    <w:p>
      <w:pPr>
        <w:ind w:right="300" w:firstLine="509"/>
        <w:spacing w:after="0" w:line="262" w:lineRule="auto"/>
        <w:rPr>
          <w:sz w:val="20"/>
          <w:szCs w:val="20"/>
          <w:color w:val="auto"/>
        </w:rPr>
      </w:pPr>
      <w:r>
        <w:rPr>
          <w:rFonts w:ascii="Arial" w:cs="Arial" w:eastAsia="Arial" w:hAnsi="Arial"/>
          <w:sz w:val="17"/>
          <w:szCs w:val="17"/>
          <w:color w:val="auto"/>
        </w:rPr>
        <w:t xml:space="preserve">For the year ended December 31, 2019, cash and cash equivalents provided by financing activities consisted primarily of </w:t>
      </w:r>
      <w:r>
        <w:rPr>
          <w:rFonts w:ascii="Arial" w:cs="Arial" w:eastAsia="Arial" w:hAnsi="Arial"/>
          <w:sz w:val="17"/>
          <w:szCs w:val="17"/>
          <w:color w:val="212529"/>
        </w:rPr>
        <w:t>$342.6 million of net</w:t>
      </w:r>
      <w:r>
        <w:rPr>
          <w:rFonts w:ascii="Arial" w:cs="Arial" w:eastAsia="Arial" w:hAnsi="Arial"/>
          <w:sz w:val="17"/>
          <w:szCs w:val="17"/>
          <w:color w:val="auto"/>
        </w:rPr>
        <w:t xml:space="preserve"> </w:t>
      </w:r>
      <w:r>
        <w:rPr>
          <w:rFonts w:ascii="Arial" w:cs="Arial" w:eastAsia="Arial" w:hAnsi="Arial"/>
          <w:sz w:val="17"/>
          <w:szCs w:val="17"/>
          <w:color w:val="212529"/>
        </w:rPr>
        <w:t xml:space="preserve">proceeds related to common stock offering and </w:t>
      </w:r>
      <w:r>
        <w:rPr>
          <w:rFonts w:ascii="Arial" w:cs="Arial" w:eastAsia="Arial" w:hAnsi="Arial"/>
          <w:sz w:val="17"/>
          <w:szCs w:val="17"/>
          <w:color w:val="000000"/>
        </w:rPr>
        <w:t>$23.6 million of proceeds related to issuance of common stock under stock plans. These sources of cash</w:t>
      </w:r>
      <w:r>
        <w:rPr>
          <w:rFonts w:ascii="Arial" w:cs="Arial" w:eastAsia="Arial" w:hAnsi="Arial"/>
          <w:sz w:val="17"/>
          <w:szCs w:val="17"/>
          <w:color w:val="212529"/>
        </w:rPr>
        <w:t xml:space="preserve"> </w:t>
      </w:r>
      <w:r>
        <w:rPr>
          <w:rFonts w:ascii="Arial" w:cs="Arial" w:eastAsia="Arial" w:hAnsi="Arial"/>
          <w:sz w:val="17"/>
          <w:szCs w:val="17"/>
          <w:color w:val="000000"/>
        </w:rPr>
        <w:t>were offset by $6.2 million used for payment of employee taxes related to the net share settlement of stock-based awards, $0.3 million for repayment of debt associated with our business acquisition and $0.3 million used for repayments of finance leases.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 Considerations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85"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Contractual obligations are cash that we are obligated to pay as part of certain contracts that we have entered during our course of business. Our contractual obligations consists of operating lease liabilities that are included in our consolidated balance sheet and vendor commitments associated with agreements that are legally binding. As of December 31, 2021, the total obligation for operating leases is $386.0 million, of which $45.2 million is expected in the next twelve months. Our vendor commitment is $1.1 billion, of which $141.7 million is expected in the next twelve months. See Note 11 of the Notes to Consolidated Financial Statements included elsewhere in this Annual Report.</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Convertible Senior Notes</w:t>
      </w:r>
    </w:p>
    <w:p>
      <w:pPr>
        <w:spacing w:after="0" w:line="17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As of December 31, 2021, the carrying value was $18.9 million for our 2022 Notes and $383.9 million for our 2025 Notes. The interest rate is fixed at 0.25% for the 2022 Notes and 0.373% for the 2025 Notes. Interest is payable semi-annually in arrears on June 1 and December 1 of each year for both Notes. See Note 9 of the Notes to Consolidated Financial Statements included elsewhere in this Annual Report.</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2021, we had a total of $3.0 million in letters of credit outstanding substantially in favor of certain landlords for office space.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irrevocable letters of credit are expected to remain in effect, in some cases, until 2029.</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Off Balance Sheet Arrangements</w:t>
      </w:r>
    </w:p>
    <w:p>
      <w:pPr>
        <w:spacing w:after="0" w:line="185"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We have no material off-balance sheet arrangements at December 31, 2021 or 2020 exclusive of items described above and indemnifications of officers, directors and employees for certain events or occurrences while the officer, director or employee is, or was, serving at our request in such capacity.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157" w:lineRule="exact"/>
        <w:rPr>
          <w:sz w:val="20"/>
          <w:szCs w:val="20"/>
          <w:color w:val="auto"/>
        </w:rPr>
      </w:pPr>
    </w:p>
    <w:p>
      <w:pPr>
        <w:ind w:right="740" w:firstLine="509"/>
        <w:spacing w:after="0" w:line="324" w:lineRule="auto"/>
        <w:rPr>
          <w:sz w:val="20"/>
          <w:szCs w:val="20"/>
          <w:color w:val="auto"/>
        </w:rPr>
      </w:pPr>
      <w:r>
        <w:rPr>
          <w:rFonts w:ascii="Arial" w:cs="Arial" w:eastAsia="Arial" w:hAnsi="Arial"/>
          <w:sz w:val="16"/>
          <w:szCs w:val="16"/>
          <w:color w:val="auto"/>
        </w:rPr>
        <w:t>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We generate revenue from arrangements with multiple performance obligations, which typically include subscriptions to our online software solutions and professional services which include on-boarding, training, and consulting services. Our customers do not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7" w:name="page58"/>
    <w:bookmarkEnd w:id="57"/>
    <w:p>
      <w:pPr>
        <w:jc w:val="both"/>
        <w:spacing w:after="0" w:line="294" w:lineRule="auto"/>
        <w:rPr>
          <w:sz w:val="20"/>
          <w:szCs w:val="20"/>
          <w:color w:val="auto"/>
        </w:rPr>
      </w:pPr>
      <w:r>
        <w:rPr>
          <w:rFonts w:ascii="Arial" w:cs="Arial" w:eastAsia="Arial" w:hAnsi="Arial"/>
          <w:sz w:val="16"/>
          <w:szCs w:val="16"/>
          <w:color w:val="auto"/>
        </w:rPr>
        <w:t>have the right to take possession of the online software products. Revenue from online software products is recognized ratably over the subscription period beginning on the date the online software product is made available to customers. We recognize revenue from on-boarding, training and consulting services as the services are provided. Amounts billed that have not yet met the applicable revenue recognition criteria are recorded as deferred revenue.</w:t>
      </w:r>
    </w:p>
    <w:p>
      <w:pPr>
        <w:spacing w:after="0" w:line="12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Costs to Obtain a Contract with a Customer</w:t>
      </w:r>
    </w:p>
    <w:p>
      <w:pPr>
        <w:spacing w:after="0" w:line="17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Sales commissions earned by our sales force are considered incremental, recoverable costs of obtaining a contract with a customer. Sales commissions for initial contracts are deferred and then amortized on a straight-line basis over a period of benefit that we have determined to be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one to three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Software development costs consist of certain payroll and stock compensation costs incurred to develop functionality for our CRM Platform and internally-built software platforms, as well as certain upgrades and enhancements that are expected to result in enhanced functionality. We capitalize certain software development costs for new offerings as well as upgrades to our existing software platforms, while costs associated with planning new developments and maintaining our CRM Platform software and internally built software platforms are expensed as incurred.. We amortize these development costs over the estimated useful life of two to five years on a straight-line basis. 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Management evaluates the useful lives of these assets on a quarterly basis and tests for impairment whenever events or changes in circumstances occur that could impact the recoverability of these assets.</w:t>
      </w:r>
    </w:p>
    <w:p>
      <w:pPr>
        <w:spacing w:after="0" w:line="151" w:lineRule="exact"/>
        <w:rPr>
          <w:sz w:val="20"/>
          <w:szCs w:val="20"/>
          <w:color w:val="auto"/>
        </w:rPr>
      </w:pPr>
    </w:p>
    <w:p>
      <w:pPr>
        <w:ind w:right="120" w:firstLine="749"/>
        <w:spacing w:after="0" w:line="294" w:lineRule="auto"/>
        <w:rPr>
          <w:sz w:val="20"/>
          <w:szCs w:val="20"/>
          <w:color w:val="auto"/>
        </w:rPr>
      </w:pPr>
      <w:r>
        <w:rPr>
          <w:rFonts w:ascii="Arial" w:cs="Arial" w:eastAsia="Arial" w:hAnsi="Arial"/>
          <w:sz w:val="16"/>
          <w:szCs w:val="16"/>
          <w:color w:val="auto"/>
        </w:rPr>
        <w:t>We determine the amount of internal software costs to be capitalized based on the amount of time spent by our developers on projects in the application stage of development.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12529"/>
        </w:rPr>
        <w:t>Leases</w:t>
      </w:r>
    </w:p>
    <w:p>
      <w:pPr>
        <w:spacing w:after="0" w:line="171" w:lineRule="exact"/>
        <w:rPr>
          <w:sz w:val="20"/>
          <w:szCs w:val="20"/>
          <w:color w:val="auto"/>
        </w:rPr>
      </w:pPr>
    </w:p>
    <w:p>
      <w:pPr>
        <w:ind w:right="180" w:firstLine="499"/>
        <w:spacing w:after="0" w:line="261"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February 2035. Certain leases contain optional termination dates.</w:t>
      </w:r>
    </w:p>
    <w:p>
      <w:pPr>
        <w:spacing w:after="0" w:line="130" w:lineRule="exact"/>
        <w:rPr>
          <w:sz w:val="20"/>
          <w:szCs w:val="20"/>
          <w:color w:val="auto"/>
        </w:rPr>
      </w:pPr>
    </w:p>
    <w:p>
      <w:pPr>
        <w:ind w:right="140" w:firstLine="499"/>
        <w:spacing w:after="0" w:line="248" w:lineRule="auto"/>
        <w:rPr>
          <w:sz w:val="20"/>
          <w:szCs w:val="20"/>
          <w:color w:val="auto"/>
        </w:rPr>
      </w:pPr>
      <w:r>
        <w:rPr>
          <w:rFonts w:ascii="Arial" w:cs="Arial" w:eastAsia="Arial" w:hAnsi="Arial"/>
          <w:sz w:val="18"/>
          <w:szCs w:val="18"/>
          <w:color w:val="auto"/>
        </w:rPr>
        <w:t>We determine if an arrangement contains a lease at inception and do not separate lease and non-lease components of an arrangement determined to contain a lease. Operating leases with a duration of 12 months or less are excluded from right-of-use-assets and lease liabilities and related expense is recorded as incurred.</w:t>
      </w:r>
    </w:p>
    <w:p>
      <w:pPr>
        <w:spacing w:after="0" w:line="155" w:lineRule="exact"/>
        <w:rPr>
          <w:sz w:val="20"/>
          <w:szCs w:val="20"/>
          <w:color w:val="auto"/>
        </w:rPr>
      </w:pPr>
    </w:p>
    <w:p>
      <w:pPr>
        <w:ind w:right="120" w:firstLine="499"/>
        <w:spacing w:after="0" w:line="248"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operating lease payments. To determine the estimated incremental borrowing rate, we use publicly available credit ratings for peer companies, and estimate the incremental borrowing rate using yields for maturities that are in line with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duration of the lease payments.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Annual Report on Form 10-K.</w:t>
      </w:r>
    </w:p>
    <w:p>
      <w:pPr>
        <w:spacing w:after="0" w:line="12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w:t>
      </w:r>
    </w:p>
    <w:p>
      <w:pPr>
        <w:spacing w:after="0" w:line="10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8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7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In May 2017, we issued $400.0 million aggregate principal amount of 0.25% convertible senior due June 1, 2022, of which $272.1 million was repurchased in June 2020 and $2.8 million was settled in cash in the fourth quarter of 2021. As of December 31, 2021, $19.4 million of principal remains outstanding on the 2022 Notes. Also in June 2020, we issued $460.0 million aggregate principal amount of convertible senior notes due June 1, 2025.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2022 Notes and the 2025 Notes (the “Notes”) will increase as interest rates fall and decrease as interest rates rise. Additionally, we carry the Notes at face value less unamortized discount on our balance sheet, and we present the fair value for required disclosure purposes only.</w:t>
      </w:r>
    </w:p>
    <w:p>
      <w:pPr>
        <w:spacing w:after="0" w:line="18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December 31, 2021 and the estimated impact on the fair value of the Notes. The selected scenarios are not predictions of future events, but rather are intended to illustrate the effect such event may have on the fair value of the Notes.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2022 Notes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9" w:name="page60"/>
    <w:bookmarkEnd w:id="59"/>
    <w:tbl>
      <w:tblPr>
        <w:tblLayout w:type="fixed"/>
        <w:tblInd w:w="8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Hypothetical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change in</w:t>
            </w:r>
          </w:p>
        </w:tc>
        <w:tc>
          <w:tcPr>
            <w:tcW w:w="11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change in HubSpot stock price</w:t>
            </w:r>
          </w:p>
        </w:tc>
        <w:tc>
          <w:tcPr>
            <w:tcW w:w="19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Fair value</w:t>
            </w:r>
          </w:p>
        </w:tc>
        <w:tc>
          <w:tcPr>
            <w:tcW w:w="1940" w:type="dxa"/>
            <w:vAlign w:val="bottom"/>
            <w:vMerge w:val="continue"/>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(decrease) in</w:t>
            </w: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19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fair value</w:t>
            </w:r>
          </w:p>
        </w:tc>
        <w:tc>
          <w:tcPr>
            <w:tcW w:w="116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 w:type="dxa"/>
            <w:vAlign w:val="bottom"/>
          </w:tcPr>
          <w:p>
            <w:pPr>
              <w:spacing w:after="0" w:line="20" w:lineRule="exact"/>
              <w:rPr>
                <w:sz w:val="1"/>
                <w:szCs w:val="1"/>
                <w:color w:val="auto"/>
              </w:rPr>
            </w:pPr>
          </w:p>
        </w:tc>
        <w:tc>
          <w:tcPr>
            <w:tcW w:w="4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4320" w:type="dxa"/>
            <w:vAlign w:val="bottom"/>
            <w:tcBorders>
              <w:right w:val="single" w:sz="8" w:color="CFF0FC"/>
            </w:tcBorders>
            <w:shd w:val="clear" w:color="auto" w:fill="CFF0FC"/>
          </w:tcPr>
          <w:p>
            <w:pPr>
              <w:spacing w:after="0" w:line="176" w:lineRule="exact"/>
              <w:rPr>
                <w:sz w:val="20"/>
                <w:szCs w:val="20"/>
                <w:color w:val="auto"/>
              </w:rPr>
            </w:pPr>
            <w:r>
              <w:rPr>
                <w:rFonts w:ascii="Arial" w:cs="Arial" w:eastAsia="Arial" w:hAnsi="Arial"/>
                <w:sz w:val="18"/>
                <w:szCs w:val="18"/>
                <w:color w:val="auto"/>
              </w:rPr>
              <w:t>10% increase</w:t>
            </w:r>
          </w:p>
        </w:tc>
        <w:tc>
          <w:tcPr>
            <w:tcW w:w="120" w:type="dxa"/>
            <w:vAlign w:val="bottom"/>
            <w:gridSpan w:val="2"/>
            <w:shd w:val="clear" w:color="auto" w:fill="CFF0FC"/>
          </w:tcPr>
          <w:p>
            <w:pPr>
              <w:spacing w:after="0"/>
              <w:rPr>
                <w:sz w:val="15"/>
                <w:szCs w:val="15"/>
                <w:color w:val="auto"/>
              </w:rPr>
            </w:pPr>
          </w:p>
        </w:tc>
        <w:tc>
          <w:tcPr>
            <w:tcW w:w="1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148,282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13,259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90"/>
              <w:spacing w:after="0" w:line="176" w:lineRule="exact"/>
              <w:rPr>
                <w:sz w:val="20"/>
                <w:szCs w:val="20"/>
                <w:color w:val="auto"/>
              </w:rPr>
            </w:pPr>
            <w:r>
              <w:rPr>
                <w:rFonts w:ascii="Arial" w:cs="Arial" w:eastAsia="Arial" w:hAnsi="Arial"/>
                <w:sz w:val="18"/>
                <w:szCs w:val="18"/>
                <w:color w:val="auto"/>
              </w:rPr>
              <w:t>10 %</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No change</w:t>
            </w:r>
          </w:p>
        </w:tc>
        <w:tc>
          <w:tcPr>
            <w:tcW w:w="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135,023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10% decrease</w:t>
            </w:r>
          </w:p>
        </w:tc>
        <w:tc>
          <w:tcPr>
            <w:tcW w:w="2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121,322</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(13,702 )</w:t>
            </w:r>
          </w:p>
        </w:tc>
        <w:tc>
          <w:tcPr>
            <w:tcW w:w="4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(10 )%</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180" w:type="dxa"/>
            <w:vAlign w:val="bottom"/>
            <w:gridSpan w:val="2"/>
          </w:tcPr>
          <w:p>
            <w:pPr>
              <w:ind w:left="760"/>
              <w:spacing w:after="0"/>
              <w:rPr>
                <w:sz w:val="20"/>
                <w:szCs w:val="20"/>
                <w:color w:val="auto"/>
              </w:rPr>
            </w:pPr>
            <w:r>
              <w:rPr>
                <w:rFonts w:ascii="Arial" w:cs="Arial" w:eastAsia="Arial" w:hAnsi="Arial"/>
                <w:sz w:val="18"/>
                <w:szCs w:val="18"/>
                <w:b w:val="1"/>
                <w:bCs w:val="1"/>
                <w:color w:val="auto"/>
              </w:rPr>
              <w:t>2025 Notes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Hypothetical</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88"/>
              </w:rPr>
              <w:t>percentage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Estimated change in</w:t>
            </w:r>
          </w:p>
        </w:tc>
        <w:tc>
          <w:tcPr>
            <w:tcW w:w="196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87"/>
              </w:rPr>
              <w:t>increase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change in HubSpot stock price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96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fair value</w:t>
            </w:r>
          </w:p>
        </w:tc>
        <w:tc>
          <w:tcPr>
            <w:tcW w:w="19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4"/>
              </w:rPr>
              <w:t>fair value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320" w:type="dxa"/>
            <w:vAlign w:val="bottom"/>
            <w:tcBorders>
              <w:top w:val="single" w:sz="8" w:color="auto"/>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10% increase</w:t>
            </w:r>
          </w:p>
        </w:tc>
        <w:tc>
          <w:tcPr>
            <w:tcW w:w="20" w:type="dxa"/>
            <w:vAlign w:val="bottom"/>
            <w:shd w:val="clear" w:color="auto" w:fill="CFF0FC"/>
          </w:tcPr>
          <w:p>
            <w:pPr>
              <w:spacing w:after="0"/>
              <w:rPr>
                <w:sz w:val="17"/>
                <w:szCs w:val="17"/>
                <w:color w:val="auto"/>
              </w:rPr>
            </w:pPr>
          </w:p>
        </w:tc>
        <w:tc>
          <w:tcPr>
            <w:tcW w:w="260" w:type="dxa"/>
            <w:vAlign w:val="bottom"/>
            <w:tcBorders>
              <w:top w:val="single" w:sz="8" w:color="auto"/>
            </w:tcBorders>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1,194,387</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73,241</w:t>
            </w:r>
          </w:p>
        </w:tc>
        <w:tc>
          <w:tcPr>
            <w:tcW w:w="10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No change</w:t>
            </w:r>
          </w:p>
        </w:tc>
        <w:tc>
          <w:tcPr>
            <w:tcW w:w="2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1,121,146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432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10% decrease</w:t>
            </w:r>
          </w:p>
        </w:tc>
        <w:tc>
          <w:tcPr>
            <w:tcW w:w="28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986,238</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(134,909 )</w:t>
            </w:r>
          </w:p>
        </w:tc>
        <w:tc>
          <w:tcPr>
            <w:tcW w:w="4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(12 )%</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0"/>
        </w:trPr>
        <w:tc>
          <w:tcPr>
            <w:tcW w:w="8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7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6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8.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660" w:type="dxa"/>
            <w:vAlign w:val="bottom"/>
            <w:gridSpan w:val="7"/>
            <w:vMerge w:val="restart"/>
          </w:tcPr>
          <w:p>
            <w:pPr>
              <w:spacing w:after="0"/>
              <w:rPr>
                <w:sz w:val="20"/>
                <w:szCs w:val="20"/>
                <w:color w:val="auto"/>
              </w:rPr>
            </w:pPr>
            <w:r>
              <w:rPr>
                <w:rFonts w:ascii="Arial" w:cs="Arial" w:eastAsia="Arial" w:hAnsi="Arial"/>
                <w:sz w:val="18"/>
                <w:szCs w:val="18"/>
                <w:color w:val="auto"/>
              </w:rPr>
              <w:t>Reports of Independent Registered Public Accounting Firm (PCAOB ID No. 238)</w:t>
            </w: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60" w:type="dxa"/>
            <w:vAlign w:val="bottom"/>
            <w:gridSpan w:val="7"/>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60" w:type="dxa"/>
            <w:vAlign w:val="bottom"/>
            <w:gridSpan w:val="7"/>
          </w:tcPr>
          <w:p>
            <w:pPr>
              <w:spacing w:after="0" w:line="190" w:lineRule="exact"/>
              <w:rPr>
                <w:rFonts w:ascii="Arial" w:cs="Arial" w:eastAsia="Arial" w:hAnsi="Arial"/>
                <w:sz w:val="18"/>
                <w:szCs w:val="18"/>
                <w:color w:val="auto"/>
              </w:rPr>
            </w:pPr>
            <w:hyperlink w:anchor="page64">
              <w:r>
                <w:rPr>
                  <w:rFonts w:ascii="Arial" w:cs="Arial" w:eastAsia="Arial" w:hAnsi="Arial"/>
                  <w:sz w:val="18"/>
                  <w:szCs w:val="18"/>
                  <w:color w:val="auto"/>
                </w:rPr>
                <w:t>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4"/>
              </w:rPr>
            </w:pPr>
            <w:hyperlink w:anchor="page65">
              <w:r>
                <w:rPr>
                  <w:rFonts w:ascii="Arial" w:cs="Arial" w:eastAsia="Arial" w:hAnsi="Arial"/>
                  <w:sz w:val="18"/>
                  <w:szCs w:val="18"/>
                  <w:color w:val="auto"/>
                  <w:w w:val="94"/>
                </w:rPr>
                <w:t>Consolidated Statements of</w:t>
              </w:r>
            </w:hyperlink>
          </w:p>
        </w:tc>
        <w:tc>
          <w:tcPr>
            <w:tcW w:w="720" w:type="dxa"/>
            <w:vAlign w:val="bottom"/>
            <w:tcBorders>
              <w:bottom w:val="single" w:sz="8" w:color="0000EE"/>
            </w:tcBorders>
          </w:tcPr>
          <w:p>
            <w:pPr>
              <w:spacing w:after="0" w:line="182" w:lineRule="exact"/>
              <w:rPr>
                <w:rFonts w:ascii="Arial" w:cs="Arial" w:eastAsia="Arial" w:hAnsi="Arial"/>
                <w:sz w:val="18"/>
                <w:szCs w:val="18"/>
                <w:color w:val="auto"/>
                <w:w w:val="79"/>
              </w:rPr>
            </w:pPr>
            <w:hyperlink w:anchor="page65">
              <w:r>
                <w:rPr>
                  <w:rFonts w:ascii="Arial" w:cs="Arial" w:eastAsia="Arial" w:hAnsi="Arial"/>
                  <w:sz w:val="18"/>
                  <w:szCs w:val="18"/>
                  <w:color w:val="auto"/>
                  <w:w w:val="79"/>
                </w:rPr>
                <w:t>Operations</w:t>
              </w:r>
            </w:hyperlink>
          </w:p>
        </w:tc>
        <w:tc>
          <w:tcPr>
            <w:tcW w:w="784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60" w:type="dxa"/>
            <w:vAlign w:val="bottom"/>
            <w:gridSpan w:val="7"/>
          </w:tcPr>
          <w:p>
            <w:pPr>
              <w:spacing w:after="0" w:line="182" w:lineRule="exact"/>
              <w:rPr>
                <w:rFonts w:ascii="Arial" w:cs="Arial" w:eastAsia="Arial" w:hAnsi="Arial"/>
                <w:sz w:val="18"/>
                <w:szCs w:val="18"/>
                <w:color w:val="auto"/>
              </w:rPr>
            </w:pPr>
            <w:hyperlink w:anchor="page66">
              <w:r>
                <w:rPr>
                  <w:rFonts w:ascii="Arial" w:cs="Arial" w:eastAsia="Arial" w:hAnsi="Arial"/>
                  <w:sz w:val="18"/>
                  <w:szCs w:val="18"/>
                  <w:color w:val="auto"/>
                </w:rPr>
                <w:t>Consolidated Statements of Comprehensive Loss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Borders>
              <w:top w:val="single" w:sz="8" w:color="0000EE"/>
            </w:tcBorders>
            <w:gridSpan w:val="6"/>
          </w:tcPr>
          <w:p>
            <w:pPr>
              <w:spacing w:after="0" w:line="182" w:lineRule="exact"/>
              <w:rPr>
                <w:rFonts w:ascii="Arial" w:cs="Arial" w:eastAsia="Arial" w:hAnsi="Arial"/>
                <w:sz w:val="18"/>
                <w:szCs w:val="18"/>
                <w:color w:val="auto"/>
                <w:w w:val="92"/>
              </w:rPr>
            </w:pPr>
            <w:hyperlink w:anchor="page67">
              <w:r>
                <w:rPr>
                  <w:rFonts w:ascii="Arial" w:cs="Arial" w:eastAsia="Arial" w:hAnsi="Arial"/>
                  <w:sz w:val="18"/>
                  <w:szCs w:val="18"/>
                  <w:color w:val="auto"/>
                  <w:w w:val="92"/>
                </w:rPr>
                <w:t>Consolidated Statement of Stockholders’ Equity</w:t>
              </w:r>
            </w:hyperlink>
          </w:p>
        </w:tc>
        <w:tc>
          <w:tcPr>
            <w:tcW w:w="712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w w:val="89"/>
              </w:rPr>
            </w:pPr>
            <w:hyperlink w:anchor="page68">
              <w:r>
                <w:rPr>
                  <w:rFonts w:ascii="Arial" w:cs="Arial" w:eastAsia="Arial" w:hAnsi="Arial"/>
                  <w:sz w:val="18"/>
                  <w:szCs w:val="18"/>
                  <w:color w:val="auto"/>
                  <w:w w:val="89"/>
                </w:rPr>
                <w:t>Consolidated Statements of Cash Flows</w:t>
              </w:r>
            </w:hyperlink>
          </w:p>
        </w:tc>
        <w:tc>
          <w:tcPr>
            <w:tcW w:w="600" w:type="dxa"/>
            <w:vAlign w:val="bottom"/>
            <w:tcBorders>
              <w:top w:val="single" w:sz="8" w:color="0000EE"/>
            </w:tcBorders>
            <w:gridSpan w:val="2"/>
          </w:tcPr>
          <w:p>
            <w:pPr>
              <w:spacing w:after="0"/>
              <w:rPr>
                <w:sz w:val="15"/>
                <w:szCs w:val="15"/>
                <w:color w:val="auto"/>
              </w:rPr>
            </w:pPr>
          </w:p>
        </w:tc>
        <w:tc>
          <w:tcPr>
            <w:tcW w:w="71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60" w:type="dxa"/>
            <w:vAlign w:val="bottom"/>
            <w:gridSpan w:val="7"/>
          </w:tcPr>
          <w:p>
            <w:pPr>
              <w:spacing w:after="0" w:line="182" w:lineRule="exact"/>
              <w:rPr>
                <w:rFonts w:ascii="Arial" w:cs="Arial" w:eastAsia="Arial" w:hAnsi="Arial"/>
                <w:sz w:val="18"/>
                <w:szCs w:val="18"/>
                <w:color w:val="auto"/>
              </w:rPr>
            </w:pPr>
            <w:hyperlink w:anchor="page70">
              <w:r>
                <w:rPr>
                  <w:rFonts w:ascii="Arial" w:cs="Arial" w:eastAsia="Arial" w:hAnsi="Arial"/>
                  <w:sz w:val="18"/>
                  <w:szCs w:val="18"/>
                  <w:color w:val="auto"/>
                </w:rPr>
                <w:t>Notes to Consolidated Financial Statements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7520" w:type="dxa"/>
            <w:vAlign w:val="bottom"/>
            <w:gridSpan w:val="3"/>
          </w:tcPr>
          <w:p>
            <w:pPr>
              <w:jc w:val="right"/>
              <w:ind w:right="4960"/>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HubSpot,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 xml:space="preserve">We have audited the accompanying consolidated balance sheets of HubSpot, Inc. and its subsidiaries (the “Company”) as of December 31, 2021 and 2020, and the related consolidated statements of operations, of comprehensive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60"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 – estimate of time and related costs eligible for capitalization</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described in Note 2 to the consolidated financial statements, the Company’s consolidated capitalized software development costs, net balance was $39.9 million as of December 31, 2021. The Company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There is judgment involved in estimating time allocated to a particular project in the application stage.</w:t>
      </w:r>
    </w:p>
    <w:p>
      <w:pPr>
        <w:spacing w:after="0" w:line="14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estimate of time and related costs eligible for capitalization as capitalized software development costs is a critical audit matter are the significant judgment by management when determining the amount of time to capitalize for projects; this in turn led to a high degree of auditor judgment, subjectivity, and effort in performing procedures and evaluating audit evidence related to management’s determination of capitalized costs and management’s judgment related to the amount of time incurred by developers on projects in the application stage.</w:t>
      </w:r>
    </w:p>
    <w:p>
      <w:pPr>
        <w:spacing w:after="0" w:line="17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(i) testing management’s process for determining the time and related costs eligible for capitalization in the current year, (ii) evaluating whether the time and related costs were eligible for capitalization, (iii) testing the completeness and accuracy of underlying data used in management’s estimate of eligible time and related costs, and (iv)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 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14,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377,013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378,123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820,962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873,073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4"/>
              </w:rPr>
              <w:t>Accounts receivable—net of allowance for doubtful accounts of $1,768 and $1,993 at December 31,</w:t>
            </w:r>
          </w:p>
        </w:tc>
        <w:tc>
          <w:tcPr>
            <w:tcW w:w="18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157,362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126,433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2021 and 2020, respectively</w:t>
            </w:r>
          </w:p>
        </w:tc>
        <w:tc>
          <w:tcPr>
            <w:tcW w:w="18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Deferred commission expense</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59,849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38,388</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34,716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1,453,574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1,456,921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174,895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96,134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101,123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software development costs, net</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39,858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280,828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275,893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commission expense, net of current portion</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42,681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29,244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13,893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47,075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2,174,854</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1,973,366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2,773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costs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63,836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74,457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37,184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19,630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26,364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430,414</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312,866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617,474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445,501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283,873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279,664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4,473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Convertible senior notes, net of current portion</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383,101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471,099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1,301,055</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1,210,711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11)</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Arial" w:cs="Arial" w:eastAsia="Arial" w:hAnsi="Arial"/>
                <w:sz w:val="18"/>
                <w:szCs w:val="18"/>
                <w:color w:val="auto"/>
                <w:w w:val="96"/>
              </w:rPr>
              <w:t>Common stock, $0.001 par value—500,000 shares authorized; 48,300 and 46,115 shares issued;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47,390 and 46,115 shares outstanding at December 31, 2021 and 2020,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1,436,089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1,241,167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(1,339 )</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4,603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(560,998 )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(483,161 )</w:t>
            </w: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873,799</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762,655</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2,174,854</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1,973,366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-4333875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-4333875</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-3034030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-3016885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-3034030</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-3016885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-1976755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-1976755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-1188085</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-1188085</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-296545</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1,258,319</w:t>
            </w:r>
          </w:p>
        </w:tc>
        <w:tc>
          <w:tcPr>
            <w:tcW w:w="80" w:type="dxa"/>
            <w:vAlign w:val="bottom"/>
          </w:tcPr>
          <w:p>
            <w:pPr>
              <w:spacing w:after="0"/>
              <w:rPr>
                <w:sz w:val="17"/>
                <w:szCs w:val="17"/>
                <w:color w:val="auto"/>
              </w:rPr>
            </w:pP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853,025</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646,266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42,339</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28,594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38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1,300,658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883,026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211,132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130,685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98,510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47,725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36,274</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31,448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258,857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166,959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1,041,801</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716,067</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544,902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301,970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205,589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158,237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649,681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452,081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340,685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144,949</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109,225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92,971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1,096,600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766,895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(54,799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(50,828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(46,991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620" w:type="dxa"/>
            <w:vAlign w:val="bottom"/>
          </w:tcPr>
          <w:p>
            <w:pPr>
              <w:ind w:left="20"/>
              <w:spacing w:after="0" w:line="196" w:lineRule="exact"/>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(30,282 )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(37,049 )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(22,818 )</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10,090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(711 )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ind w:left="380"/>
              <w:spacing w:after="0" w:line="196" w:lineRule="exact"/>
              <w:rPr>
                <w:sz w:val="20"/>
                <w:szCs w:val="20"/>
                <w:color w:val="auto"/>
              </w:rPr>
            </w:pPr>
            <w:r>
              <w:rPr>
                <w:rFonts w:ascii="Arial" w:cs="Arial" w:eastAsia="Arial" w:hAnsi="Arial"/>
                <w:sz w:val="18"/>
                <w:szCs w:val="18"/>
                <w:color w:val="auto"/>
              </w:rPr>
              <w:t>Total other expense</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(19,019 )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(29,987 )</w:t>
            </w:r>
          </w:p>
        </w:tc>
        <w:tc>
          <w:tcPr>
            <w:tcW w:w="3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(3,782 )</w:t>
            </w: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 expense</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(73,818</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(80,815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(50,773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(4,019 )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(4,216 )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(2,973 )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(77,837</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(85,031</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(53,746</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 basic and diluted</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(1.66 )</w:t>
            </w:r>
          </w:p>
        </w:tc>
        <w:tc>
          <w:tcPr>
            <w:tcW w:w="4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1"/>
              <w:spacing w:after="0" w:line="183" w:lineRule="exact"/>
              <w:rPr>
                <w:sz w:val="20"/>
                <w:szCs w:val="20"/>
                <w:color w:val="auto"/>
              </w:rPr>
            </w:pPr>
            <w:r>
              <w:rPr>
                <w:rFonts w:ascii="Arial" w:cs="Arial" w:eastAsia="Arial" w:hAnsi="Arial"/>
                <w:sz w:val="18"/>
                <w:szCs w:val="18"/>
                <w:color w:val="auto"/>
              </w:rPr>
              <w:t>(1.90 )</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162"/>
        </w:trPr>
        <w:tc>
          <w:tcPr>
            <w:tcW w:w="6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 average common shares used in computing basic and diluted net</w:t>
            </w: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46,891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44,757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42,025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loss per common share:</w:t>
            </w: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-3056890</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-3056890</wp:posOffset>
            </wp:positionV>
            <wp:extent cx="685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-3056890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-2525395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-2525395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-2251075</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-2251075</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-1727835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-1727835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-1727835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-1453515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-1453515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-1453515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-930910</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-930910</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-930910</wp:posOffset>
            </wp:positionV>
            <wp:extent cx="685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-393700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-376555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-393700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-376555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(77,837</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(85,031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(53,746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2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(4,712 )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162"/>
        </w:trPr>
        <w:tc>
          <w:tcPr>
            <w:tcW w:w="6260" w:type="dxa"/>
            <w:vAlign w:val="bottom"/>
          </w:tcPr>
          <w:p>
            <w:pPr>
              <w:ind w:left="200"/>
              <w:spacing w:after="0" w:line="162" w:lineRule="exact"/>
              <w:rPr>
                <w:sz w:val="20"/>
                <w:szCs w:val="20"/>
                <w:color w:val="auto"/>
              </w:rPr>
            </w:pPr>
            <w:r>
              <w:rPr>
                <w:rFonts w:ascii="Arial" w:cs="Arial" w:eastAsia="Arial" w:hAnsi="Arial"/>
                <w:sz w:val="18"/>
                <w:szCs w:val="18"/>
                <w:color w:val="auto"/>
                <w:w w:val="93"/>
              </w:rPr>
              <w:t>Changes in unrealized (loss) gain on investments, net of income taxes of ($44) in</w:t>
            </w:r>
          </w:p>
        </w:tc>
        <w:tc>
          <w:tcPr>
            <w:tcW w:w="32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(1,230 )</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2021, ($116) in 2020, and $156 in 2019.</w:t>
            </w: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(83,779</w:t>
            </w: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(80,092</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(53,359</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tbl>
      <w:tblPr>
        <w:tblLayout w:type="fixed"/>
        <w:tblInd w:w="0" w:type="dxa"/>
        <w:tblCellMar>
          <w:top w:w="0" w:type="dxa"/>
          <w:left w:w="0" w:type="dxa"/>
          <w:bottom w:w="0" w:type="dxa"/>
          <w:right w:w="0" w:type="dxa"/>
        </w:tblCellMar>
      </w:tblPr>
      <w:tr>
        <w:trPr>
          <w:trHeight w:val="121"/>
        </w:trPr>
        <w:tc>
          <w:tcPr>
            <w:tcW w:w="3260" w:type="dxa"/>
            <w:vAlign w:val="bottom"/>
          </w:tcPr>
          <w:p>
            <w:pPr>
              <w:spacing w:after="0"/>
              <w:rPr>
                <w:sz w:val="10"/>
                <w:szCs w:val="10"/>
                <w:color w:val="auto"/>
              </w:rPr>
            </w:pPr>
          </w:p>
        </w:tc>
        <w:tc>
          <w:tcPr>
            <w:tcW w:w="1100" w:type="dxa"/>
            <w:vAlign w:val="bottom"/>
            <w:gridSpan w:val="2"/>
          </w:tcPr>
          <w:p>
            <w:pPr>
              <w:jc w:val="center"/>
              <w:ind w:left="417"/>
              <w:spacing w:after="0" w:line="121"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4"/>
          </w:tcPr>
          <w:p>
            <w:pPr>
              <w:jc w:val="center"/>
              <w:ind w:right="15"/>
              <w:spacing w:after="0" w:line="121" w:lineRule="exact"/>
              <w:rPr>
                <w:sz w:val="20"/>
                <w:szCs w:val="20"/>
                <w:color w:val="auto"/>
              </w:rPr>
            </w:pPr>
            <w:r>
              <w:rPr>
                <w:rFonts w:ascii="Arial" w:cs="Arial" w:eastAsia="Arial" w:hAnsi="Arial"/>
                <w:sz w:val="13"/>
                <w:szCs w:val="13"/>
                <w:b w:val="1"/>
                <w:bCs w:val="1"/>
                <w:color w:val="auto"/>
                <w:w w:val="94"/>
              </w:rPr>
              <w:t>Treasury Stock,</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260" w:type="dxa"/>
            <w:vAlign w:val="bottom"/>
            <w:gridSpan w:val="3"/>
          </w:tcPr>
          <w:p>
            <w:pPr>
              <w:jc w:val="center"/>
              <w:ind w:left="257"/>
              <w:spacing w:after="0" w:line="148" w:lineRule="exact"/>
              <w:rPr>
                <w:sz w:val="20"/>
                <w:szCs w:val="20"/>
                <w:color w:val="auto"/>
              </w:rPr>
            </w:pPr>
            <w:r>
              <w:rPr>
                <w:rFonts w:ascii="Arial" w:cs="Arial" w:eastAsia="Arial" w:hAnsi="Arial"/>
                <w:sz w:val="13"/>
                <w:szCs w:val="13"/>
                <w:b w:val="1"/>
                <w:bCs w:val="1"/>
                <w:color w:val="auto"/>
                <w:w w:val="92"/>
              </w:rPr>
              <w:t>Stock, $0.001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left="237"/>
              <w:spacing w:after="0" w:line="148" w:lineRule="exact"/>
              <w:rPr>
                <w:sz w:val="20"/>
                <w:szCs w:val="20"/>
                <w:color w:val="auto"/>
              </w:rPr>
            </w:pPr>
            <w:r>
              <w:rPr>
                <w:rFonts w:ascii="Arial" w:cs="Arial" w:eastAsia="Arial" w:hAnsi="Arial"/>
                <w:sz w:val="13"/>
                <w:szCs w:val="13"/>
                <w:b w:val="1"/>
                <w:bCs w:val="1"/>
                <w:color w:val="auto"/>
                <w:w w:val="90"/>
              </w:rPr>
              <w:t>$0.001</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2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215"/>
              <w:spacing w:after="0"/>
              <w:rPr>
                <w:sz w:val="20"/>
                <w:szCs w:val="20"/>
                <w:color w:val="auto"/>
              </w:rPr>
            </w:pPr>
            <w:r>
              <w:rPr>
                <w:rFonts w:ascii="Arial" w:cs="Arial" w:eastAsia="Arial" w:hAnsi="Arial"/>
                <w:sz w:val="13"/>
                <w:szCs w:val="13"/>
                <w:b w:val="1"/>
                <w:bCs w:val="1"/>
                <w:color w:val="auto"/>
                <w:w w:val="93"/>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417"/>
              <w:spacing w:after="0"/>
              <w:rPr>
                <w:sz w:val="20"/>
                <w:szCs w:val="20"/>
                <w:color w:val="auto"/>
              </w:rPr>
            </w:pPr>
            <w:r>
              <w:rPr>
                <w:rFonts w:ascii="Arial" w:cs="Arial" w:eastAsia="Arial" w:hAnsi="Arial"/>
                <w:sz w:val="13"/>
                <w:szCs w:val="13"/>
                <w:b w:val="1"/>
                <w:bCs w:val="1"/>
                <w:color w:val="auto"/>
                <w:w w:val="94"/>
              </w:rPr>
              <w:t>Par Value</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3"/>
                <w:szCs w:val="13"/>
                <w:b w:val="1"/>
                <w:bCs w:val="1"/>
                <w:color w:val="auto"/>
                <w:w w:val="94"/>
              </w:rPr>
              <w:t>Par Value</w:t>
            </w: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340" w:type="dxa"/>
            <w:vAlign w:val="bottom"/>
          </w:tcPr>
          <w:p>
            <w:pPr>
              <w:jc w:val="right"/>
              <w:ind w:right="13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ind w:right="195"/>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 (Loss)</w:t>
            </w:r>
          </w:p>
        </w:tc>
        <w:tc>
          <w:tcPr>
            <w:tcW w:w="120" w:type="dxa"/>
            <w:vAlign w:val="bottom"/>
          </w:tcPr>
          <w:p>
            <w:pPr>
              <w:spacing w:after="0"/>
              <w:rPr>
                <w:sz w:val="13"/>
                <w:szCs w:val="13"/>
                <w:color w:val="auto"/>
              </w:rPr>
            </w:pPr>
          </w:p>
        </w:tc>
        <w:tc>
          <w:tcPr>
            <w:tcW w:w="1080" w:type="dxa"/>
            <w:vAlign w:val="bottom"/>
            <w:gridSpan w:val="2"/>
          </w:tcPr>
          <w:p>
            <w:pPr>
              <w:jc w:val="right"/>
              <w:ind w:right="395"/>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Balances at January 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39,300</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589,708</w:t>
            </w: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(723</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(344,384</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244,641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 under stock</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100"/>
              <w:spacing w:after="0" w:line="176" w:lineRule="exact"/>
              <w:rPr>
                <w:sz w:val="20"/>
                <w:szCs w:val="20"/>
                <w:color w:val="auto"/>
              </w:rPr>
            </w:pPr>
            <w:r>
              <w:rPr>
                <w:rFonts w:ascii="Arial" w:cs="Arial" w:eastAsia="Arial" w:hAnsi="Arial"/>
                <w:sz w:val="17"/>
                <w:szCs w:val="17"/>
                <w:color w:val="auto"/>
              </w:rPr>
              <w:t>plans, net of shares withheld for</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employee taxes</w:t>
            </w:r>
          </w:p>
        </w:tc>
        <w:tc>
          <w:tcPr>
            <w:tcW w:w="900" w:type="dxa"/>
            <w:vAlign w:val="bottom"/>
          </w:tcPr>
          <w:p>
            <w:pPr>
              <w:jc w:val="right"/>
              <w:spacing w:after="0"/>
              <w:rPr>
                <w:sz w:val="20"/>
                <w:szCs w:val="20"/>
                <w:color w:val="auto"/>
              </w:rPr>
            </w:pPr>
            <w:r>
              <w:rPr>
                <w:rFonts w:ascii="Arial" w:cs="Arial" w:eastAsia="Arial" w:hAnsi="Arial"/>
                <w:sz w:val="17"/>
                <w:szCs w:val="17"/>
                <w:color w:val="auto"/>
              </w:rPr>
              <w:t>1,504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16,859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99,185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99,185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 in</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00"/>
              <w:spacing w:after="0" w:line="176" w:lineRule="exact"/>
              <w:rPr>
                <w:sz w:val="20"/>
                <w:szCs w:val="20"/>
                <w:color w:val="auto"/>
              </w:rPr>
            </w:pPr>
            <w:r>
              <w:rPr>
                <w:rFonts w:ascii="Arial" w:cs="Arial" w:eastAsia="Arial" w:hAnsi="Arial"/>
                <w:sz w:val="17"/>
                <w:szCs w:val="17"/>
                <w:color w:val="auto"/>
              </w:rPr>
              <w:t>relation to common stock offering,</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net of offering costs incurred $365</w:t>
            </w:r>
          </w:p>
        </w:tc>
        <w:tc>
          <w:tcPr>
            <w:tcW w:w="900" w:type="dxa"/>
            <w:vAlign w:val="bottom"/>
          </w:tcPr>
          <w:p>
            <w:pPr>
              <w:jc w:val="right"/>
              <w:spacing w:after="0"/>
              <w:rPr>
                <w:sz w:val="20"/>
                <w:szCs w:val="20"/>
                <w:color w:val="auto"/>
              </w:rPr>
            </w:pPr>
            <w:r>
              <w:rPr>
                <w:rFonts w:ascii="Arial" w:cs="Arial" w:eastAsia="Arial" w:hAnsi="Arial"/>
                <w:sz w:val="17"/>
                <w:szCs w:val="17"/>
                <w:color w:val="auto"/>
              </w:rPr>
              <w:t>2,151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342,628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342,630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(213 )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(213 )</w:t>
            </w: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Arial" w:cs="Arial" w:eastAsia="Arial" w:hAnsi="Arial"/>
                <w:sz w:val="17"/>
                <w:szCs w:val="17"/>
                <w:color w:val="auto"/>
              </w:rPr>
              <w:t>Unrealized gain on investments, net of</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income taxes of $156</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(53,746 )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(53,746 )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7"/>
                <w:szCs w:val="17"/>
                <w:color w:val="auto"/>
              </w:rPr>
              <w:t>Balances at December 31, 2019</w:t>
            </w:r>
          </w:p>
        </w:tc>
        <w:tc>
          <w:tcPr>
            <w:tcW w:w="900" w:type="dxa"/>
            <w:vAlign w:val="bottom"/>
          </w:tcPr>
          <w:p>
            <w:pPr>
              <w:jc w:val="right"/>
              <w:spacing w:after="0"/>
              <w:rPr>
                <w:sz w:val="20"/>
                <w:szCs w:val="20"/>
                <w:color w:val="auto"/>
              </w:rPr>
            </w:pPr>
            <w:r>
              <w:rPr>
                <w:rFonts w:ascii="Arial" w:cs="Arial" w:eastAsia="Arial" w:hAnsi="Arial"/>
                <w:sz w:val="17"/>
                <w:szCs w:val="17"/>
                <w:color w:val="auto"/>
              </w:rPr>
              <w:t>42,955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1,048,380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(336 )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(398,130 )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649,958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60" w:type="dxa"/>
            <w:vAlign w:val="bottom"/>
            <w:shd w:val="clear" w:color="auto" w:fill="CFF0FC"/>
          </w:tcPr>
          <w:p>
            <w:pPr>
              <w:ind w:left="20"/>
              <w:spacing w:after="0" w:line="138" w:lineRule="exact"/>
              <w:rPr>
                <w:sz w:val="20"/>
                <w:szCs w:val="20"/>
                <w:color w:val="auto"/>
              </w:rPr>
            </w:pPr>
            <w:r>
              <w:rPr>
                <w:rFonts w:ascii="Arial" w:cs="Arial" w:eastAsia="Arial" w:hAnsi="Arial"/>
                <w:sz w:val="16"/>
                <w:szCs w:val="16"/>
                <w:color w:val="auto"/>
              </w:rPr>
              <w:t>Issuance of common stock under stock</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FF0FC"/>
          </w:tcPr>
          <w:p>
            <w:pPr>
              <w:ind w:left="100"/>
              <w:spacing w:after="0" w:line="176" w:lineRule="exact"/>
              <w:rPr>
                <w:sz w:val="20"/>
                <w:szCs w:val="20"/>
                <w:color w:val="auto"/>
              </w:rPr>
            </w:pPr>
            <w:r>
              <w:rPr>
                <w:rFonts w:ascii="Arial" w:cs="Arial" w:eastAsia="Arial" w:hAnsi="Arial"/>
                <w:sz w:val="17"/>
                <w:szCs w:val="17"/>
                <w:color w:val="auto"/>
              </w:rPr>
              <w:t>plans, net of shares withheld for</w:t>
            </w: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employee taxes</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22,174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Arial" w:cs="Arial" w:eastAsia="Arial" w:hAnsi="Arial"/>
                <w:sz w:val="17"/>
                <w:szCs w:val="17"/>
                <w:color w:val="auto"/>
              </w:rPr>
              <w:t>Equity component of the 2025</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Notes, net of issuance costs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96,610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Purchase of Capped Call Options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(50,600 )</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(50,600 )</w:t>
            </w: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Arial" w:cs="Arial" w:eastAsia="Arial" w:hAnsi="Arial"/>
                <w:sz w:val="17"/>
                <w:szCs w:val="17"/>
                <w:color w:val="auto"/>
              </w:rPr>
              <w:t>Equity component of the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repayment of 2022 Notes</w:t>
            </w:r>
          </w:p>
        </w:tc>
        <w:tc>
          <w:tcPr>
            <w:tcW w:w="900" w:type="dxa"/>
            <w:vAlign w:val="bottom"/>
          </w:tcPr>
          <w:p>
            <w:pPr>
              <w:jc w:val="right"/>
              <w:spacing w:after="0"/>
              <w:rPr>
                <w:sz w:val="20"/>
                <w:szCs w:val="20"/>
                <w:color w:val="auto"/>
              </w:rPr>
            </w:pPr>
            <w:r>
              <w:rPr>
                <w:rFonts w:ascii="Arial" w:cs="Arial" w:eastAsia="Arial" w:hAnsi="Arial"/>
                <w:sz w:val="17"/>
                <w:szCs w:val="17"/>
                <w:color w:val="auto"/>
              </w:rPr>
              <w:t>1,595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123,102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Arial" w:cs="Arial" w:eastAsia="Arial" w:hAnsi="Arial"/>
                <w:sz w:val="17"/>
                <w:szCs w:val="17"/>
                <w:color w:val="auto"/>
              </w:rPr>
              <w:t>Equity component of the 2022</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Notes conversions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(172 )</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(172 )</w:t>
            </w:r>
          </w:p>
        </w:tc>
        <w:tc>
          <w:tcPr>
            <w:tcW w:w="0" w:type="dxa"/>
            <w:vAlign w:val="bottom"/>
          </w:tcPr>
          <w:p>
            <w:pPr>
              <w:spacing w:after="0"/>
              <w:rPr>
                <w:sz w:val="1"/>
                <w:szCs w:val="1"/>
                <w:color w:val="auto"/>
              </w:rPr>
            </w:pPr>
          </w:p>
        </w:tc>
      </w:tr>
      <w:tr>
        <w:trPr>
          <w:trHeight w:val="204"/>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7"/>
                <w:szCs w:val="17"/>
                <w:color w:val="auto"/>
              </w:rPr>
              <w:t>Cumulative translation adjustment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6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Unrealized gain on investments, net of</w:t>
            </w: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income taxes of ($116)</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(85,031 )</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(85,031 )</w:t>
            </w: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Balances at December 31,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46,115</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1,241,167</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4,603</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(483,161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762,655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3260" w:type="dxa"/>
            <w:vAlign w:val="bottom"/>
          </w:tcPr>
          <w:p>
            <w:pPr>
              <w:ind w:left="20"/>
              <w:spacing w:after="0" w:line="138" w:lineRule="exact"/>
              <w:rPr>
                <w:sz w:val="20"/>
                <w:szCs w:val="20"/>
                <w:color w:val="auto"/>
              </w:rPr>
            </w:pPr>
            <w:r>
              <w:rPr>
                <w:rFonts w:ascii="Arial" w:cs="Arial" w:eastAsia="Arial" w:hAnsi="Arial"/>
                <w:sz w:val="16"/>
                <w:szCs w:val="16"/>
                <w:color w:val="auto"/>
              </w:rPr>
              <w:t>Issuance of common stock under stock</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00"/>
              <w:spacing w:after="0" w:line="176" w:lineRule="exact"/>
              <w:rPr>
                <w:sz w:val="20"/>
                <w:szCs w:val="20"/>
                <w:color w:val="auto"/>
              </w:rPr>
            </w:pPr>
            <w:r>
              <w:rPr>
                <w:rFonts w:ascii="Arial" w:cs="Arial" w:eastAsia="Arial" w:hAnsi="Arial"/>
                <w:sz w:val="17"/>
                <w:szCs w:val="17"/>
                <w:color w:val="auto"/>
              </w:rPr>
              <w:t>plans, net of shares withheld for</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100"/>
              <w:spacing w:after="0"/>
              <w:rPr>
                <w:sz w:val="20"/>
                <w:szCs w:val="20"/>
                <w:color w:val="auto"/>
              </w:rPr>
            </w:pPr>
            <w:r>
              <w:rPr>
                <w:rFonts w:ascii="Arial" w:cs="Arial" w:eastAsia="Arial" w:hAnsi="Arial"/>
                <w:sz w:val="17"/>
                <w:szCs w:val="17"/>
                <w:color w:val="auto"/>
              </w:rPr>
              <w:t>employee taxes</w:t>
            </w:r>
          </w:p>
        </w:tc>
        <w:tc>
          <w:tcPr>
            <w:tcW w:w="900" w:type="dxa"/>
            <w:vAlign w:val="bottom"/>
          </w:tcPr>
          <w:p>
            <w:pPr>
              <w:jc w:val="right"/>
              <w:spacing w:after="0"/>
              <w:rPr>
                <w:sz w:val="20"/>
                <w:szCs w:val="20"/>
                <w:color w:val="auto"/>
              </w:rPr>
            </w:pPr>
            <w:r>
              <w:rPr>
                <w:rFonts w:ascii="Arial" w:cs="Arial" w:eastAsia="Arial" w:hAnsi="Arial"/>
                <w:sz w:val="17"/>
                <w:szCs w:val="17"/>
                <w:color w:val="auto"/>
              </w:rPr>
              <w:t>1,275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60" w:type="dxa"/>
            <w:vAlign w:val="bottom"/>
            <w:shd w:val="clear" w:color="auto" w:fill="CFF0FC"/>
          </w:tcPr>
          <w:p>
            <w:pPr>
              <w:ind w:left="20"/>
              <w:spacing w:after="0" w:line="160" w:lineRule="exact"/>
              <w:rPr>
                <w:sz w:val="20"/>
                <w:szCs w:val="20"/>
                <w:color w:val="auto"/>
              </w:rPr>
            </w:pPr>
            <w:r>
              <w:rPr>
                <w:rFonts w:ascii="Arial" w:cs="Arial" w:eastAsia="Arial" w:hAnsi="Arial"/>
                <w:sz w:val="17"/>
                <w:szCs w:val="17"/>
                <w:color w:val="auto"/>
              </w:rPr>
              <w:t>Equity component of the 2022</w:t>
            </w: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Notes conversions</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(11,278 )</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(11,277 )</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7"/>
                <w:szCs w:val="17"/>
                <w:color w:val="auto"/>
              </w:rPr>
              <w:t>Settlement of Convertible Note Hedges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(898 )</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(1 )</w:t>
            </w:r>
          </w:p>
        </w:tc>
        <w:tc>
          <w:tcPr>
            <w:tcW w:w="660" w:type="dxa"/>
            <w:vAlign w:val="bottom"/>
          </w:tcPr>
          <w:p>
            <w:pPr>
              <w:jc w:val="right"/>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169,727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169,727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7"/>
                <w:szCs w:val="17"/>
                <w:color w:val="auto"/>
              </w:rPr>
              <w:t>Cumulative translation adjustment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(4,712 )</w:t>
            </w:r>
          </w:p>
        </w:tc>
        <w:tc>
          <w:tcPr>
            <w:tcW w:w="120" w:type="dxa"/>
            <w:vAlign w:val="bottom"/>
          </w:tcPr>
          <w:p>
            <w:pPr>
              <w:spacing w:after="0"/>
              <w:rPr>
                <w:sz w:val="17"/>
                <w:szCs w:val="17"/>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(4,712 )</w:t>
            </w:r>
          </w:p>
        </w:tc>
        <w:tc>
          <w:tcPr>
            <w:tcW w:w="0" w:type="dxa"/>
            <w:vAlign w:val="bottom"/>
          </w:tcPr>
          <w:p>
            <w:pPr>
              <w:spacing w:after="0"/>
              <w:rPr>
                <w:sz w:val="1"/>
                <w:szCs w:val="1"/>
                <w:color w:val="auto"/>
              </w:rPr>
            </w:pPr>
          </w:p>
        </w:tc>
      </w:tr>
      <w:tr>
        <w:trPr>
          <w:trHeight w:val="158"/>
        </w:trPr>
        <w:tc>
          <w:tcPr>
            <w:tcW w:w="326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income taxes of ($44)</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(1,230 )</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(1,230 )</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(77,837 )</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(77,837 )</w:t>
            </w: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Balances at December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47,390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1,436,089</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(560,998</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873,799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-3785235</wp:posOffset>
            </wp:positionV>
            <wp:extent cx="603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-3785235</wp:posOffset>
            </wp:positionV>
            <wp:extent cx="6032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-3785235</wp:posOffset>
            </wp:positionV>
            <wp:extent cx="431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-3785235</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-3785235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-3785235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-3785235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-3785235</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-1534160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-1517015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-1534160</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-1517015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-1534160</wp:posOffset>
            </wp:positionV>
            <wp:extent cx="43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-1517015</wp:posOffset>
            </wp:positionV>
            <wp:extent cx="431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-1534160</wp:posOffset>
            </wp:positionV>
            <wp:extent cx="43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-1517015</wp:posOffset>
            </wp:positionV>
            <wp:extent cx="43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-1534160</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-1517015</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-1534160</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-1517015</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-1534160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-1517015</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-1534160</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-1517015</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-25400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-25400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-25400</wp:posOffset>
            </wp:positionV>
            <wp:extent cx="431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43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431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Operating Activities:</w:t>
            </w: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Net loss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(77,837 )</w:t>
            </w:r>
          </w:p>
        </w:tc>
        <w:tc>
          <w:tcPr>
            <w:tcW w:w="46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(85,031 )</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(53,746 )</w:t>
            </w:r>
          </w:p>
        </w:tc>
        <w:tc>
          <w:tcPr>
            <w:tcW w:w="0" w:type="dxa"/>
            <w:vAlign w:val="bottom"/>
          </w:tcPr>
          <w:p>
            <w:pPr>
              <w:spacing w:after="0"/>
              <w:rPr>
                <w:sz w:val="1"/>
                <w:szCs w:val="1"/>
                <w:color w:val="auto"/>
              </w:rPr>
            </w:pPr>
          </w:p>
        </w:tc>
      </w:tr>
      <w:tr>
        <w:trPr>
          <w:trHeight w:val="135"/>
        </w:trPr>
        <w:tc>
          <w:tcPr>
            <w:tcW w:w="6600" w:type="dxa"/>
            <w:vAlign w:val="bottom"/>
            <w:shd w:val="clear" w:color="auto" w:fill="CFF0FC"/>
          </w:tcPr>
          <w:p>
            <w:pPr>
              <w:ind w:left="200"/>
              <w:spacing w:after="0" w:line="136" w:lineRule="exact"/>
              <w:rPr>
                <w:sz w:val="20"/>
                <w:szCs w:val="20"/>
                <w:color w:val="auto"/>
              </w:rPr>
            </w:pPr>
            <w:r>
              <w:rPr>
                <w:rFonts w:ascii="Arial" w:cs="Arial" w:eastAsia="Arial" w:hAnsi="Arial"/>
                <w:sz w:val="15"/>
                <w:szCs w:val="15"/>
                <w:color w:val="auto"/>
              </w:rPr>
              <w:t>Adjustments to reconcile net loss to net cash and cash equivalents provided by</w:t>
            </w:r>
          </w:p>
        </w:tc>
        <w:tc>
          <w:tcPr>
            <w:tcW w:w="3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ind w:left="320"/>
              <w:spacing w:after="0"/>
              <w:rPr>
                <w:sz w:val="20"/>
                <w:szCs w:val="20"/>
                <w:color w:val="auto"/>
              </w:rPr>
            </w:pPr>
            <w:r>
              <w:rPr>
                <w:rFonts w:ascii="Arial" w:cs="Arial" w:eastAsia="Arial" w:hAnsi="Arial"/>
                <w:sz w:val="15"/>
                <w:szCs w:val="15"/>
                <w:color w:val="auto"/>
              </w:rPr>
              <w:t>operating activities, net of acquisitions</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45,159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37,060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28,793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166,761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121,488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97,754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380"/>
              <w:spacing w:after="0"/>
              <w:rPr>
                <w:sz w:val="20"/>
                <w:szCs w:val="20"/>
                <w:color w:val="auto"/>
              </w:rPr>
            </w:pPr>
            <w:r>
              <w:rPr>
                <w:rFonts w:ascii="Arial" w:cs="Arial" w:eastAsia="Arial" w:hAnsi="Arial"/>
                <w:sz w:val="15"/>
                <w:szCs w:val="15"/>
                <w:color w:val="auto"/>
              </w:rPr>
              <w:t>Loss on early extinguishment of 2022 Convertible Notes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10,507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Repayment of 2022 Convertible Notes attributable to the debt discount</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(26,428 )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(49,048 )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tcPr>
          <w:p>
            <w:pPr>
              <w:ind w:left="380"/>
              <w:spacing w:after="0"/>
              <w:rPr>
                <w:sz w:val="20"/>
                <w:szCs w:val="20"/>
                <w:color w:val="auto"/>
              </w:rPr>
            </w:pPr>
            <w:r>
              <w:rPr>
                <w:rFonts w:ascii="Arial" w:cs="Arial" w:eastAsia="Arial" w:hAnsi="Arial"/>
                <w:sz w:val="15"/>
                <w:szCs w:val="15"/>
                <w:color w:val="auto"/>
              </w:rPr>
              <w:t>Gain on termination of operating leases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(4,276 )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Loss on disposal of fixed assets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6,468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tcPr>
          <w:p>
            <w:pPr>
              <w:ind w:left="380"/>
              <w:spacing w:after="0"/>
              <w:rPr>
                <w:sz w:val="20"/>
                <w:szCs w:val="20"/>
                <w:color w:val="auto"/>
              </w:rPr>
            </w:pPr>
            <w:r>
              <w:rPr>
                <w:rFonts w:ascii="Arial" w:cs="Arial" w:eastAsia="Arial" w:hAnsi="Arial"/>
                <w:sz w:val="15"/>
                <w:szCs w:val="15"/>
                <w:color w:val="auto"/>
              </w:rPr>
              <w:t>Gain on strategic investments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(11,741 )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Benefit from deferred income taxes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(2,869 )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(2,185 )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(799 )</w:t>
            </w: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5"/>
                <w:szCs w:val="15"/>
                <w:color w:val="auto"/>
              </w:rPr>
              <w:t>Amortization of debt discount and issuance costs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23,507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24,890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21,790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Amortization (accretion) of bond discount</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4,275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(3,657 )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(14,160 )</w:t>
            </w: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5"/>
                <w:szCs w:val="15"/>
                <w:color w:val="auto"/>
              </w:rPr>
              <w:t>Unrealized currency translation</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(952 )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(156 )</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Changes in assets and liabilities, net of acquisition</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56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(34,107 )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(29,971 )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(15,428 )</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6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(1,077 )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(17,026 )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(3,296 )</w:t>
            </w:r>
          </w:p>
        </w:tc>
        <w:tc>
          <w:tcPr>
            <w:tcW w:w="0" w:type="dxa"/>
            <w:vAlign w:val="bottom"/>
          </w:tcPr>
          <w:p>
            <w:pPr>
              <w:spacing w:after="0"/>
              <w:rPr>
                <w:sz w:val="1"/>
                <w:szCs w:val="1"/>
                <w:color w:val="auto"/>
              </w:rPr>
            </w:pPr>
          </w:p>
        </w:tc>
      </w:tr>
      <w:tr>
        <w:trPr>
          <w:trHeight w:val="176"/>
        </w:trPr>
        <w:tc>
          <w:tcPr>
            <w:tcW w:w="6600" w:type="dxa"/>
            <w:vAlign w:val="bottom"/>
          </w:tcPr>
          <w:p>
            <w:pPr>
              <w:ind w:left="560"/>
              <w:spacing w:after="0"/>
              <w:rPr>
                <w:sz w:val="20"/>
                <w:szCs w:val="20"/>
                <w:color w:val="auto"/>
              </w:rPr>
            </w:pPr>
            <w:r>
              <w:rPr>
                <w:rFonts w:ascii="Arial" w:cs="Arial" w:eastAsia="Arial" w:hAnsi="Arial"/>
                <w:sz w:val="15"/>
                <w:szCs w:val="15"/>
                <w:color w:val="auto"/>
              </w:rPr>
              <w:t>Deferred commission expense</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(32,560 )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(19,288 )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(9,666 )</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560"/>
              <w:spacing w:after="0"/>
              <w:rPr>
                <w:sz w:val="20"/>
                <w:szCs w:val="20"/>
                <w:color w:val="auto"/>
              </w:rPr>
            </w:pPr>
            <w:r>
              <w:rPr>
                <w:rFonts w:ascii="Arial" w:cs="Arial" w:eastAsia="Arial" w:hAnsi="Arial"/>
                <w:sz w:val="15"/>
                <w:szCs w:val="15"/>
                <w:color w:val="auto"/>
              </w:rPr>
              <w:t>Right-of-use assets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31,418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31,406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22,657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6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(10,608 )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3,697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Accrued expenses and other current liabilities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58,209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26,020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60"/>
              <w:spacing w:after="0"/>
              <w:rPr>
                <w:sz w:val="20"/>
                <w:szCs w:val="20"/>
                <w:color w:val="auto"/>
              </w:rPr>
            </w:pPr>
            <w:r>
              <w:rPr>
                <w:rFonts w:ascii="Arial" w:cs="Arial" w:eastAsia="Arial" w:hAnsi="Arial"/>
                <w:sz w:val="15"/>
                <w:szCs w:val="15"/>
                <w:color w:val="auto"/>
              </w:rPr>
              <w:t>Operating lease liabilities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(29,478 )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(31,621 )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(15,781 )</w:t>
            </w:r>
          </w:p>
        </w:tc>
        <w:tc>
          <w:tcPr>
            <w:tcW w:w="0" w:type="dxa"/>
            <w:vAlign w:val="bottom"/>
          </w:tcPr>
          <w:p>
            <w:pPr>
              <w:spacing w:after="0"/>
              <w:rPr>
                <w:sz w:val="1"/>
                <w:szCs w:val="1"/>
                <w:color w:val="auto"/>
              </w:rPr>
            </w:pPr>
          </w:p>
        </w:tc>
      </w:tr>
      <w:tr>
        <w:trPr>
          <w:trHeight w:val="176"/>
        </w:trPr>
        <w:tc>
          <w:tcPr>
            <w:tcW w:w="6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5"/>
                <w:szCs w:val="15"/>
                <w:color w:val="auto"/>
              </w:rPr>
              <w:t>Deferred revenue</w:t>
            </w:r>
          </w:p>
        </w:tc>
        <w:tc>
          <w:tcPr>
            <w:tcW w:w="3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127,716</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72,624</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49,265</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740"/>
              <w:spacing w:after="0" w:line="169" w:lineRule="exact"/>
              <w:rPr>
                <w:sz w:val="20"/>
                <w:szCs w:val="20"/>
                <w:color w:val="auto"/>
              </w:rPr>
            </w:pPr>
            <w:r>
              <w:rPr>
                <w:rFonts w:ascii="Arial" w:cs="Arial" w:eastAsia="Arial" w:hAnsi="Arial"/>
                <w:sz w:val="15"/>
                <w:szCs w:val="15"/>
                <w:color w:val="auto"/>
              </w:rPr>
              <w:t>Net cash and cash equivalents provided by operating activities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238,728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88,913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118,973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Investing Activities:</w:t>
            </w: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5"/>
                <w:szCs w:val="15"/>
                <w:color w:val="auto"/>
              </w:rPr>
              <w:t>Purchases of investments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(1,484,762 )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(1,517,357 )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(1,304,847 )</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Maturities of investments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1,387,498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1,352,231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1,066,366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5"/>
                <w:szCs w:val="15"/>
                <w:color w:val="auto"/>
              </w:rPr>
              <w:t>Sale of investments</w:t>
            </w:r>
          </w:p>
        </w:tc>
        <w:tc>
          <w:tcPr>
            <w:tcW w:w="34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10,932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property and equipment</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(28,726 )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(37,274 )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(40,372 )</w:t>
            </w: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Capitalization of software development costs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(33,139 )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(21,599 )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(13,474 )</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Acquisition of a business, net of cash acquired</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(16,810 )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(23,314 )</w:t>
            </w: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Proceeds from sale of strategic investments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12,620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Equity method investments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(3,100 )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Purchase of strategic investments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(13,089 )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(2,500 )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(553 )</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Net cash and cash equivalents used in investing activities</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(179,508</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(215,567</w:t>
            </w:r>
          </w:p>
        </w:tc>
        <w:tc>
          <w:tcPr>
            <w:tcW w:w="200" w:type="dxa"/>
            <w:vAlign w:val="bottom"/>
            <w:tcBorders>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(316,194</w:t>
            </w:r>
          </w:p>
        </w:tc>
        <w:tc>
          <w:tcPr>
            <w:tcW w:w="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Financing Activities: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0" w:type="dxa"/>
            <w:vAlign w:val="bottom"/>
            <w:shd w:val="clear" w:color="auto" w:fill="CFF0FC"/>
          </w:tcPr>
          <w:p>
            <w:pPr>
              <w:ind w:left="200"/>
              <w:spacing w:after="0" w:line="136" w:lineRule="exact"/>
              <w:rPr>
                <w:sz w:val="20"/>
                <w:szCs w:val="20"/>
                <w:color w:val="auto"/>
              </w:rPr>
            </w:pPr>
            <w:r>
              <w:rPr>
                <w:rFonts w:ascii="Arial" w:cs="Arial" w:eastAsia="Arial" w:hAnsi="Arial"/>
                <w:sz w:val="15"/>
                <w:szCs w:val="15"/>
                <w:color w:val="auto"/>
              </w:rPr>
              <w:t>Proceeds from issuance of 2025 Convertible Notes, net of issuance costs paid</w:t>
            </w:r>
          </w:p>
        </w:tc>
        <w:tc>
          <w:tcPr>
            <w:tcW w:w="340" w:type="dxa"/>
            <w:vAlign w:val="bottom"/>
            <w:shd w:val="clear" w:color="auto" w:fill="CFF0FC"/>
          </w:tcPr>
          <w:p>
            <w:pPr>
              <w:spacing w:after="0"/>
              <w:rPr>
                <w:sz w:val="11"/>
                <w:szCs w:val="11"/>
                <w:color w:val="auto"/>
              </w:rPr>
            </w:pPr>
          </w:p>
        </w:tc>
        <w:tc>
          <w:tcPr>
            <w:tcW w:w="1140" w:type="dxa"/>
            <w:vAlign w:val="bottom"/>
            <w:gridSpan w:val="2"/>
            <w:vMerge w:val="restart"/>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450,123</w:t>
            </w: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gridSpan w:val="2"/>
            <w:vMerge w:val="restart"/>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ind w:left="280"/>
              <w:spacing w:after="0"/>
              <w:rPr>
                <w:sz w:val="20"/>
                <w:szCs w:val="20"/>
                <w:color w:val="auto"/>
              </w:rPr>
            </w:pPr>
            <w:r>
              <w:rPr>
                <w:rFonts w:ascii="Arial" w:cs="Arial" w:eastAsia="Arial" w:hAnsi="Arial"/>
                <w:sz w:val="15"/>
                <w:szCs w:val="15"/>
                <w:color w:val="auto"/>
              </w:rPr>
              <w:t>of $9.9 million</w:t>
            </w:r>
          </w:p>
        </w:tc>
        <w:tc>
          <w:tcPr>
            <w:tcW w:w="34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5"/>
                <w:szCs w:val="15"/>
                <w:color w:val="auto"/>
              </w:rPr>
              <w:t>Proceeds from settlement of Convertible Note Hedges related to the 2022 Convertible Notes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8,985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363,554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for settlement of Warrants related to the 2022 Convertible Notes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(327,543 )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Repayment of 2022 Convertible Notes attributable to the principal</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(89,525 )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(235,993 )</w:t>
            </w:r>
          </w:p>
        </w:tc>
        <w:tc>
          <w:tcPr>
            <w:tcW w:w="32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for Capped Call Options related to the 2025 Convertible Notes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(50,600 )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Proceeds from common stock offering, net of offering costs paid of $365</w:t>
            </w:r>
          </w:p>
        </w:tc>
        <w:tc>
          <w:tcPr>
            <w:tcW w:w="34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342,628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Repayment of debt</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(333 )</w:t>
            </w:r>
          </w:p>
        </w:tc>
        <w:tc>
          <w:tcPr>
            <w:tcW w:w="0" w:type="dxa"/>
            <w:vAlign w:val="bottom"/>
          </w:tcPr>
          <w:p>
            <w:pPr>
              <w:spacing w:after="0"/>
              <w:rPr>
                <w:sz w:val="1"/>
                <w:szCs w:val="1"/>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5"/>
                <w:szCs w:val="15"/>
                <w:color w:val="auto"/>
              </w:rPr>
              <w:t>Employee taxes paid related to the net share settlement of stock-based awards</w:t>
            </w: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(17,439 )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(7,424 )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(6,247 )</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related to the issuance of common stock under stock plans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46,510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30,371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23,578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Repayment of finance lease obligations</w:t>
            </w:r>
          </w:p>
        </w:tc>
        <w:tc>
          <w:tcPr>
            <w:tcW w:w="34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(28 )</w:t>
            </w:r>
          </w:p>
        </w:tc>
        <w:tc>
          <w:tcPr>
            <w:tcW w:w="3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(284 )</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Net cash and cash equivalents (used in) provided by financing activities</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(51,469</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222,460</w:t>
            </w:r>
          </w:p>
        </w:tc>
        <w:tc>
          <w:tcPr>
            <w:tcW w:w="2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359,342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line="169" w:lineRule="exact"/>
              <w:rPr>
                <w:sz w:val="20"/>
                <w:szCs w:val="20"/>
                <w:color w:val="auto"/>
              </w:rPr>
            </w:pPr>
            <w:r>
              <w:rPr>
                <w:rFonts w:ascii="Arial" w:cs="Arial" w:eastAsia="Arial" w:hAnsi="Arial"/>
                <w:sz w:val="15"/>
                <w:szCs w:val="15"/>
                <w:color w:val="auto"/>
              </w:rPr>
              <w:t>Effect on exchange rate changes on cash and cash equivalents</w:t>
            </w:r>
          </w:p>
        </w:tc>
        <w:tc>
          <w:tcPr>
            <w:tcW w:w="340" w:type="dxa"/>
            <w:vAlign w:val="bottom"/>
          </w:tcPr>
          <w:p>
            <w:pPr>
              <w:spacing w:after="0"/>
              <w:rPr>
                <w:sz w:val="14"/>
                <w:szCs w:val="14"/>
                <w:color w:val="auto"/>
              </w:rPr>
            </w:pPr>
          </w:p>
        </w:tc>
        <w:tc>
          <w:tcPr>
            <w:tcW w:w="11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(8,861 )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6,831</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(720 )</w:t>
            </w: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Net increase in cash, cash equivalents and restricted cash</w:t>
            </w:r>
          </w:p>
        </w:tc>
        <w:tc>
          <w:tcPr>
            <w:tcW w:w="3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(1,110</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1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102,637</w:t>
            </w:r>
          </w:p>
        </w:tc>
        <w:tc>
          <w:tcPr>
            <w:tcW w:w="2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161,401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beginning of year</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381,152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278,515</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117,114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5"/>
                <w:szCs w:val="15"/>
                <w:color w:val="auto"/>
              </w:rPr>
              <w:t>Cash, cash equivalents and restricted cash, end of year</w:t>
            </w:r>
          </w:p>
        </w:tc>
        <w:tc>
          <w:tcPr>
            <w:tcW w:w="340" w:type="dxa"/>
            <w:vAlign w:val="bottom"/>
            <w:tcBorders>
              <w:bottom w:val="single" w:sz="8" w:color="auto"/>
            </w:tcBorders>
            <w:shd w:val="clear" w:color="auto" w:fill="CFF0FC"/>
          </w:tcPr>
          <w:p>
            <w:pPr>
              <w:jc w:val="right"/>
              <w:ind w:right="164"/>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380,042</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4"/>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381,152</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4"/>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278,515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Supplemental cash flow disclosure:</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for interest</w:t>
            </w:r>
          </w:p>
        </w:tc>
        <w:tc>
          <w:tcPr>
            <w:tcW w:w="34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1,843</w:t>
            </w: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5"/>
                <w:szCs w:val="15"/>
                <w:color w:val="auto"/>
              </w:rPr>
              <w:t>Cash paid for income taxes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6,970</w:t>
            </w:r>
          </w:p>
        </w:tc>
        <w:tc>
          <w:tcPr>
            <w:tcW w:w="80" w:type="dxa"/>
            <w:vAlign w:val="bottom"/>
          </w:tcPr>
          <w:p>
            <w:pPr>
              <w:spacing w:after="0"/>
              <w:rPr>
                <w:sz w:val="15"/>
                <w:szCs w:val="15"/>
                <w:color w:val="auto"/>
              </w:rPr>
            </w:pPr>
          </w:p>
        </w:tc>
        <w:tc>
          <w:tcPr>
            <w:tcW w:w="46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2,306</w:t>
            </w:r>
          </w:p>
        </w:tc>
        <w:tc>
          <w:tcPr>
            <w:tcW w:w="20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Right-of-use assets obtained in exchange for operating lease facilities</w:t>
            </w:r>
          </w:p>
        </w:tc>
        <w:tc>
          <w:tcPr>
            <w:tcW w:w="34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92,131</w:t>
            </w: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65,340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105,496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5"/>
                <w:szCs w:val="15"/>
                <w:color w:val="auto"/>
              </w:rPr>
              <w:t>Right-of-use asset reductions related to operating lease terminations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(46,587 )</w:t>
            </w:r>
          </w:p>
        </w:tc>
        <w:tc>
          <w:tcPr>
            <w:tcW w:w="46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5"/>
                <w:szCs w:val="15"/>
                <w:color w:val="auto"/>
              </w:rPr>
              <w:t>Capital expenditures incurred but not yet paid</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470</w:t>
            </w:r>
          </w:p>
        </w:tc>
        <w:tc>
          <w:tcPr>
            <w:tcW w:w="80" w:type="dxa"/>
            <w:vAlign w:val="bottom"/>
          </w:tcPr>
          <w:p>
            <w:pPr>
              <w:spacing w:after="0"/>
              <w:rPr>
                <w:sz w:val="15"/>
                <w:szCs w:val="15"/>
                <w:color w:val="auto"/>
              </w:rPr>
            </w:pPr>
          </w:p>
        </w:tc>
        <w:tc>
          <w:tcPr>
            <w:tcW w:w="46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1,038</w:t>
            </w:r>
          </w:p>
        </w:tc>
        <w:tc>
          <w:tcPr>
            <w:tcW w:w="20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4,606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Asset retirement obligations</w:t>
            </w:r>
          </w:p>
        </w:tc>
        <w:tc>
          <w:tcPr>
            <w:tcW w:w="34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-4196715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-4196715</wp:posOffset>
            </wp:positionV>
            <wp:extent cx="431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-4196715</wp:posOffset>
            </wp:positionV>
            <wp:extent cx="431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-2834005</wp:posOffset>
            </wp:positionV>
            <wp:extent cx="5143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-2834005</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-2834005</wp:posOffset>
            </wp:positionV>
            <wp:extent cx="431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-1384935</wp:posOffset>
            </wp:positionV>
            <wp:extent cx="5143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-1384935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-1384935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-916940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-899795</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-916940</wp:posOffset>
            </wp:positionV>
            <wp:extent cx="431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-899795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-916940</wp:posOffset>
            </wp:positionV>
            <wp:extent cx="431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-899795</wp:posOffset>
            </wp:positionV>
            <wp:extent cx="43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spacing w:after="0"/>
        <w:tabs>
          <w:tab w:leader="none" w:pos="6400" w:val="left"/>
          <w:tab w:leader="none" w:pos="7260" w:val="left"/>
          <w:tab w:leader="none" w:pos="8020" w:val="left"/>
          <w:tab w:leader="none" w:pos="8880" w:val="left"/>
          <w:tab w:leader="none" w:pos="9600" w:val="left"/>
          <w:tab w:leader="none" w:pos="10780" w:val="left"/>
        </w:tabs>
        <w:rPr>
          <w:sz w:val="20"/>
          <w:szCs w:val="20"/>
          <w:color w:val="auto"/>
        </w:rPr>
      </w:pPr>
      <w:r>
        <w:rPr>
          <w:rFonts w:ascii="Arial" w:cs="Arial" w:eastAsia="Arial" w:hAnsi="Arial"/>
          <w:sz w:val="15"/>
          <w:szCs w:val="15"/>
          <w:color w:val="auto"/>
        </w:rPr>
        <w:t>Issuance of common stock for repayment of 2022 Convertible Notes</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493,172</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336,289</w:t>
        <w:tab/>
        <w:t>$</w:t>
      </w:r>
      <w:r>
        <w:rPr>
          <w:sz w:val="20"/>
          <w:szCs w:val="20"/>
          <w:color w:val="auto"/>
        </w:rPr>
        <w:tab/>
      </w:r>
      <w:r>
        <w:rPr>
          <w:rFonts w:ascii="Arial" w:cs="Arial" w:eastAsia="Arial" w:hAnsi="Arial"/>
          <w:sz w:val="15"/>
          <w:szCs w:val="15"/>
          <w:color w:val="auto"/>
        </w:rPr>
        <w:t>—</w:t>
      </w:r>
    </w:p>
    <w:p>
      <w:pPr>
        <w:sectPr>
          <w:pgSz w:w="11900" w:h="16838" w:orient="portrait"/>
          <w:cols w:equalWidth="0" w:num="1">
            <w:col w:w="10960"/>
          </w:cols>
          <w:pgMar w:left="520" w:top="32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20" w:top="329" w:right="41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HUBSPOT,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08"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 xml:space="preserve">HubSpot, Inc. (the “Company”) </w:t>
      </w:r>
      <w:r>
        <w:rPr>
          <w:rFonts w:ascii="Arial" w:cs="Arial" w:eastAsia="Arial" w:hAnsi="Arial"/>
          <w:sz w:val="16"/>
          <w:szCs w:val="16"/>
          <w:color w:val="212529"/>
        </w:rPr>
        <w:t>provides a cloud-based CRM Platform, that enables companies to attract, engage, and delight customers throughout</w:t>
      </w:r>
      <w:r>
        <w:rPr>
          <w:rFonts w:ascii="Arial" w:cs="Arial" w:eastAsia="Arial" w:hAnsi="Arial"/>
          <w:sz w:val="16"/>
          <w:szCs w:val="16"/>
          <w:color w:val="auto"/>
        </w:rPr>
        <w:t xml:space="preserve"> </w:t>
      </w:r>
      <w:r>
        <w:rPr>
          <w:rFonts w:ascii="Arial" w:cs="Arial" w:eastAsia="Arial" w:hAnsi="Arial"/>
          <w:sz w:val="16"/>
          <w:szCs w:val="16"/>
          <w:color w:val="212529"/>
        </w:rPr>
        <w:t xml:space="preserve">the customer experience. </w:t>
      </w:r>
      <w:r>
        <w:rPr>
          <w:rFonts w:ascii="Arial" w:cs="Arial" w:eastAsia="Arial" w:hAnsi="Arial"/>
          <w:sz w:val="16"/>
          <w:szCs w:val="16"/>
          <w:color w:val="000000"/>
        </w:rPr>
        <w:t>The Company’s CRM Platform, comprised of Marketing Hub, Sales Hub, Service Hub, CMS Hub, and Operations Hub features</w:t>
      </w:r>
      <w:r>
        <w:rPr>
          <w:rFonts w:ascii="Arial" w:cs="Arial" w:eastAsia="Arial" w:hAnsi="Arial"/>
          <w:sz w:val="16"/>
          <w:szCs w:val="16"/>
          <w:color w:val="212529"/>
        </w:rPr>
        <w:t xml:space="preserve"> </w:t>
      </w:r>
      <w:r>
        <w:rPr>
          <w:rFonts w:ascii="Arial" w:cs="Arial" w:eastAsia="Arial" w:hAnsi="Arial"/>
          <w:sz w:val="16"/>
          <w:szCs w:val="16"/>
          <w:color w:val="000000"/>
        </w:rPr>
        <w:t>integrated applications, tools, and a native payment solution, that enable businesses to create a cohesive and adaptable customer experience.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right="140" w:firstLine="509"/>
        <w:spacing w:after="0" w:line="250"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consolidated financial statements have been prepared in U.S. dollars,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(“GAAP”). The accompanying consolidated financial statements include the accounts of the Company and its wholly owned subsidiaries. All intercompany transactions have been eliminated in consolidation.</w:t>
      </w:r>
    </w:p>
    <w:p>
      <w:pPr>
        <w:spacing w:after="0" w:line="177" w:lineRule="exact"/>
        <w:rPr>
          <w:sz w:val="20"/>
          <w:szCs w:val="20"/>
          <w:color w:val="auto"/>
        </w:rPr>
      </w:pPr>
    </w:p>
    <w:p>
      <w:pPr>
        <w:jc w:val="both"/>
        <w:ind w:right="260" w:firstLine="509"/>
        <w:spacing w:after="0" w:line="296"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4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b w:val="1"/>
          <w:bCs w:val="1"/>
          <w:color w:val="auto"/>
        </w:rPr>
        <w:t xml:space="preserve">Operating Segments </w:t>
      </w:r>
      <w:r>
        <w:rPr>
          <w:rFonts w:ascii="Arial" w:cs="Arial" w:eastAsia="Arial" w:hAnsi="Arial"/>
          <w:sz w:val="17"/>
          <w:szCs w:val="17"/>
          <w:color w:val="auto"/>
        </w:rPr>
        <w:t>—The Company operates as one operating segment. Operating segments are defined as components of an enterprise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w:t>
      </w:r>
    </w:p>
    <w:p>
      <w:pPr>
        <w:spacing w:after="0" w:line="12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 Basic net loss per share is computed by dividing net loss by the weighted average number of common shares outstanding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below), the Conversion Option of the 2022 Notes, and the Conversion Option of the 2025 Notes (the “Conversion Options”) (Note 9) are considered to be potential common stock equivalents.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loss per share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gridSpan w:val="8"/>
          </w:tcPr>
          <w:p>
            <w:pPr>
              <w:jc w:val="right"/>
              <w:ind w:right="690"/>
              <w:spacing w:after="0"/>
              <w:rPr>
                <w:sz w:val="20"/>
                <w:szCs w:val="20"/>
                <w:color w:val="auto"/>
              </w:rPr>
            </w:pPr>
            <w:r>
              <w:rPr>
                <w:rFonts w:ascii="Arial" w:cs="Arial" w:eastAsia="Arial" w:hAnsi="Arial"/>
                <w:sz w:val="14"/>
                <w:szCs w:val="14"/>
                <w:b w:val="1"/>
                <w:bCs w:val="1"/>
                <w:color w:val="auto"/>
              </w:rPr>
              <w:t>(in thousands, except per share amounts)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0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1"/>
              <w:spacing w:after="0" w:line="182" w:lineRule="exact"/>
              <w:rPr>
                <w:sz w:val="20"/>
                <w:szCs w:val="20"/>
                <w:color w:val="auto"/>
              </w:rPr>
            </w:pPr>
            <w:r>
              <w:rPr>
                <w:rFonts w:ascii="Arial" w:cs="Arial" w:eastAsia="Arial" w:hAnsi="Arial"/>
                <w:sz w:val="18"/>
                <w:szCs w:val="18"/>
                <w:color w:val="auto"/>
              </w:rPr>
              <w:t>(77,837 )</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1"/>
              <w:spacing w:after="0" w:line="182" w:lineRule="exact"/>
              <w:rPr>
                <w:sz w:val="20"/>
                <w:szCs w:val="20"/>
                <w:color w:val="auto"/>
              </w:rPr>
            </w:pPr>
            <w:r>
              <w:rPr>
                <w:rFonts w:ascii="Arial" w:cs="Arial" w:eastAsia="Arial" w:hAnsi="Arial"/>
                <w:sz w:val="18"/>
                <w:szCs w:val="18"/>
                <w:color w:val="auto"/>
              </w:rPr>
              <w:t>(85,031 )</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(53,746 )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Weighted-average common shares outstanding—basic</w:t>
            </w: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46,891</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44,757</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42,025</w:t>
            </w:r>
          </w:p>
        </w:tc>
        <w:tc>
          <w:tcPr>
            <w:tcW w:w="100" w:type="dxa"/>
            <w:vAlign w:val="bottom"/>
            <w:tcBorders>
              <w:top w:val="single" w:sz="8" w:color="CFF0FC"/>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0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Dilutive effect of share equivalents resulting from stock</w:t>
            </w:r>
          </w:p>
        </w:tc>
        <w:tc>
          <w:tcPr>
            <w:tcW w:w="28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options, RSUs, ESPP, Warrants and the Conversion Options</w:t>
            </w:r>
          </w:p>
        </w:tc>
        <w:tc>
          <w:tcPr>
            <w:tcW w:w="28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Weighted-average common shares outstanding-diluted</w:t>
            </w: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46,891</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44,757</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42,025</w:t>
            </w:r>
          </w:p>
        </w:tc>
        <w:tc>
          <w:tcPr>
            <w:tcW w:w="10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(1.66</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5020" w:type="dxa"/>
            <w:vAlign w:val="bottom"/>
          </w:tcPr>
          <w:p>
            <w:pPr>
              <w:ind w:left="440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40" w:type="dxa"/>
            <w:vAlign w:val="bottom"/>
            <w:tcBorders>
              <w:bottom w:val="single" w:sz="8" w:color="9A9A9A"/>
            </w:tcBorders>
          </w:tcPr>
          <w:p>
            <w:pPr>
              <w:spacing w:after="0"/>
              <w:rPr>
                <w:sz w:val="6"/>
                <w:szCs w:val="6"/>
                <w:color w:val="auto"/>
              </w:rPr>
            </w:pPr>
          </w:p>
        </w:tc>
        <w:tc>
          <w:tcPr>
            <w:tcW w:w="50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-1165225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-1148080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-1165225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-1148080</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-1165225</wp:posOffset>
            </wp:positionV>
            <wp:extent cx="59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-1148080</wp:posOffset>
            </wp:positionV>
            <wp:extent cx="59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-776605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-776605</wp:posOffset>
            </wp:positionV>
            <wp:extent cx="6032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-776605</wp:posOffset>
            </wp:positionV>
            <wp:extent cx="5969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-487680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-470535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-487680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-470535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-487680</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-470535</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ind w:right="140" w:firstLine="509"/>
        <w:spacing w:after="0" w:line="248"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55"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Company expects to settle the principal amount of the Notes (Note 9) in cash, and therefore, the Company uses the treasury stock method for calculating any potential dilutive effect of the Warrants and Conversion Options on diluted net income per share, if applicable. As a result, only the amount by which the conversion cost of the Notes, if settled in shares, exceeds the aggregated principal amount of the Notes (the “Conversion Spread”) is considered in the diluted earnings per share computation. The Conversion Spread has a dilutive impact on net income per share when the average market price of the Company’s common stock for a given period of time exceeds the initial conversion price of $94.77 per share for the 2022 Notes and $282.52 for the 2025 Notes. The average stock price for the year ended December 31, 2021 was $592.48.</w:t>
      </w:r>
    </w:p>
    <w:p>
      <w:pPr>
        <w:spacing w:after="0" w:line="135"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6"/>
          <w:szCs w:val="16"/>
          <w:color w:val="auto"/>
        </w:rPr>
        <w:t>Because the last reported sale price of the Company’s common stock for at least 20 trading days during the period of 30 consecutive trading days ending on the last trading day of the calendar quarter ended December 31, 2021 was equal to or greater than 130% of the conversion price of $94.77 on each applicable trading day, the 2022 Notes are convertible at the option of the holders thereof on the business day immediately preceding February 1,</w:t>
      </w:r>
    </w:p>
    <w:p>
      <w:pPr>
        <w:spacing w:after="0" w:line="238" w:lineRule="auto"/>
        <w:rPr>
          <w:sz w:val="20"/>
          <w:szCs w:val="20"/>
          <w:color w:val="auto"/>
        </w:rPr>
      </w:pPr>
      <w:r>
        <w:rPr>
          <w:rFonts w:ascii="Arial" w:cs="Arial" w:eastAsia="Arial" w:hAnsi="Arial"/>
          <w:sz w:val="18"/>
          <w:szCs w:val="18"/>
          <w:color w:val="auto"/>
        </w:rPr>
        <w:t>2022. In 2021, the Company settled approximately $106.5 million of the principal balance of the 2022 Notes in cash. On or after February 1, 2022 until the close of business on the second scheduled trading day immediately preceding the maturity date, holders may convert their notes at any time. As of February 11, 2022, the Company has not received additional conversion notices. For disclosure purposes, the potentially dilutive effect of the Conversion Spread is calculated and included in the table below.</w:t>
      </w:r>
    </w:p>
    <w:p>
      <w:pPr>
        <w:spacing w:after="0" w:line="14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As the last reported sale price of the Company’s common stock for at least 20 trading days during the period of 30 consecutive trading days ending on the last trading day of the calendar quarter ended December 31, 2021 was equal to or greater than 130% of the conversion price of $282.52 on each applicable trading day, the 2025 Notes are convertible at the option of the holders thereof during the calendar quarter ended March 31, 2022. Between the end of the most recently completed fiscal quarter and February 11, 2022, the Company settled $0.9 million of principal balance of the 2025 Notes in cash in response to conversion notices received prior to December 31, 2021. As of February 11, 2022, the Company has not received additional conversion notices. For disclosure purposes, the potentially dilutive effect of the Conversion Spread is calculated and included in the table below.</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left="73"/>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30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69"/>
        </w:trPr>
        <w:tc>
          <w:tcPr>
            <w:tcW w:w="2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9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Options to purchase common shares</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1,489</w:t>
            </w:r>
          </w:p>
        </w:tc>
        <w:tc>
          <w:tcPr>
            <w:tcW w:w="80" w:type="dxa"/>
            <w:vAlign w:val="bottom"/>
            <w:shd w:val="clear" w:color="auto" w:fill="CFF0FC"/>
          </w:tcPr>
          <w:p>
            <w:pPr>
              <w:spacing w:after="0"/>
              <w:rPr>
                <w:sz w:val="17"/>
                <w:szCs w:val="17"/>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1,239</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1,207</w:t>
            </w:r>
          </w:p>
        </w:tc>
        <w:tc>
          <w:tcPr>
            <w:tcW w:w="80" w:type="dxa"/>
            <w:vAlign w:val="bottom"/>
          </w:tcPr>
          <w:p>
            <w:pPr>
              <w:spacing w:after="0"/>
              <w:rPr>
                <w:sz w:val="17"/>
                <w:szCs w:val="17"/>
                <w:color w:val="auto"/>
              </w:rPr>
            </w:pPr>
          </w:p>
        </w:tc>
      </w:tr>
      <w:tr>
        <w:trPr>
          <w:trHeight w:val="203"/>
        </w:trPr>
        <w:tc>
          <w:tcPr>
            <w:tcW w:w="2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2"/>
              </w:rPr>
              <w:t>Conversion Option of the 2022</w:t>
            </w:r>
          </w:p>
        </w:tc>
        <w:tc>
          <w:tcPr>
            <w:tcW w:w="36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Notes and Warrants</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1,326</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1,873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3,104</w:t>
            </w:r>
          </w:p>
        </w:tc>
        <w:tc>
          <w:tcPr>
            <w:tcW w:w="80" w:type="dxa"/>
            <w:vAlign w:val="bottom"/>
            <w:shd w:val="clear" w:color="auto" w:fill="CFF0FC"/>
          </w:tcPr>
          <w:p>
            <w:pPr>
              <w:spacing w:after="0"/>
              <w:rPr>
                <w:sz w:val="17"/>
                <w:szCs w:val="17"/>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w w:val="92"/>
              </w:rPr>
              <w:t>Conversion Option of the 2025</w:t>
            </w:r>
          </w:p>
        </w:tc>
        <w:tc>
          <w:tcPr>
            <w:tcW w:w="3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Notes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1,020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2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ESPP</w:t>
            </w:r>
          </w:p>
        </w:tc>
        <w:tc>
          <w:tcPr>
            <w:tcW w:w="29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purchased with original maturity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and cash equivalents consist of cash held in bank deposit accounts and short-term, highly-liquid investments with remaining maturities of three months or less at the date of purchase, consisting primarily of money-market funds.</w:t>
      </w:r>
    </w:p>
    <w:p>
      <w:pPr>
        <w:spacing w:after="0" w:line="172" w:lineRule="exact"/>
        <w:rPr>
          <w:sz w:val="20"/>
          <w:szCs w:val="20"/>
          <w:color w:val="auto"/>
        </w:rPr>
      </w:pPr>
    </w:p>
    <w:p>
      <w:pPr>
        <w:ind w:firstLine="509"/>
        <w:spacing w:after="0" w:line="224"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Investments consist of commercial paper, corporate debt securities, U.S. Treasury securities, and U.S. Government agency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Securities having remaining 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82" w:lineRule="exact"/>
        <w:rPr>
          <w:sz w:val="20"/>
          <w:szCs w:val="20"/>
          <w:color w:val="auto"/>
        </w:rPr>
      </w:pPr>
    </w:p>
    <w:p>
      <w:pPr>
        <w:ind w:right="40" w:firstLine="509"/>
        <w:spacing w:after="0" w:line="228" w:lineRule="auto"/>
        <w:rPr>
          <w:sz w:val="20"/>
          <w:szCs w:val="20"/>
          <w:color w:val="auto"/>
        </w:rPr>
      </w:pPr>
      <w:r>
        <w:rPr>
          <w:rFonts w:ascii="Arial" w:cs="Arial" w:eastAsia="Arial" w:hAnsi="Arial"/>
          <w:sz w:val="18"/>
          <w:szCs w:val="18"/>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1" w:name="page72"/>
    <w:bookmarkEnd w:id="71"/>
    <w:p>
      <w:pPr>
        <w:spacing w:after="0" w:line="246" w:lineRule="auto"/>
        <w:rPr>
          <w:sz w:val="20"/>
          <w:szCs w:val="20"/>
          <w:color w:val="auto"/>
        </w:rPr>
      </w:pPr>
      <w:r>
        <w:rPr>
          <w:rFonts w:ascii="Arial" w:cs="Arial" w:eastAsia="Arial" w:hAnsi="Arial"/>
          <w:sz w:val="18"/>
          <w:szCs w:val="18"/>
          <w:color w:val="auto"/>
        </w:rPr>
        <w:t>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166" w:lineRule="exact"/>
        <w:rPr>
          <w:sz w:val="20"/>
          <w:szCs w:val="20"/>
          <w:color w:val="auto"/>
        </w:rPr>
      </w:pPr>
    </w:p>
    <w:p>
      <w:pPr>
        <w:ind w:right="460" w:firstLine="509"/>
        <w:spacing w:after="0" w:line="268" w:lineRule="auto"/>
        <w:rPr>
          <w:sz w:val="20"/>
          <w:szCs w:val="20"/>
          <w:color w:val="auto"/>
        </w:rPr>
      </w:pPr>
      <w:r>
        <w:rPr>
          <w:rFonts w:ascii="Arial" w:cs="Arial" w:eastAsia="Arial" w:hAnsi="Arial"/>
          <w:sz w:val="16"/>
          <w:szCs w:val="16"/>
          <w:b w:val="1"/>
          <w:bCs w:val="1"/>
          <w:color w:val="auto"/>
        </w:rPr>
        <w:t xml:space="preserve">Strategic investments </w:t>
      </w:r>
      <w:r>
        <w:rPr>
          <w:rFonts w:ascii="Arial" w:cs="Arial" w:eastAsia="Arial" w:hAnsi="Arial"/>
          <w:sz w:val="16"/>
          <w:szCs w:val="16"/>
          <w:color w:val="auto"/>
        </w:rPr>
        <w:t>— Strategic investments consist of non-controlling equity investments in privately held companies. These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w:t>
      </w:r>
    </w:p>
    <w:p>
      <w:pPr>
        <w:spacing w:after="0" w:line="150" w:lineRule="exact"/>
        <w:rPr>
          <w:sz w:val="20"/>
          <w:szCs w:val="20"/>
          <w:color w:val="auto"/>
        </w:rPr>
      </w:pPr>
    </w:p>
    <w:p>
      <w:pPr>
        <w:ind w:right="80" w:firstLine="509"/>
        <w:spacing w:after="0" w:line="226" w:lineRule="auto"/>
        <w:rPr>
          <w:sz w:val="20"/>
          <w:szCs w:val="20"/>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color w:val="auto"/>
        </w:rPr>
        <w:t>— Equity method investments generally consist of investments for which the Company has the ability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but does not have control and is not the primary beneficiary. Under the equity method of accounting, the Company's proportionate share of the net earnings or impairment charges on investments are reported in the consolidated statements of operations as other income (expense), net of tax, and increase or decrease the investment balance recorded on the balance sheet. Equity method investments are reviewed for indicators of other-than-temporary impairment on a quarterly basis. An equity method investment is written down to fair value if there is evidence of a loss in value which is other-than-temporary. The Company may estimate the fair value of its equity method investments by considering recent investee equity transactions and recent operating results.</w:t>
      </w:r>
    </w:p>
    <w:p>
      <w:pPr>
        <w:spacing w:after="0" w:line="175" w:lineRule="exact"/>
        <w:rPr>
          <w:sz w:val="20"/>
          <w:szCs w:val="20"/>
          <w:color w:val="auto"/>
        </w:rPr>
      </w:pPr>
    </w:p>
    <w:p>
      <w:pPr>
        <w:ind w:right="60" w:firstLine="509"/>
        <w:spacing w:after="0" w:line="229"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carried at the original invoiced amount less an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doubtful accounts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exceeded estimates.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roll-forward of the Company’s allowance for doubtful accounts (in thousands):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w w:val="97"/>
              </w:rPr>
              <w:t>Balance at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 xml:space="preserve">Deductions </w:t>
            </w:r>
            <w:r>
              <w:rPr>
                <w:rFonts w:ascii="Arial" w:cs="Arial" w:eastAsia="Arial" w:hAnsi="Arial"/>
                <w:sz w:val="19"/>
                <w:szCs w:val="19"/>
                <w:b w:val="1"/>
                <w:bCs w:val="1"/>
                <w:color w:val="auto"/>
                <w:w w:val="87"/>
                <w:vertAlign w:val="superscript"/>
              </w:rPr>
              <w:t>(1)</w:t>
            </w:r>
          </w:p>
        </w:tc>
        <w:tc>
          <w:tcPr>
            <w:tcW w:w="160" w:type="dxa"/>
            <w:vAlign w:val="bottom"/>
          </w:tcPr>
          <w:p>
            <w:pPr>
              <w:spacing w:after="0"/>
              <w:rPr>
                <w:sz w:val="12"/>
                <w:szCs w:val="12"/>
                <w:color w:val="auto"/>
              </w:rPr>
            </w:pPr>
          </w:p>
        </w:tc>
        <w:tc>
          <w:tcPr>
            <w:tcW w:w="90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End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of Period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Operations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Allowance for doubtful accounts</w:t>
            </w: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Year ended December 31, 2021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1,993</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(6,369 )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Year ended December 31, 2020</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1,584</w:t>
            </w:r>
          </w:p>
        </w:tc>
        <w:tc>
          <w:tcPr>
            <w:tcW w:w="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8,501</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(8,092 )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7,895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(7,628 )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512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Deductions include actual accounts written-off, net of recoveries.</w:t>
      </w:r>
    </w:p>
    <w:p>
      <w:pPr>
        <w:spacing w:after="0" w:line="208" w:lineRule="exact"/>
        <w:rPr>
          <w:sz w:val="20"/>
          <w:szCs w:val="20"/>
          <w:color w:val="auto"/>
        </w:rPr>
      </w:pPr>
    </w:p>
    <w:p>
      <w:pPr>
        <w:ind w:right="140" w:firstLine="509"/>
        <w:spacing w:after="0" w:line="258" w:lineRule="auto"/>
        <w:rPr>
          <w:sz w:val="20"/>
          <w:szCs w:val="20"/>
          <w:color w:val="auto"/>
        </w:rPr>
      </w:pPr>
      <w:r>
        <w:rPr>
          <w:rFonts w:ascii="Arial" w:cs="Arial" w:eastAsia="Arial" w:hAnsi="Arial"/>
          <w:sz w:val="17"/>
          <w:szCs w:val="17"/>
          <w:b w:val="1"/>
          <w:bCs w:val="1"/>
          <w:color w:val="auto"/>
        </w:rPr>
        <w:t xml:space="preserve">Restricted Cash </w:t>
      </w:r>
      <w:r>
        <w:rPr>
          <w:rFonts w:ascii="Arial" w:cs="Arial" w:eastAsia="Arial" w:hAnsi="Arial"/>
          <w:sz w:val="17"/>
          <w:szCs w:val="17"/>
          <w:color w:val="auto"/>
        </w:rPr>
        <w:t>—The Company had restricted cash of $3.0 million at December 31, 2021 and 2020 related to letters of credit for its leased</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The following table provides a reconciliation of the cash, cash equivalents and restricted cash within the consolidated balance sheets that sum to the total of the same such amounts shown in the statement of cash flows for the year ended December 31, 2021 and 2020.</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9"/>
              </w:rPr>
              <w:t>December 31, 2021</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9"/>
              </w:rPr>
              <w:t>December 31, 2020</w:t>
            </w:r>
          </w:p>
        </w:tc>
        <w:tc>
          <w:tcPr>
            <w:tcW w:w="180" w:type="dxa"/>
            <w:vAlign w:val="bottom"/>
          </w:tcPr>
          <w:p>
            <w:pPr>
              <w:spacing w:after="0"/>
              <w:rPr>
                <w:sz w:val="14"/>
                <w:szCs w:val="14"/>
                <w:color w:val="auto"/>
              </w:rPr>
            </w:pPr>
          </w:p>
        </w:tc>
      </w:tr>
      <w:tr>
        <w:trPr>
          <w:trHeight w:val="169"/>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Arial" w:cs="Arial" w:eastAsia="Arial" w:hAnsi="Arial"/>
                <w:sz w:val="14"/>
                <w:szCs w:val="14"/>
                <w:b w:val="1"/>
                <w:bCs w:val="1"/>
                <w:color w:val="auto"/>
              </w:rPr>
              <w:t>(in</w:t>
            </w:r>
          </w:p>
        </w:tc>
        <w:tc>
          <w:tcPr>
            <w:tcW w:w="2020" w:type="dxa"/>
            <w:vAlign w:val="bottom"/>
            <w:gridSpan w:val="3"/>
          </w:tcPr>
          <w:p>
            <w:pPr>
              <w:jc w:val="right"/>
              <w:ind w:right="1335"/>
              <w:spacing w:after="0"/>
              <w:rPr>
                <w:sz w:val="20"/>
                <w:szCs w:val="20"/>
                <w:color w:val="auto"/>
              </w:rPr>
            </w:pPr>
            <w:r>
              <w:rPr>
                <w:rFonts w:ascii="Arial" w:cs="Arial" w:eastAsia="Arial" w:hAnsi="Arial"/>
                <w:sz w:val="14"/>
                <w:szCs w:val="14"/>
                <w:b w:val="1"/>
                <w:bCs w:val="1"/>
                <w:color w:val="auto"/>
                <w:w w:val="76"/>
              </w:rPr>
              <w:t>thousands)</w:t>
            </w:r>
          </w:p>
        </w:tc>
        <w:tc>
          <w:tcPr>
            <w:tcW w:w="180" w:type="dxa"/>
            <w:vAlign w:val="bottom"/>
          </w:tcPr>
          <w:p>
            <w:pPr>
              <w:spacing w:after="0"/>
              <w:rPr>
                <w:sz w:val="14"/>
                <w:szCs w:val="14"/>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377,013</w:t>
            </w:r>
          </w:p>
        </w:tc>
        <w:tc>
          <w:tcPr>
            <w:tcW w:w="4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378,123</w:t>
            </w:r>
          </w:p>
        </w:tc>
        <w:tc>
          <w:tcPr>
            <w:tcW w:w="18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Restricted cash, included in other assets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w:t>
            </w:r>
          </w:p>
        </w:tc>
        <w:tc>
          <w:tcPr>
            <w:tcW w:w="180" w:type="dxa"/>
            <w:vAlign w:val="bottom"/>
          </w:tcPr>
          <w:p>
            <w:pPr>
              <w:spacing w:after="0"/>
              <w:rPr>
                <w:sz w:val="17"/>
                <w:szCs w:val="17"/>
                <w:color w:val="auto"/>
              </w:rPr>
            </w:pPr>
          </w:p>
        </w:tc>
      </w:tr>
      <w:tr>
        <w:trPr>
          <w:trHeight w:val="236"/>
        </w:trPr>
        <w:tc>
          <w:tcPr>
            <w:tcW w:w="604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380,042</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381,152</w:t>
            </w:r>
          </w:p>
        </w:tc>
        <w:tc>
          <w:tcPr>
            <w:tcW w:w="1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-8255</wp:posOffset>
            </wp:positionV>
            <wp:extent cx="43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1" w:lineRule="exact"/>
        <w:rPr>
          <w:sz w:val="20"/>
          <w:szCs w:val="20"/>
          <w:color w:val="auto"/>
        </w:rPr>
      </w:pPr>
    </w:p>
    <w:p>
      <w:pPr>
        <w:ind w:right="380" w:firstLine="509"/>
        <w:spacing w:after="0" w:line="272"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stated at cost and depreciated using the straight-line method over the estimated useful</w:t>
      </w:r>
      <w:r>
        <w:rPr>
          <w:rFonts w:ascii="Arial" w:cs="Arial" w:eastAsia="Arial" w:hAnsi="Arial"/>
          <w:sz w:val="17"/>
          <w:szCs w:val="17"/>
          <w:b w:val="1"/>
          <w:bCs w:val="1"/>
          <w:color w:val="auto"/>
        </w:rPr>
        <w:t xml:space="preserve"> </w:t>
      </w:r>
      <w:r>
        <w:rPr>
          <w:rFonts w:ascii="Arial" w:cs="Arial" w:eastAsia="Arial" w:hAnsi="Arial"/>
          <w:sz w:val="17"/>
          <w:szCs w:val="17"/>
          <w:color w:val="auto"/>
        </w:rPr>
        <w:t>lives of 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1460" w:type="dxa"/>
            <w:vAlign w:val="bottom"/>
          </w:tcPr>
          <w:p>
            <w:pPr>
              <w:spacing w:after="0"/>
              <w:rPr>
                <w:sz w:val="16"/>
                <w:szCs w:val="16"/>
                <w:color w:val="auto"/>
              </w:rPr>
            </w:pPr>
          </w:p>
        </w:tc>
      </w:tr>
      <w:tr>
        <w:trPr>
          <w:trHeight w:val="196"/>
        </w:trPr>
        <w:tc>
          <w:tcPr>
            <w:tcW w:w="1480" w:type="dxa"/>
            <w:vAlign w:val="bottom"/>
          </w:tcPr>
          <w:p>
            <w:pPr>
              <w:spacing w:after="0"/>
              <w:rPr>
                <w:sz w:val="17"/>
                <w:szCs w:val="17"/>
                <w:color w:val="auto"/>
              </w:rPr>
            </w:pPr>
          </w:p>
        </w:tc>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 related computer equipment</w:t>
            </w:r>
          </w:p>
        </w:tc>
        <w:tc>
          <w:tcPr>
            <w:tcW w:w="1300" w:type="dxa"/>
            <w:vAlign w:val="bottom"/>
            <w:shd w:val="clear" w:color="auto" w:fill="CFF0FC"/>
          </w:tcPr>
          <w:p>
            <w:pPr>
              <w:spacing w:after="0"/>
              <w:rPr>
                <w:sz w:val="17"/>
                <w:szCs w:val="17"/>
                <w:color w:val="auto"/>
              </w:rPr>
            </w:pPr>
          </w:p>
        </w:tc>
        <w:tc>
          <w:tcPr>
            <w:tcW w:w="3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2 - 3 years</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w w:val="99"/>
              </w:rPr>
              <w:t>Computer equipment and purchased software</w:t>
            </w:r>
          </w:p>
        </w:tc>
        <w:tc>
          <w:tcPr>
            <w:tcW w:w="1300" w:type="dxa"/>
            <w:vAlign w:val="bottom"/>
          </w:tcPr>
          <w:p>
            <w:pPr>
              <w:spacing w:after="0"/>
              <w:rPr>
                <w:sz w:val="17"/>
                <w:szCs w:val="17"/>
                <w:color w:val="auto"/>
              </w:rPr>
            </w:pPr>
          </w:p>
        </w:tc>
        <w:tc>
          <w:tcPr>
            <w:tcW w:w="3340" w:type="dxa"/>
            <w:vAlign w:val="bottom"/>
          </w:tcPr>
          <w:p>
            <w:pPr>
              <w:jc w:val="center"/>
              <w:spacing w:after="0" w:line="202" w:lineRule="exact"/>
              <w:rPr>
                <w:sz w:val="20"/>
                <w:szCs w:val="20"/>
                <w:color w:val="auto"/>
              </w:rPr>
            </w:pPr>
            <w:r>
              <w:rPr>
                <w:rFonts w:ascii="Arial" w:cs="Arial" w:eastAsia="Arial" w:hAnsi="Arial"/>
                <w:sz w:val="18"/>
                <w:szCs w:val="18"/>
                <w:color w:val="auto"/>
                <w:w w:val="88"/>
              </w:rPr>
              <w:t>3 years</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1300" w:type="dxa"/>
            <w:vAlign w:val="bottom"/>
            <w:shd w:val="clear" w:color="auto" w:fill="CFF0FC"/>
          </w:tcPr>
          <w:p>
            <w:pPr>
              <w:spacing w:after="0"/>
              <w:rPr>
                <w:sz w:val="17"/>
                <w:szCs w:val="17"/>
                <w:color w:val="auto"/>
              </w:rPr>
            </w:pPr>
          </w:p>
        </w:tc>
        <w:tc>
          <w:tcPr>
            <w:tcW w:w="3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Internal use software</w:t>
            </w:r>
          </w:p>
        </w:tc>
        <w:tc>
          <w:tcPr>
            <w:tcW w:w="1300" w:type="dxa"/>
            <w:vAlign w:val="bottom"/>
          </w:tcPr>
          <w:p>
            <w:pPr>
              <w:spacing w:after="0"/>
              <w:rPr>
                <w:sz w:val="17"/>
                <w:szCs w:val="17"/>
                <w:color w:val="auto"/>
              </w:rPr>
            </w:pPr>
          </w:p>
        </w:tc>
        <w:tc>
          <w:tcPr>
            <w:tcW w:w="334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300" w:type="dxa"/>
            <w:vAlign w:val="bottom"/>
            <w:shd w:val="clear" w:color="auto" w:fill="CFF0FC"/>
          </w:tcPr>
          <w:p>
            <w:pPr>
              <w:spacing w:after="0"/>
              <w:rPr>
                <w:sz w:val="17"/>
                <w:szCs w:val="17"/>
                <w:color w:val="auto"/>
              </w:rPr>
            </w:pPr>
          </w:p>
        </w:tc>
        <w:tc>
          <w:tcPr>
            <w:tcW w:w="3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Lesser of lease term or useful life</w:t>
            </w:r>
          </w:p>
        </w:tc>
        <w:tc>
          <w:tcPr>
            <w:tcW w:w="1460" w:type="dxa"/>
            <w:vAlign w:val="bottom"/>
          </w:tcPr>
          <w:p>
            <w:pPr>
              <w:spacing w:after="0"/>
              <w:rPr>
                <w:sz w:val="17"/>
                <w:szCs w:val="17"/>
                <w:color w:val="auto"/>
              </w:rPr>
            </w:pPr>
          </w:p>
        </w:tc>
      </w:tr>
      <w:tr>
        <w:trPr>
          <w:trHeight w:val="634"/>
        </w:trPr>
        <w:tc>
          <w:tcPr>
            <w:tcW w:w="1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70</w:t>
            </w:r>
          </w:p>
        </w:tc>
        <w:tc>
          <w:tcPr>
            <w:tcW w:w="3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8"/>
        </w:trPr>
        <w:tc>
          <w:tcPr>
            <w:tcW w:w="148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2" w:name="page73"/>
    <w:bookmarkEnd w:id="72"/>
    <w:p>
      <w:pPr>
        <w:ind w:firstLine="509"/>
        <w:spacing w:after="0" w:line="241" w:lineRule="auto"/>
        <w:rPr>
          <w:sz w:val="20"/>
          <w:szCs w:val="20"/>
          <w:color w:val="auto"/>
        </w:rPr>
      </w:pPr>
      <w:r>
        <w:rPr>
          <w:rFonts w:ascii="Arial" w:cs="Arial" w:eastAsia="Arial" w:hAnsi="Arial"/>
          <w:sz w:val="18"/>
          <w:szCs w:val="18"/>
          <w:color w:val="auto"/>
        </w:rPr>
        <w:t>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Internal-use software is included within property and equipment on the balance sheet. The costs are generally amortized on a straight-line basis over an estimated useful life of approximately five years.</w:t>
      </w:r>
    </w:p>
    <w:p>
      <w:pPr>
        <w:spacing w:after="0" w:line="14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are reviewed for impairment whenever events or changes in circumstances indicate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14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 Intangible assets consist of acquired technology, trade name and customer relationships. The Company records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at fair value on the date of acquisition and amortize such assets in a pattern reflective of the expected economic benefits consumption over the expected useful life of the asset. If this pattern cannot be reliably determined, a straight-line amortization method is used.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w:t>
      </w:r>
    </w:p>
    <w:p>
      <w:pPr>
        <w:spacing w:after="0" w:line="15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—Goodwill represents the excess of cost over the fair value of the net tangible and identifiable intangible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Currently, the Company’s goodwill is evaluated at the consolidated level as it has been determined there is one operating segment comprised of one reporting unit. When assessing goodwill for impairment the Company first performs a qualitative assessment to determine whether it is necessary to perform a quantitative analysis. If the Company determines it is unlikely that the reporting unit fair value is less than its carrying value then no quantitative assessment is performed. If the Company cannot determine that it is likely that the reporting unit fair value is more than its carrying value, then the Company performs a quantitative assessment. Based on the qualitative assessment performed on November 30, 2021, the Company determined it was unlikely that its reporting unit fair value was less than its carrying value and no quantitative assessment was required. There were no indicators that the Company’s goodwill had become impaired since that date, and as such, there was no impairment of goodwill as of November 30, 2021 or December 31, 2021.</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2021, 2020 and 2019, the Company did not recognize an impairment charge.</w:t>
      </w:r>
    </w:p>
    <w:p>
      <w:pPr>
        <w:spacing w:after="0" w:line="167"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 The Company uses its best estimates and assumptions to assign fair value to the tangible and intangible assets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and liabilities assumed at the acquisition date. The purchase price allocation process requires management to make significant judgment with respect to intangible assets. Fair value and useful life determinations are based on, among other factors, estimates of future expected cash flows attributable to the acquired intangible asset and appropriate discount rates used in computing present values. Goodwill represents the excess of the purchase price over the estimated fair values of the assets acquired and liabilities assumed.</w:t>
      </w:r>
    </w:p>
    <w:p>
      <w:pPr>
        <w:spacing w:after="0" w:line="14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3" w:name="page74"/>
    <w:bookmarkEnd w:id="73"/>
    <w:p>
      <w:pPr>
        <w:jc w:val="both"/>
        <w:ind w:right="280" w:firstLine="509"/>
        <w:spacing w:after="0" w:line="250" w:lineRule="auto"/>
        <w:rPr>
          <w:sz w:val="20"/>
          <w:szCs w:val="20"/>
          <w:color w:val="auto"/>
        </w:rPr>
      </w:pPr>
      <w:r>
        <w:rPr>
          <w:rFonts w:ascii="Arial" w:cs="Arial" w:eastAsia="Arial" w:hAnsi="Arial"/>
          <w:sz w:val="18"/>
          <w:szCs w:val="18"/>
          <w:b w:val="1"/>
          <w:bCs w:val="1"/>
          <w:color w:val="auto"/>
        </w:rPr>
        <w:t xml:space="preserve">Advertising Expense </w:t>
      </w:r>
      <w:r>
        <w:rPr>
          <w:rFonts w:ascii="Arial" w:cs="Arial" w:eastAsia="Arial" w:hAnsi="Arial"/>
          <w:sz w:val="18"/>
          <w:szCs w:val="18"/>
          <w:color w:val="auto"/>
        </w:rPr>
        <w:t>—The Company expenses advertising as incurred, which is included in sales and marketing expense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operations. The Company incurred $37.3 million of advertising expense in 2021, $21.9 million in 2020, and $14.9 million in 2019.</w:t>
      </w:r>
    </w:p>
    <w:p>
      <w:pPr>
        <w:spacing w:after="0" w:line="150" w:lineRule="exact"/>
        <w:rPr>
          <w:sz w:val="20"/>
          <w:szCs w:val="20"/>
          <w:color w:val="auto"/>
        </w:rPr>
      </w:pPr>
    </w:p>
    <w:p>
      <w:pPr>
        <w:jc w:val="both"/>
        <w:ind w:right="240" w:firstLine="509"/>
        <w:spacing w:after="0" w:line="264"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 The Company determines if an arrangement contains a lease at inception and does not separate lease and non-lease components of an</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determined to contain a lease. Operating leases are included in right-of-use ("ROU") assets, current operating lease liabilities and operating lease liabilities, net of current portion, on the Company’s consolidated balance sheet. Operating leases with a duration of 12 months or less are excluded from ROU assets and operating lease liabilities and related expense is recorded as incurred.</w:t>
      </w:r>
    </w:p>
    <w:p>
      <w:pPr>
        <w:spacing w:after="0" w:line="12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includes any initial direct costs incurred and is reduced for tenant incentives. As the Company’s operating leases do not provide an implicit rate, the net present value of future minimum lease payments is determined using the Company’s incremental borrowing rate.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21" w:lineRule="exact"/>
        <w:rPr>
          <w:sz w:val="20"/>
          <w:szCs w:val="20"/>
          <w:color w:val="auto"/>
        </w:rPr>
      </w:pPr>
    </w:p>
    <w:p>
      <w:pPr>
        <w:ind w:right="940" w:firstLine="509"/>
        <w:spacing w:after="0" w:line="248" w:lineRule="auto"/>
        <w:rPr>
          <w:sz w:val="20"/>
          <w:szCs w:val="20"/>
          <w:color w:val="auto"/>
        </w:rPr>
      </w:pPr>
      <w:r>
        <w:rPr>
          <w:rFonts w:ascii="Arial" w:cs="Arial" w:eastAsia="Arial" w:hAnsi="Arial"/>
          <w:sz w:val="18"/>
          <w:szCs w:val="18"/>
          <w:color w:val="auto"/>
        </w:rPr>
        <w:t>Lease expense for minimum lease payments for operating leases is recognized on a straight-line basis over the lease term. Improvement reimbursements from landlords are amortized through ROU assets on a straight-line basis as a reduction to rent expense over the terms of the corresponding leases.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obligations (“ARO”)</w:t>
      </w:r>
    </w:p>
    <w:p>
      <w:pPr>
        <w:spacing w:after="0" w:line="171"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w:t>
      </w:r>
    </w:p>
    <w:p>
      <w:pPr>
        <w:spacing w:after="0" w:line="119"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arrangements with multiple performance obligations, which typically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to its online software products and professional services which include on-boarding, training and consulting services. The Company’s customers do not have the right to take possession of the online software products. The Company recognizes revenue from contracts with customers using a five-step model, which is described below:</w:t>
      </w:r>
    </w:p>
    <w:p>
      <w:pPr>
        <w:spacing w:after="0" w:line="158"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the customer contract</w:t>
      </w:r>
    </w:p>
    <w:p>
      <w:pPr>
        <w:spacing w:after="0" w:line="185"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performance obligations that are distinct</w:t>
      </w:r>
    </w:p>
    <w:p>
      <w:pPr>
        <w:spacing w:after="0" w:line="17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training and consulting to make better use of the online software products it purchased.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i w:val="1"/>
          <w:iCs w:val="1"/>
          <w:color w:val="auto"/>
        </w:rPr>
        <w:t>Determine the transaction price</w:t>
      </w:r>
    </w:p>
    <w:p>
      <w:pPr>
        <w:spacing w:after="0" w:line="18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Allocate the transaction price to the distinct performance obligations</w:t>
      </w:r>
    </w:p>
    <w:p>
      <w:pPr>
        <w:spacing w:after="0" w:line="171"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Recognize revenue as the performance obligations are satisfied</w:t>
      </w:r>
    </w:p>
    <w:p>
      <w:pPr>
        <w:spacing w:after="0" w:line="17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Revenues are recognized when or as control of the promised goods or services is transferred to customers. Revenue from online software products is recognized ratably over the subscription period beginning on the date the Company’s online software products are made available to customers. Most subscription contracts are one year or less. The Company recognizes revenue from on-boarding, training, and consulting services as the services are provided. Cash payments received in advance of providing subscription or services are recorded to deferred revenue until the performance obligation is satisfied.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Solutions Partner Commissions</w:t>
      </w:r>
    </w:p>
    <w:p>
      <w:pPr>
        <w:spacing w:after="0" w:line="18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directly from the Company, the commission paid to the Solutions Partner is netted against the associated revenue recognized.</w:t>
      </w:r>
    </w:p>
    <w:p>
      <w:pPr>
        <w:spacing w:after="0" w:line="131" w:lineRule="exact"/>
        <w:rPr>
          <w:sz w:val="20"/>
          <w:szCs w:val="20"/>
          <w:color w:val="auto"/>
        </w:rPr>
      </w:pPr>
    </w:p>
    <w:p>
      <w:pPr>
        <w:ind w:right="360" w:firstLine="509"/>
        <w:spacing w:after="0" w:line="250"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—Financial instruments that potentially expose the Company to concentrations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risk consist primarily of cash, investments and accounts receivable.</w:t>
      </w:r>
    </w:p>
    <w:p>
      <w:pPr>
        <w:spacing w:after="0" w:line="126" w:lineRule="exact"/>
        <w:rPr>
          <w:sz w:val="20"/>
          <w:szCs w:val="20"/>
          <w:color w:val="auto"/>
        </w:rPr>
      </w:pPr>
    </w:p>
    <w:p>
      <w:pPr>
        <w:ind w:right="180" w:firstLine="509"/>
        <w:spacing w:after="0" w:line="235" w:lineRule="auto"/>
        <w:rPr>
          <w:sz w:val="20"/>
          <w:szCs w:val="20"/>
          <w:color w:val="auto"/>
        </w:rPr>
      </w:pPr>
      <w:r>
        <w:rPr>
          <w:rFonts w:ascii="Arial" w:cs="Arial" w:eastAsia="Arial" w:hAnsi="Arial"/>
          <w:sz w:val="18"/>
          <w:szCs w:val="18"/>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2021, its risk relating to deposits exceeding federally insured limits was not significant.</w:t>
      </w:r>
    </w:p>
    <w:p>
      <w:pPr>
        <w:spacing w:after="0" w:line="148" w:lineRule="exact"/>
        <w:rPr>
          <w:sz w:val="20"/>
          <w:szCs w:val="20"/>
          <w:color w:val="auto"/>
        </w:rPr>
      </w:pPr>
    </w:p>
    <w:p>
      <w:pPr>
        <w:ind w:right="280" w:firstLine="509"/>
        <w:spacing w:after="0" w:line="235" w:lineRule="auto"/>
        <w:rPr>
          <w:sz w:val="20"/>
          <w:szCs w:val="20"/>
          <w:color w:val="auto"/>
        </w:rPr>
      </w:pPr>
      <w:r>
        <w:rPr>
          <w:rFonts w:ascii="Arial" w:cs="Arial" w:eastAsia="Arial" w:hAnsi="Arial"/>
          <w:sz w:val="18"/>
          <w:szCs w:val="18"/>
          <w:color w:val="auto"/>
        </w:rPr>
        <w:t>The Company’s investments consist of highly rated corporate debt securities and U.S. Treasury securities. The Company limits the amount of investments in any single issuer, except U.S. Treasuries. The Company believes that, as of December 31, 2021, its concentration of credit risk related to investments was not significant.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hedging arrangements.</w:t>
      </w:r>
    </w:p>
    <w:p>
      <w:pPr>
        <w:spacing w:after="0" w:line="169"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21"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At December 31, 2021 and 2020, there were no customers that represented more than 10% of the net accounts receivable balance. There were no customers that individually exceeded 10% of the Company’s revenue in any of the periods presented.</w:t>
      </w:r>
    </w:p>
    <w:p>
      <w:pPr>
        <w:spacing w:after="0" w:line="166" w:lineRule="exact"/>
        <w:rPr>
          <w:sz w:val="20"/>
          <w:szCs w:val="20"/>
          <w:color w:val="auto"/>
        </w:rPr>
      </w:pPr>
    </w:p>
    <w:p>
      <w:pPr>
        <w:ind w:right="20" w:firstLine="509"/>
        <w:spacing w:after="0" w:line="247"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functional currency of the Company’s foreign subsidiaries is the local currency. Assets and liabilities denominated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currency are translated into U.S. dollars at the exchange rates in effect at the balance sheet dates, with the resulting translation adjustments directly recorded to a separate component of accumulated other comprehensive loss. Income and expense accounts are translated at the weighted-average exchange rates during the period. Foreign currency transaction gains and losses are recorded in other expense.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75" w:name="page76"/>
    <w:bookmarkEnd w:id="75"/>
    <w:p>
      <w:pPr>
        <w:ind w:right="60" w:firstLine="509"/>
        <w:spacing w:after="0" w:line="247"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—Research and development expenses include payroll, employee benefits and other expenses associated with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Also included is a benefit related to an Irish research and development tax credit, under which the Company is able to obtain a refundable credit of up to 25% of eligible research and development expenses incurred. The credit is recorded as a reduction of research and development expenses in the period in which the eligible expenses are recorded in the consolidated financial statements.</w:t>
      </w:r>
    </w:p>
    <w:p>
      <w:pPr>
        <w:spacing w:after="0" w:line="167" w:lineRule="exact"/>
        <w:rPr>
          <w:sz w:val="20"/>
          <w:szCs w:val="20"/>
          <w:color w:val="auto"/>
        </w:rPr>
      </w:pPr>
    </w:p>
    <w:p>
      <w:pPr>
        <w:ind w:firstLine="509"/>
        <w:spacing w:after="0" w:line="257"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—Certain payroll and stock compensation costs incurred to develop functionality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internally built software platforms, as well as certain upgrades and enhancements that are expected to result in enhanced functionality are capitalized. Certain implementation costs, including external direct costs, incurred during the development stage of cloud computing arrangements are also capitalized. The costs incurred in the preliminary stages of development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w:t>
      </w:r>
    </w:p>
    <w:p>
      <w:pPr>
        <w:spacing w:after="0" w:line="164" w:lineRule="exact"/>
        <w:rPr>
          <w:sz w:val="20"/>
          <w:szCs w:val="20"/>
          <w:color w:val="auto"/>
        </w:rPr>
      </w:pPr>
    </w:p>
    <w:p>
      <w:pPr>
        <w:ind w:right="60" w:firstLine="509"/>
        <w:spacing w:after="0" w:line="266" w:lineRule="auto"/>
        <w:rPr>
          <w:sz w:val="20"/>
          <w:szCs w:val="20"/>
          <w:color w:val="auto"/>
        </w:rPr>
      </w:pPr>
      <w:r>
        <w:rPr>
          <w:rFonts w:ascii="Arial" w:cs="Arial" w:eastAsia="Arial" w:hAnsi="Arial"/>
          <w:sz w:val="16"/>
          <w:szCs w:val="16"/>
          <w:color w:val="auto"/>
        </w:rPr>
        <w:t>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Costs associated with building or significantly enhancing the CRM Platform and internally built software platforms are capitalized, while costs associated with planning new developments and maintaining the CRM Platform software and internally built software platforms are expensed as incurred.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costs recorded within property and equipment, consisted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27"/>
              <w:spacing w:after="0"/>
              <w:rPr>
                <w:sz w:val="20"/>
                <w:szCs w:val="20"/>
                <w:color w:val="auto"/>
              </w:rPr>
            </w:pPr>
            <w:r>
              <w:rPr>
                <w:rFonts w:ascii="Arial" w:cs="Arial" w:eastAsia="Arial" w:hAnsi="Arial"/>
                <w:sz w:val="13"/>
                <w:szCs w:val="13"/>
                <w:b w:val="1"/>
                <w:bCs w:val="1"/>
                <w:color w:val="auto"/>
                <w:w w:val="74"/>
              </w:rPr>
              <w:t>thousands)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capitalized software development costs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122,592</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85,630</w:t>
            </w:r>
          </w:p>
        </w:tc>
        <w:tc>
          <w:tcPr>
            <w:tcW w:w="100" w:type="dxa"/>
            <w:vAlign w:val="bottom"/>
            <w:shd w:val="clear" w:color="auto" w:fill="CFF0FC"/>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Accumulated amortization</w:t>
            </w:r>
          </w:p>
        </w:tc>
        <w:tc>
          <w:tcPr>
            <w:tcW w:w="300" w:type="dxa"/>
            <w:vAlign w:val="bottom"/>
          </w:tcPr>
          <w:p>
            <w:pPr>
              <w:spacing w:after="0"/>
              <w:rPr>
                <w:sz w:val="17"/>
                <w:szCs w:val="17"/>
                <w:color w:val="auto"/>
              </w:rPr>
            </w:pPr>
          </w:p>
        </w:tc>
        <w:tc>
          <w:tcPr>
            <w:tcW w:w="212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rPr>
              <w:t>(82,734 )</w:t>
            </w:r>
          </w:p>
        </w:tc>
        <w:tc>
          <w:tcPr>
            <w:tcW w:w="380" w:type="dxa"/>
            <w:vAlign w:val="bottom"/>
          </w:tcPr>
          <w:p>
            <w:pPr>
              <w:spacing w:after="0"/>
              <w:rPr>
                <w:sz w:val="17"/>
                <w:szCs w:val="17"/>
                <w:color w:val="auto"/>
              </w:rPr>
            </w:pPr>
          </w:p>
        </w:tc>
        <w:tc>
          <w:tcPr>
            <w:tcW w:w="1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(60,687 )</w:t>
            </w:r>
          </w:p>
        </w:tc>
      </w:tr>
      <w:tr>
        <w:trPr>
          <w:trHeight w:val="236"/>
        </w:trPr>
        <w:tc>
          <w:tcPr>
            <w:tcW w:w="43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Capitalized software development costs, net</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39,858</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24,943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Amortization of capitalized software development costs, exclusive of costs recorded within property and equipment, was $23.0 million in 2021, $16.0 million in 2020, and $11.6 million in 2019. Amortization expense is included in cost of revenue in the consolidated statements of operations.</w:t>
      </w:r>
    </w:p>
    <w:p>
      <w:pPr>
        <w:spacing w:after="0" w:line="120"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tax assets and liabilities are recognized for the differences between the financial statement carrying amounts and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4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Accounting for uncertainty in income taxes recognized in the financial statements is in accordance with authoritative accounting guidance, which prescribes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spacing w:after="0" w:line="170" w:lineRule="exact"/>
        <w:rPr>
          <w:sz w:val="20"/>
          <w:szCs w:val="20"/>
          <w:color w:val="auto"/>
        </w:rPr>
      </w:pPr>
    </w:p>
    <w:p>
      <w:pPr>
        <w:ind w:right="20" w:firstLine="509"/>
        <w:spacing w:after="0" w:line="253"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all stock options and awards granted to employees and nonemployees using a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The measurement date for awards is generally the date of the grant. The fair value of the Company’s common stock is the closing price of the stock on the date of the grant. For stock options, the Black-Scholes option pricing model is used to measure the fair value of the grant. The expected term of options granted to employees was calculated using the simplified method, which represents the average of the contractual term of the option and the weighted-average vesting period of the option. The Company considers this appropriate as there is no other method that would be more indicative of exercise activity. The expected volatility for the Company’s common stock was based on an average of the historical volatility of a peer group of similar public companies. To determine the Company’s peer companies, the following criteria was used: software or software-as-a-service companies; similar histories and relatively comparable financial leverage; sufficient public company trading history; similar talent pool; and in similar businesses and geographical markets. The risk-free interest rate is based on the rate on U.S. Treasury securities with maturities consistent with the estimated expected term of the awards. The assumed dividend yield is based upon the Company’s expectation of not paying dividends in the foreseeable future.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76" w:name="page77"/>
    <w:bookmarkEnd w:id="76"/>
    <w:p>
      <w:pPr>
        <w:ind w:right="140" w:firstLine="509"/>
        <w:spacing w:after="0" w:line="246" w:lineRule="auto"/>
        <w:rPr>
          <w:sz w:val="20"/>
          <w:szCs w:val="20"/>
          <w:color w:val="auto"/>
        </w:rPr>
      </w:pPr>
      <w:r>
        <w:rPr>
          <w:rFonts w:ascii="Arial" w:cs="Arial" w:eastAsia="Arial" w:hAnsi="Arial"/>
          <w:sz w:val="18"/>
          <w:szCs w:val="18"/>
          <w:color w:val="auto"/>
        </w:rPr>
        <w:t>Stock-based compensation costs are recognized as expense over the requisite service period, which is generally the vesting period for awards, on a straight-line basis.</w:t>
      </w:r>
    </w:p>
    <w:p>
      <w:pPr>
        <w:spacing w:after="0" w:line="166" w:lineRule="exact"/>
        <w:rPr>
          <w:sz w:val="20"/>
          <w:szCs w:val="20"/>
          <w:color w:val="auto"/>
        </w:rPr>
      </w:pPr>
    </w:p>
    <w:p>
      <w:pPr>
        <w:ind w:right="600" w:firstLine="509"/>
        <w:spacing w:after="0" w:line="250"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Recent accounting standards not included below are not expected to have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position and results of operations.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to be Adopted in 2022 and Future Periods: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Company will early adopt the standard on January 1, 2022 using the modified retrospective method, which would result in a cumulative effect adjustment as of the date of adoption. The Company expects a material change on its consolidated balance sheet related to the recognition of convertible senior notes that was previously classified as equity. The Company also expects interest expense to decrease as non-cash interest expense due to the discount created by the separation of the equity component of its convertible instruments will be eliminated. The Company will also need to assume share settlement of the entire convertible debt instrument under the if-converted method therefore increasing the potentially dilutive common stock equivalents for the diluted earnings per share calculation. This will only have an impact on the Company if it is profitable.</w:t>
      </w:r>
    </w:p>
    <w:p>
      <w:pPr>
        <w:spacing w:after="0" w:line="7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October 2021, the FASB issued guidance that requires companies to recognize and measure contract assets and contract liabilities acquired in a business combination, in accordance with the revenue recognition guidance, as if the acquirer had entered into the original contract at the same time and on the same terms as the acquiree. Generally, this will result in the acquirer recognizing contract assets and liabilities at the same amounts recorded by the acquiree as of the acquisition date. Under the current standard, an acquirer generally recognizes such items at fair value on the acquisition date. The Company will early adopt the standard on January 1, 2022 and will continue to evaluate the impact of this guidance, which will depend on the contract assets and liabilities acquired in future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Company provides disaggregation of revenue based on geographic region (Note 10)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171"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year ended December 31, 2021 increased by $118.4 million resulting from $1.4 billion of calculated billings and was offset by revenue recognized of $1.3 billion during the same period. $312.2 million of revenue was recognized during the year ended December 31, 2021 that was included in deferred revenue at the beginning of the period. As of December 31, 2021, approximately $376.6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12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Additional contract liabilities $2.5 million and $1.7 million were included in accrued expenses and other current liabilities as of December 31, 2021 and December 31, 2020.</w:t>
      </w:r>
    </w:p>
    <w:p>
      <w:pPr>
        <w:spacing w:after="0" w:line="14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77" w:name="page78"/>
    <w:bookmarkEnd w:id="77"/>
    <w:p>
      <w:pPr>
        <w:ind w:right="340" w:firstLine="509"/>
        <w:spacing w:after="0" w:line="261" w:lineRule="auto"/>
        <w:rPr>
          <w:sz w:val="20"/>
          <w:szCs w:val="20"/>
          <w:color w:val="auto"/>
        </w:rPr>
      </w:pPr>
      <w:r>
        <w:rPr>
          <w:rFonts w:ascii="Arial" w:cs="Arial" w:eastAsia="Arial" w:hAnsi="Arial"/>
          <w:sz w:val="18"/>
          <w:szCs w:val="18"/>
          <w:color w:val="auto"/>
        </w:rPr>
        <w:t>Deferred commission expense during the year ended December 31, 2021 increased by $29.7 million as a result of deferring incremental costs of obtaining a contract of $96.5 million and was offset by amortization of $66.8 million during the same period.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leases office facilities under non-cancelable operating leases that expire at various dates through February 2035.</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expense costs were $47.5 in 2021, $44.6 million in 2020, and $32.2 million in 2019.</w:t>
      </w:r>
    </w:p>
    <w:p>
      <w:pPr>
        <w:spacing w:after="0" w:line="17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is as 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left="339"/>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800" w:type="dxa"/>
            <w:vAlign w:val="bottom"/>
          </w:tcPr>
          <w:p>
            <w:pPr>
              <w:spacing w:after="0"/>
              <w:rPr>
                <w:sz w:val="14"/>
                <w:szCs w:val="14"/>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2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222"/>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2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sublease income</w:t>
            </w:r>
          </w:p>
        </w:tc>
        <w:tc>
          <w:tcPr>
            <w:tcW w:w="1180" w:type="dxa"/>
            <w:vAlign w:val="bottom"/>
            <w:shd w:val="clear" w:color="auto" w:fill="CFF0FC"/>
          </w:tcPr>
          <w:p>
            <w:pPr>
              <w:jc w:val="right"/>
              <w:ind w:right="999"/>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4,954</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2,498</w:t>
            </w:r>
          </w:p>
        </w:tc>
        <w:tc>
          <w:tcPr>
            <w:tcW w:w="60" w:type="dxa"/>
            <w:vAlign w:val="bottom"/>
            <w:shd w:val="clear" w:color="auto" w:fill="CFF0FC"/>
          </w:tcPr>
          <w:p>
            <w:pPr>
              <w:spacing w:after="0"/>
              <w:rPr>
                <w:sz w:val="17"/>
                <w:szCs w:val="17"/>
                <w:color w:val="auto"/>
              </w:rPr>
            </w:pPr>
          </w:p>
        </w:tc>
      </w:tr>
    </w:tbl>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between non-cancelable lease commitments and lease liabilities as of December 31, 2021</w:t>
      </w:r>
      <w:r>
        <w:rPr>
          <w:rFonts w:ascii="Arial" w:cs="Arial" w:eastAsia="Arial" w:hAnsi="Arial"/>
          <w:sz w:val="17"/>
          <w:szCs w:val="17"/>
          <w:b w:val="1"/>
          <w:bCs w:val="1"/>
          <w:color w:val="auto"/>
        </w:rPr>
        <w:t>:</w:t>
      </w:r>
    </w:p>
    <w:p>
      <w:pPr>
        <w:spacing w:after="0" w:line="57" w:lineRule="exact"/>
        <w:rPr>
          <w:sz w:val="20"/>
          <w:szCs w:val="20"/>
          <w:color w:val="auto"/>
        </w:rPr>
      </w:pPr>
    </w:p>
    <w:tbl>
      <w:tblPr>
        <w:tblLayout w:type="fixed"/>
        <w:tblInd w:w="174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commitments (Note 11)</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385,997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0"/>
              <w:spacing w:after="0" w:line="162" w:lineRule="exact"/>
              <w:rPr>
                <w:sz w:val="20"/>
                <w:szCs w:val="20"/>
                <w:color w:val="auto"/>
              </w:rPr>
            </w:pPr>
            <w:r>
              <w:rPr>
                <w:rFonts w:ascii="Arial" w:cs="Arial" w:eastAsia="Arial" w:hAnsi="Arial"/>
                <w:sz w:val="18"/>
                <w:szCs w:val="18"/>
                <w:color w:val="auto"/>
              </w:rPr>
              <w:t>Less: Legally binding minimum lease payments for</w:t>
            </w:r>
          </w:p>
        </w:tc>
        <w:tc>
          <w:tcPr>
            <w:tcW w:w="500" w:type="dxa"/>
            <w:vAlign w:val="bottom"/>
          </w:tcPr>
          <w:p>
            <w:pPr>
              <w:spacing w:after="0"/>
              <w:rPr>
                <w:sz w:val="14"/>
                <w:szCs w:val="14"/>
                <w:color w:val="auto"/>
              </w:rPr>
            </w:pP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leases signed but not yet commenced</w:t>
            </w:r>
          </w:p>
        </w:tc>
        <w:tc>
          <w:tcPr>
            <w:tcW w:w="50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Borders>
              <w:bottom w:val="single" w:sz="8" w:color="auto"/>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200"/>
              <w:spacing w:after="0" w:line="182" w:lineRule="exact"/>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310,237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-159385</wp:posOffset>
            </wp:positionV>
            <wp:extent cx="431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During the year ended December 31, 2021, the Company terminated a lease for certain office facilities in Cambridge, Massachusetts and recorded a gain of $4.3 million. In connection with the lease termination, the Company recorded a loss of $6.5 million for the disposal of fixed assets. The net loss of $2.2 million is reported in the consolidated statements of operations as operating expense.</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90" w:lineRule="exact"/>
        <w:rPr>
          <w:sz w:val="20"/>
          <w:szCs w:val="20"/>
          <w:color w:val="auto"/>
        </w:rPr>
      </w:pPr>
    </w:p>
    <w:p>
      <w:pPr>
        <w:ind w:firstLine="509"/>
        <w:spacing w:after="0" w:line="219" w:lineRule="auto"/>
        <w:rPr>
          <w:sz w:val="20"/>
          <w:szCs w:val="20"/>
          <w:color w:val="auto"/>
        </w:rPr>
      </w:pPr>
      <w:r>
        <w:rPr>
          <w:rFonts w:ascii="Arial" w:cs="Arial" w:eastAsia="Arial" w:hAnsi="Arial"/>
          <w:sz w:val="18"/>
          <w:szCs w:val="18"/>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weighted average remaining lease terms and weighted average discount rate for operating and finance leases as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Weighted-average remaining lease term:</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 years</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Weighted-average discount rate:</w:t>
            </w:r>
          </w:p>
        </w:tc>
        <w:tc>
          <w:tcPr>
            <w:tcW w:w="27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payments related to operating lease liabilities were $49.5 million in 2021, $48.8 million in 2020, and $28.8 million in 2019.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right="340" w:firstLine="509"/>
        <w:spacing w:after="0" w:line="294" w:lineRule="auto"/>
        <w:rPr>
          <w:sz w:val="20"/>
          <w:szCs w:val="20"/>
          <w:color w:val="auto"/>
        </w:rPr>
      </w:pPr>
      <w:r>
        <w:rPr>
          <w:rFonts w:ascii="Arial" w:cs="Arial" w:eastAsia="Arial" w:hAnsi="Arial"/>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left="520" w:right="780"/>
        <w:spacing w:after="0" w:line="261"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model-derived valuations in which all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8" w:name="page79"/>
    <w:bookmarkEnd w:id="78"/>
    <w:p>
      <w:pPr>
        <w:ind w:left="520" w:right="120"/>
        <w:spacing w:after="0" w:line="261" w:lineRule="auto"/>
        <w:rPr>
          <w:sz w:val="20"/>
          <w:szCs w:val="20"/>
          <w:color w:val="auto"/>
        </w:rPr>
      </w:pPr>
      <w:r>
        <w:rPr>
          <w:rFonts w:ascii="Arial" w:cs="Arial" w:eastAsia="Arial" w:hAnsi="Arial"/>
          <w:sz w:val="18"/>
          <w:szCs w:val="18"/>
          <w:color w:val="auto"/>
        </w:rPr>
        <w:t>significant inputs are observable or can be derived principally from or corroborated by observable market data for substantially the full term of the assets or liabilities.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8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December 31, 2021 and December 31, 2020 :</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equivalents and investments: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125,940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125,940</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28,337</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28,337</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249,846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249,846</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22,466</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22,466</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698,300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698,300</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3,029</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3,029</w:t>
            </w:r>
          </w:p>
        </w:tc>
        <w:tc>
          <w:tcPr>
            <w:tcW w:w="80" w:type="dxa"/>
            <w:vAlign w:val="bottom"/>
          </w:tcPr>
          <w:p>
            <w:pPr>
              <w:spacing w:after="0"/>
              <w:rPr>
                <w:sz w:val="17"/>
                <w:szCs w:val="17"/>
                <w:color w:val="auto"/>
              </w:rPr>
            </w:pPr>
          </w:p>
        </w:tc>
      </w:tr>
      <w:tr>
        <w:trPr>
          <w:trHeight w:val="236"/>
        </w:trPr>
        <w:tc>
          <w:tcPr>
            <w:tcW w:w="5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125,940</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1,001,978</w:t>
            </w: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99"/>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1,127,918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59"/>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equivalents and investments: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172,485</w:t>
            </w:r>
          </w:p>
        </w:tc>
        <w:tc>
          <w:tcPr>
            <w:tcW w:w="180" w:type="dxa"/>
            <w:vAlign w:val="bottom"/>
          </w:tcPr>
          <w:p>
            <w:pPr>
              <w:spacing w:after="0"/>
              <w:rPr>
                <w:sz w:val="17"/>
                <w:szCs w:val="17"/>
                <w:color w:val="auto"/>
              </w:rPr>
            </w:pPr>
          </w:p>
        </w:tc>
        <w:tc>
          <w:tcPr>
            <w:tcW w:w="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172,485</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12,233</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116,371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116,371</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774,772</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774,772</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3,029</w:t>
            </w:r>
          </w:p>
        </w:tc>
        <w:tc>
          <w:tcPr>
            <w:tcW w:w="80" w:type="dxa"/>
            <w:vAlign w:val="bottom"/>
          </w:tcPr>
          <w:p>
            <w:pPr>
              <w:spacing w:after="0"/>
              <w:rPr>
                <w:sz w:val="17"/>
                <w:szCs w:val="17"/>
                <w:color w:val="auto"/>
              </w:rPr>
            </w:pPr>
          </w:p>
        </w:tc>
      </w:tr>
      <w:tr>
        <w:trPr>
          <w:trHeight w:val="236"/>
        </w:trPr>
        <w:tc>
          <w:tcPr>
            <w:tcW w:w="5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172,485</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906,799</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599"/>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1,079,284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-1696720</wp:posOffset>
            </wp:positionV>
            <wp:extent cx="596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-1679575</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-1696720</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-1679575</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-1696720</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-1679575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-1696720</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-1679575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and restricted cash (within other long-term assets) on the consolidated balance sheets. At December 31, 2021 and 2020,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32"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As of December 31, 2021, the fair value of the 2022 Notes was $135.0 million and the fair value of the 2025 Notes was $1.1 billion (Note 9). The fair value was determined based on the quoted price of the 2022 and 2025 Notes in an inactive market on the last trading day of the reporting period and has been classified as Level 2 within the fair value hierarchy.</w:t>
      </w:r>
    </w:p>
    <w:p>
      <w:pPr>
        <w:spacing w:after="0" w:line="141"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30"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4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held $17.8 million of strategic investments without readily determinable fair values at December 31, 2021 and $6.7 million of strategic investments without readily determinable fair values at December 31, 2020. These investments are included in prepaid and other current assets and other assets on the consolidated balance sheets. During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79" w:name="page80"/>
    <w:bookmarkEnd w:id="79"/>
    <w:p>
      <w:pPr>
        <w:jc w:val="both"/>
        <w:ind w:right="180"/>
        <w:spacing w:after="0" w:line="294" w:lineRule="auto"/>
        <w:rPr>
          <w:sz w:val="20"/>
          <w:szCs w:val="20"/>
          <w:color w:val="auto"/>
        </w:rPr>
      </w:pPr>
      <w:r>
        <w:rPr>
          <w:rFonts w:ascii="Arial" w:cs="Arial" w:eastAsia="Arial" w:hAnsi="Arial"/>
          <w:sz w:val="16"/>
          <w:szCs w:val="16"/>
          <w:color w:val="auto"/>
        </w:rPr>
        <w:t>the year ended December 31, 2021, two strategic investments had observable price changes and the Company adjusted the fair value of these investments by recording a gain of $11.7 million in the consolidated statements of operations as other income. For the year ended December 31, 2020, the Company recorded an impairment of $250 thousand. There were no adjustments to the carrying value of the strategic investments in 2019.</w:t>
      </w:r>
    </w:p>
    <w:p>
      <w:pPr>
        <w:spacing w:after="0" w:line="12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Company also holds an equity method investment which represents an investment in a non-controlled company without a readily determinable market value. See Note 12 for more information on the equity method investment.</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December 31, 2021 and 2020:</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center"/>
              <w:ind w:right="281"/>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4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24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w w:val="98"/>
              </w:rPr>
              <w:t>Aggregate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4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80" w:type="dxa"/>
            <w:vAlign w:val="bottom"/>
            <w:gridSpan w:val="2"/>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7"/>
          </w:tcPr>
          <w:p>
            <w:pPr>
              <w:jc w:val="center"/>
              <w:ind w:right="281"/>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460"/>
              <w:spacing w:after="0" w:line="202" w:lineRule="exact"/>
              <w:rPr>
                <w:sz w:val="20"/>
                <w:szCs w:val="20"/>
                <w:color w:val="auto"/>
              </w:rPr>
            </w:pPr>
            <w:r>
              <w:rPr>
                <w:rFonts w:ascii="Arial" w:cs="Arial" w:eastAsia="Arial" w:hAnsi="Arial"/>
                <w:sz w:val="18"/>
                <w:szCs w:val="18"/>
                <w:color w:val="auto"/>
                <w:w w:val="90"/>
              </w:rPr>
              <w:t>25,245</w:t>
            </w:r>
          </w:p>
        </w:tc>
        <w:tc>
          <w:tcPr>
            <w:tcW w:w="3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25,245</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89"/>
              </w:rPr>
              <w:t>250,443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21"/>
              <w:spacing w:after="0" w:line="202" w:lineRule="exact"/>
              <w:rPr>
                <w:sz w:val="20"/>
                <w:szCs w:val="20"/>
                <w:color w:val="auto"/>
              </w:rPr>
            </w:pPr>
            <w:r>
              <w:rPr>
                <w:rFonts w:ascii="Arial" w:cs="Arial" w:eastAsia="Arial" w:hAnsi="Arial"/>
                <w:sz w:val="18"/>
                <w:szCs w:val="18"/>
                <w:color w:val="auto"/>
              </w:rPr>
              <w:t>(606 )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249,846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460"/>
              <w:spacing w:after="0" w:line="202" w:lineRule="exact"/>
              <w:rPr>
                <w:sz w:val="20"/>
                <w:szCs w:val="20"/>
                <w:color w:val="auto"/>
              </w:rPr>
            </w:pPr>
            <w:r>
              <w:rPr>
                <w:rFonts w:ascii="Arial" w:cs="Arial" w:eastAsia="Arial" w:hAnsi="Arial"/>
                <w:sz w:val="18"/>
                <w:szCs w:val="18"/>
                <w:color w:val="auto"/>
                <w:w w:val="90"/>
              </w:rPr>
              <w:t>22,504</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(38 )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22,466</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89"/>
              </w:rPr>
              <w:t>698,446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21"/>
              <w:spacing w:after="0" w:line="202" w:lineRule="exact"/>
              <w:rPr>
                <w:sz w:val="20"/>
                <w:szCs w:val="20"/>
                <w:color w:val="auto"/>
              </w:rPr>
            </w:pPr>
            <w:r>
              <w:rPr>
                <w:rFonts w:ascii="Arial" w:cs="Arial" w:eastAsia="Arial" w:hAnsi="Arial"/>
                <w:sz w:val="18"/>
                <w:szCs w:val="18"/>
                <w:color w:val="auto"/>
              </w:rPr>
              <w:t>(148 )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698,300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49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ind w:left="380"/>
              <w:spacing w:after="0" w:line="182" w:lineRule="exact"/>
              <w:rPr>
                <w:sz w:val="20"/>
                <w:szCs w:val="20"/>
                <w:color w:val="auto"/>
              </w:rPr>
            </w:pPr>
            <w:r>
              <w:rPr>
                <w:rFonts w:ascii="Arial" w:cs="Arial" w:eastAsia="Arial" w:hAnsi="Arial"/>
                <w:sz w:val="18"/>
                <w:szCs w:val="18"/>
                <w:color w:val="auto"/>
                <w:w w:val="89"/>
              </w:rPr>
              <w:t>996,638</w:t>
            </w: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(792</w:t>
            </w:r>
          </w:p>
        </w:tc>
        <w:tc>
          <w:tcPr>
            <w:tcW w:w="160" w:type="dxa"/>
            <w:vAlign w:val="bottom"/>
            <w:tcBorders>
              <w:bottom w:val="single" w:sz="8" w:color="CFF0FC"/>
            </w:tcBorders>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995,857</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345"/>
        </w:trPr>
        <w:tc>
          <w:tcPr>
            <w:tcW w:w="4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right="321"/>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4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28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8"/>
              </w:rPr>
              <w:t>Aggregate</w:t>
            </w:r>
          </w:p>
        </w:tc>
        <w:tc>
          <w:tcPr>
            <w:tcW w:w="60" w:type="dxa"/>
            <w:vAlign w:val="bottom"/>
          </w:tcPr>
          <w:p>
            <w:pPr>
              <w:spacing w:after="0"/>
              <w:rPr>
                <w:sz w:val="11"/>
                <w:szCs w:val="11"/>
                <w:color w:val="auto"/>
              </w:rPr>
            </w:pPr>
          </w:p>
        </w:tc>
      </w:tr>
      <w:tr>
        <w:trPr>
          <w:trHeight w:val="185"/>
        </w:trPr>
        <w:tc>
          <w:tcPr>
            <w:tcW w:w="49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55"/>
        </w:trPr>
        <w:tc>
          <w:tcPr>
            <w:tcW w:w="4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7"/>
          </w:tcPr>
          <w:p>
            <w:pPr>
              <w:jc w:val="center"/>
              <w:ind w:right="321"/>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12,233</w:t>
            </w:r>
          </w:p>
        </w:tc>
        <w:tc>
          <w:tcPr>
            <w:tcW w:w="20" w:type="dxa"/>
            <w:vAlign w:val="bottom"/>
          </w:tcPr>
          <w:p>
            <w:pPr>
              <w:spacing w:after="0"/>
              <w:rPr>
                <w:sz w:val="18"/>
                <w:szCs w:val="18"/>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12,233</w:t>
            </w:r>
          </w:p>
        </w:tc>
        <w:tc>
          <w:tcPr>
            <w:tcW w:w="60" w:type="dxa"/>
            <w:vAlign w:val="bottom"/>
          </w:tcPr>
          <w:p>
            <w:pPr>
              <w:spacing w:after="0"/>
              <w:rPr>
                <w:sz w:val="18"/>
                <w:szCs w:val="18"/>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bonds</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w w:val="86"/>
              </w:rPr>
              <w:t>115,983</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(39 )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116,371</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360"/>
              <w:spacing w:after="0" w:line="202" w:lineRule="exact"/>
              <w:rPr>
                <w:sz w:val="20"/>
                <w:szCs w:val="20"/>
                <w:color w:val="auto"/>
              </w:rPr>
            </w:pPr>
            <w:r>
              <w:rPr>
                <w:rFonts w:ascii="Arial" w:cs="Arial" w:eastAsia="Arial" w:hAnsi="Arial"/>
                <w:sz w:val="18"/>
                <w:szCs w:val="18"/>
                <w:color w:val="auto"/>
                <w:w w:val="89"/>
              </w:rPr>
              <w:t>774,667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774,772</w:t>
            </w:r>
          </w:p>
        </w:tc>
        <w:tc>
          <w:tcPr>
            <w:tcW w:w="6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Certificates of deposit</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394</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ind w:left="360"/>
              <w:spacing w:after="0" w:line="182" w:lineRule="exact"/>
              <w:rPr>
                <w:sz w:val="20"/>
                <w:szCs w:val="20"/>
                <w:color w:val="auto"/>
              </w:rPr>
            </w:pPr>
            <w:r>
              <w:rPr>
                <w:rFonts w:ascii="Arial" w:cs="Arial" w:eastAsia="Arial" w:hAnsi="Arial"/>
                <w:sz w:val="18"/>
                <w:szCs w:val="18"/>
                <w:color w:val="auto"/>
                <w:w w:val="89"/>
              </w:rPr>
              <w:t>903,277</w:t>
            </w:r>
          </w:p>
        </w:tc>
        <w:tc>
          <w:tcPr>
            <w:tcW w:w="20" w:type="dxa"/>
            <w:vAlign w:val="bottom"/>
          </w:tcPr>
          <w:p>
            <w:pPr>
              <w:spacing w:after="0"/>
              <w:rPr>
                <w:sz w:val="17"/>
                <w:szCs w:val="17"/>
                <w:color w:val="auto"/>
              </w:rPr>
            </w:pPr>
          </w:p>
        </w:tc>
        <w:tc>
          <w:tcPr>
            <w:tcW w:w="360" w:type="dxa"/>
            <w:vAlign w:val="bottom"/>
            <w:gridSpan w:val="3"/>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532</w:t>
            </w:r>
          </w:p>
        </w:tc>
        <w:tc>
          <w:tcPr>
            <w:tcW w:w="3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1"/>
              <w:spacing w:after="0" w:line="182" w:lineRule="exact"/>
              <w:rPr>
                <w:sz w:val="20"/>
                <w:szCs w:val="20"/>
                <w:color w:val="auto"/>
              </w:rPr>
            </w:pPr>
            <w:r>
              <w:rPr>
                <w:rFonts w:ascii="Arial" w:cs="Arial" w:eastAsia="Arial" w:hAnsi="Arial"/>
                <w:sz w:val="18"/>
                <w:szCs w:val="18"/>
                <w:color w:val="auto"/>
              </w:rPr>
              <w:t>(39 )</w:t>
            </w: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903,770</w:t>
            </w:r>
          </w:p>
        </w:tc>
        <w:tc>
          <w:tcPr>
            <w:tcW w:w="6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-1268095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-1250950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-1268095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-1250950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-1268095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-1250950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-1268095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-1250950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-159385</wp:posOffset>
            </wp:positionV>
            <wp:extent cx="4318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-159385</wp:posOffset>
            </wp:positionV>
            <wp:extent cx="3429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5969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For all of our securities for which the amortized cost basis was greater than the fair value at December 31, 2021 and 2020,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Aggregate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1"/>
              </w:rPr>
              <w:t>Cost Basis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Cost Basis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within one year</w:t>
            </w:r>
          </w:p>
        </w:tc>
        <w:tc>
          <w:tcPr>
            <w:tcW w:w="1440" w:type="dxa"/>
            <w:vAlign w:val="bottom"/>
            <w:gridSpan w:val="2"/>
            <w:shd w:val="clear" w:color="auto" w:fill="CFF0FC"/>
          </w:tcPr>
          <w:p>
            <w:pPr>
              <w:jc w:val="center"/>
              <w:ind w:left="10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821,101</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820,962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872,637</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873,073</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Due after 1 year and within 2 years</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175,537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174,895</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30,640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30,697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996,638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995,857</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903,277</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903,770</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710"/>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40" w:type="dxa"/>
            <w:vAlign w:val="bottom"/>
            <w:gridSpan w:val="2"/>
          </w:tcPr>
          <w:p>
            <w:pPr>
              <w:jc w:val="center"/>
              <w:ind w:left="1090"/>
              <w:spacing w:after="0"/>
              <w:rPr>
                <w:sz w:val="20"/>
                <w:szCs w:val="20"/>
                <w:color w:val="auto"/>
              </w:rPr>
            </w:pPr>
            <w:r>
              <w:rPr>
                <w:rFonts w:ascii="Arial" w:cs="Arial" w:eastAsia="Arial" w:hAnsi="Arial"/>
                <w:sz w:val="18"/>
                <w:szCs w:val="18"/>
                <w:color w:val="auto"/>
                <w:w w:val="89"/>
              </w:rPr>
              <w:t>78</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-565150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-548005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-565150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-548005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-565150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-548005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-565150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-548005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6. Property and Equipment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1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5"/>
                <w:szCs w:val="15"/>
                <w:color w:val="auto"/>
              </w:rPr>
            </w:pPr>
          </w:p>
        </w:tc>
      </w:tr>
      <w:tr>
        <w:trPr>
          <w:trHeight w:val="196"/>
        </w:trPr>
        <w:tc>
          <w:tcPr>
            <w:tcW w:w="4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 and purchased software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15,524</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15,128</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Employee related computer equipment</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32,230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20,802</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20,180</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20,204</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90,070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89,850</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Internal-use software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20,616</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12,528</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4,141</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10,014</w:t>
            </w:r>
          </w:p>
        </w:tc>
        <w:tc>
          <w:tcPr>
            <w:tcW w:w="100" w:type="dxa"/>
            <w:vAlign w:val="bottom"/>
          </w:tcPr>
          <w:p>
            <w:pPr>
              <w:spacing w:after="0"/>
              <w:rPr>
                <w:sz w:val="17"/>
                <w:szCs w:val="17"/>
                <w:color w:val="auto"/>
              </w:rPr>
            </w:pPr>
          </w:p>
        </w:tc>
      </w:tr>
      <w:tr>
        <w:trPr>
          <w:trHeight w:val="196"/>
        </w:trPr>
        <w:tc>
          <w:tcPr>
            <w:tcW w:w="49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property and equipment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182,761</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168,526</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(86,627 )</w:t>
            </w:r>
          </w:p>
        </w:tc>
        <w:tc>
          <w:tcPr>
            <w:tcW w:w="4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(67,403 )</w:t>
            </w:r>
          </w:p>
        </w:tc>
      </w:tr>
      <w:tr>
        <w:trPr>
          <w:trHeight w:val="236"/>
        </w:trPr>
        <w:tc>
          <w:tcPr>
            <w:tcW w:w="498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96,134</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101,123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$23.9 million in 2021, $20.6 million in 2020, and $15.0 million in 2019.</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4 regarding the disposal of certain property and equipment associated with a lease termination.</w:t>
      </w:r>
    </w:p>
    <w:p>
      <w:pPr>
        <w:spacing w:after="0" w:line="212"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Company capitalized asset retirement costs of $4.1 million at December 31, 2021 and $4.4 million at December 31, 2020 within leasehold improvements and the related liability is within accrued expenses and other current liabilities and other long-term liabilities on the consolidated balance sheet. These costs represent future lease restoration obligations as required by Company’s leases.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asset retirement obligation balance during the year ending December 31, 2021 and December 31, 2020 are as follows:</w:t>
      </w:r>
    </w:p>
    <w:p>
      <w:pPr>
        <w:spacing w:after="0" w:line="2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370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ind w:right="476"/>
              <w:spacing w:after="0"/>
              <w:rPr>
                <w:sz w:val="20"/>
                <w:szCs w:val="20"/>
                <w:color w:val="auto"/>
              </w:rPr>
            </w:pPr>
            <w:r>
              <w:rPr>
                <w:rFonts w:ascii="Arial" w:cs="Arial" w:eastAsia="Arial" w:hAnsi="Arial"/>
                <w:sz w:val="13"/>
                <w:szCs w:val="13"/>
                <w:b w:val="1"/>
                <w:bCs w:val="1"/>
                <w:color w:val="auto"/>
                <w:w w:val="74"/>
              </w:rPr>
              <w:t>thousands)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Beginning balance</w:t>
            </w:r>
          </w:p>
        </w:tc>
        <w:tc>
          <w:tcPr>
            <w:tcW w:w="900" w:type="dxa"/>
            <w:vAlign w:val="bottom"/>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center"/>
              <w:ind w:right="69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3,533</w:t>
            </w:r>
          </w:p>
        </w:tc>
        <w:tc>
          <w:tcPr>
            <w:tcW w:w="60" w:type="dxa"/>
            <w:vAlign w:val="bottom"/>
            <w:shd w:val="clear" w:color="auto" w:fill="CFF0FC"/>
          </w:tcPr>
          <w:p>
            <w:pPr>
              <w:spacing w:after="0"/>
              <w:rPr>
                <w:sz w:val="17"/>
                <w:szCs w:val="17"/>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60" w:type="dxa"/>
            <w:vAlign w:val="bottom"/>
          </w:tcPr>
          <w:p>
            <w:pPr>
              <w:spacing w:after="0"/>
              <w:rPr>
                <w:sz w:val="17"/>
                <w:szCs w:val="17"/>
                <w:color w:val="auto"/>
              </w:rPr>
            </w:pPr>
          </w:p>
        </w:tc>
      </w:tr>
      <w:tr>
        <w:trPr>
          <w:trHeight w:val="202"/>
        </w:trPr>
        <w:tc>
          <w:tcPr>
            <w:tcW w:w="3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Accretion</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w:t>
            </w:r>
          </w:p>
        </w:tc>
        <w:tc>
          <w:tcPr>
            <w:tcW w:w="60" w:type="dxa"/>
            <w:vAlign w:val="bottom"/>
            <w:shd w:val="clear" w:color="auto" w:fill="CFF0FC"/>
          </w:tcPr>
          <w:p>
            <w:pPr>
              <w:spacing w:after="0"/>
              <w:rPr>
                <w:sz w:val="17"/>
                <w:szCs w:val="17"/>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Updates to estimated cash flows</w:t>
            </w:r>
          </w:p>
        </w:tc>
        <w:tc>
          <w:tcPr>
            <w:tcW w:w="900" w:type="dxa"/>
            <w:vAlign w:val="bottom"/>
          </w:tcPr>
          <w:p>
            <w:pPr>
              <w:spacing w:after="0"/>
              <w:rPr>
                <w:sz w:val="17"/>
                <w:szCs w:val="17"/>
                <w:color w:val="auto"/>
              </w:rPr>
            </w:pPr>
          </w:p>
        </w:tc>
        <w:tc>
          <w:tcPr>
            <w:tcW w:w="700" w:type="dxa"/>
            <w:vAlign w:val="bottom"/>
            <w:gridSpan w:val="2"/>
          </w:tcPr>
          <w:p>
            <w:pPr>
              <w:jc w:val="right"/>
              <w:ind w:right="73"/>
              <w:spacing w:after="0" w:line="202" w:lineRule="exact"/>
              <w:rPr>
                <w:sz w:val="20"/>
                <w:szCs w:val="20"/>
                <w:color w:val="auto"/>
              </w:rPr>
            </w:pPr>
            <w:r>
              <w:rPr>
                <w:rFonts w:ascii="Arial" w:cs="Arial" w:eastAsia="Arial" w:hAnsi="Arial"/>
                <w:sz w:val="18"/>
                <w:szCs w:val="18"/>
                <w:color w:val="auto"/>
              </w:rPr>
              <w:t>(323 )</w:t>
            </w: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60" w:type="dxa"/>
            <w:vAlign w:val="bottom"/>
          </w:tcPr>
          <w:p>
            <w:pPr>
              <w:spacing w:after="0"/>
              <w:rPr>
                <w:sz w:val="17"/>
                <w:szCs w:val="17"/>
                <w:color w:val="auto"/>
              </w:rPr>
            </w:pPr>
          </w:p>
        </w:tc>
      </w:tr>
      <w:tr>
        <w:trPr>
          <w:trHeight w:val="236"/>
        </w:trPr>
        <w:tc>
          <w:tcPr>
            <w:tcW w:w="37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bottom w:val="single" w:sz="8" w:color="auto"/>
            </w:tcBorders>
            <w:shd w:val="clear" w:color="auto" w:fill="CFF0FC"/>
          </w:tcPr>
          <w:p>
            <w:pPr>
              <w:jc w:val="right"/>
              <w:ind w:right="719"/>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4,900</w:t>
            </w:r>
          </w:p>
        </w:tc>
        <w:tc>
          <w:tcPr>
            <w:tcW w:w="2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center"/>
              <w:ind w:right="696"/>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4,884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Acquisitions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Hustle Con Media, Inc.</w:t>
      </w:r>
    </w:p>
    <w:p>
      <w:pPr>
        <w:spacing w:after="0" w:line="171"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On February 9, 2021, the Company acquired 100% of the equity interests of Hustle Con Media, Inc. (the “Hustle”), a media company that produces a newsletter, podcast, and premium research content for innovative professionals. The Hustle will enable the Company to better meet the needs of scaling companies by delivering educational, business and technology trend content in their preferred formats. The total cash purchase price for the acquisition was $17.2 million, net of cash acquired, which included an upward working capital adjustment of $0.4 million.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date of acquisition: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1" w:name="page82"/>
    <w:bookmarkEnd w:id="81"/>
    <w:tbl>
      <w:tblPr>
        <w:tblLayout w:type="fixed"/>
        <w:tblInd w:w="170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6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8"/>
                <w:szCs w:val="18"/>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1,153</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 current and noncurrent assets</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backlog asset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16,987</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(2,975 )</w:t>
            </w: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(825 )</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(1,042 )</w:t>
            </w:r>
          </w:p>
        </w:tc>
      </w:tr>
      <w:tr>
        <w:trPr>
          <w:trHeight w:val="236"/>
        </w:trPr>
        <w:tc>
          <w:tcPr>
            <w:tcW w:w="61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20,299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As part of the purchase price allocation, the Company recorded a net deferred tax liability for approximately $1.0 million related to the difference between the tax basis and fair value of the acquired intangible assets. This net deferred tax liability provided a source of additional income to support the realizability of the Company’s pre-existing, U.S. deferred tax assets. As the Company has recorded a full valuation allowance against its U.S. deferred tax assets, the Company released a portion of its valuation allowance and recorded a corresponding income tax benefit of $1.0 million in the consolidated statement of operations.</w:t>
      </w:r>
    </w:p>
    <w:p>
      <w:pPr>
        <w:spacing w:after="0" w:line="16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excess of the purchase consideration over the fair value of net tangible and identifiable intangible assets and liabilities acquired was recorded as goodwill. The Company believes the goodwill is attributable to the significant value obtained from the Company utilizing the advertising space within the Hustle’s newsletter and podcast, as well as the market influence of the premium research content to promote its products to the Hustle’s customer base and acquire new customers. The goodwill recognized is not deductible for U.S. or foreign income tax purposes.</w:t>
      </w:r>
    </w:p>
    <w:p>
      <w:pPr>
        <w:spacing w:after="0" w:line="13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Company applied an income approach to estimate the fair values of the intangible assets acquired. The primary intangible asset acquired in the business acquisition was customer relationships and the fair value of $2.4 million was determined based on the estimated present value of expected after-tax cash flows attributable to subscribers using an excess earnings method.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customer relationships on the date of acquisition over a period of seven years based on expected future cash flow attributable to existing customers. The amortization expense is recorded to sales and marketing expense in the consolidated statements of operations.</w:t>
      </w:r>
    </w:p>
    <w:p>
      <w:pPr>
        <w:spacing w:after="0" w:line="15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Company has included the operating results of the Hustle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2019 were not materially different from the amounts reflected in the accompanying consolidated financial statements.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PieSync</w:t>
      </w:r>
    </w:p>
    <w:p>
      <w:pPr>
        <w:spacing w:after="0" w:line="17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On October 31, 2019, the Company acquired 100% of the equity interests of PieSync, a Belgian-based technology company that operates an integration platform as a service (“iPaaS”) solution which continuously syncs customer data bi-directionally across various software applications. PieSync is one of the only iPaaS technologies that provides both a current and historical two-way sync of customer data that operates in the background, which will offer customers a more efficient way of managing multiple applications. The total cash purchase price for the acquisition was $23.3 million, net of cash acquired, which includes a working capital settlement of $0.3 million. There was approximately $2.7 million of consideration that was not included in the purchase price allocation as it is not associated with pre-combination services. As of December 31, 2021, the consideration was earned in full and the Company recorded operating expenses of $1.1 million in 2021 and $1.6 million in 2020. The transaction costs associated with the acquisition were approximately $527 thousand and were recorded in general and administrative expense.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date of acquisition:</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Fair value</w:t>
            </w:r>
          </w:p>
        </w:tc>
      </w:tr>
      <w:tr>
        <w:trPr>
          <w:trHeight w:val="169"/>
        </w:trPr>
        <w:tc>
          <w:tcPr>
            <w:tcW w:w="6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current and noncurrent assets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Acquired developed technology</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9,800</w:t>
            </w:r>
          </w:p>
        </w:tc>
        <w:tc>
          <w:tcPr>
            <w:tcW w:w="10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15,219</w:t>
            </w:r>
          </w:p>
        </w:tc>
        <w:tc>
          <w:tcPr>
            <w:tcW w:w="10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(731 )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(210 )</w:t>
            </w: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(1,324 )</w:t>
            </w:r>
          </w:p>
        </w:tc>
      </w:tr>
      <w:tr>
        <w:trPr>
          <w:trHeight w:val="196"/>
        </w:trPr>
        <w:tc>
          <w:tcPr>
            <w:tcW w:w="618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Total purchase price</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23,821</w:t>
            </w:r>
          </w:p>
        </w:tc>
        <w:tc>
          <w:tcPr>
            <w:tcW w:w="100" w:type="dxa"/>
            <w:vAlign w:val="bottom"/>
            <w:tcBorders>
              <w:top w:val="single" w:sz="8" w:color="CFF0FC"/>
            </w:tcBorders>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5"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excess of the purchase consideration over the fair value of net tangible and identifiable intangible assets and liabilities acquired was recorded as goodwill. The Company will derive significant value from this acquisition through synergies such as cross selling opportunities and a stronger platform that offers a suite of products not directly matched by competitors. The goodwill recognized is not deductible for foreign income tax purposes.</w:t>
      </w:r>
    </w:p>
    <w:p>
      <w:pPr>
        <w:spacing w:after="0" w:line="107" w:lineRule="exact"/>
        <w:rPr>
          <w:sz w:val="20"/>
          <w:szCs w:val="20"/>
          <w:color w:val="auto"/>
        </w:rPr>
      </w:pPr>
    </w:p>
    <w:p>
      <w:pPr>
        <w:ind w:right="220" w:firstLine="509"/>
        <w:spacing w:after="0" w:line="257" w:lineRule="auto"/>
        <w:rPr>
          <w:sz w:val="20"/>
          <w:szCs w:val="20"/>
          <w:color w:val="auto"/>
        </w:rPr>
      </w:pPr>
      <w:r>
        <w:rPr>
          <w:rFonts w:ascii="Arial" w:cs="Arial" w:eastAsia="Arial" w:hAnsi="Arial"/>
          <w:sz w:val="17"/>
          <w:szCs w:val="17"/>
          <w:color w:val="auto"/>
        </w:rPr>
        <w:t>The Company applied variations of the income approach to estimate the fair values of the intangible assets acquired. The primary intangible asset acquired in the business combination was developed technology and the fair value of the developed technology of $9.8 million was determined based on the estimated present value of expected after-tax cash flows attributable to the technology using an excess earnings method. The Company applied significant estimates and assumptions with respect to forecasted revenue growth rates, the revenue attributable to the acquired intangible asset over its estimated economic life, and the discount rate. The fair values assigned to the other tangible and identifiable intangible assets acquired and liabilities assumed as part of the business combination were based on management’s estimates and assumptions.</w:t>
      </w:r>
    </w:p>
    <w:p>
      <w:pPr>
        <w:spacing w:after="0" w:line="13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 began amortizing the acquired technology on the date of acquisition. The acquired technology is being amortized over seven years using a method reflective of the expected economic benefit consumption over the expected useful life of the asset. The amortization expense is recorded to cost of subscription revenue in the consolidated statements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 assets acquired through business combinations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December 31, 2021 and 2020 consist of the following:</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4"/>
              </w:rPr>
              <w:t>December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32 Months</w:t>
            </w:r>
          </w:p>
        </w:tc>
        <w:tc>
          <w:tcPr>
            <w:tcW w:w="34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17,569</w:t>
            </w:r>
          </w:p>
        </w:tc>
        <w:tc>
          <w:tcPr>
            <w:tcW w:w="18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18,383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00" w:type="dxa"/>
            <w:vAlign w:val="bottom"/>
            <w:vMerge w:val="continue"/>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340" w:type="dxa"/>
            <w:vAlign w:val="bottom"/>
            <w:gridSpan w:val="2"/>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2"/>
              </w:rPr>
              <w:t>36 Months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2 Months</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Accumulated amortization</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(9,474 )</w:t>
            </w:r>
          </w:p>
        </w:tc>
        <w:tc>
          <w:tcPr>
            <w:tcW w:w="3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(8,171 )</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10,565</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center"/>
              <w:ind w:right="15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596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estimated useful life of acquired technology is two to seven years and estimated useful life of customer relationships is four to seven years. The Company evaluates the useful lives of these assets on an annual basis and tests for impairment whenever events or changes in circumstances occur that could impact the recoverability of these assets.</w:t>
      </w:r>
    </w:p>
    <w:p>
      <w:pPr>
        <w:spacing w:after="0" w:line="14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Amortization expense related to intangible assets was $1.3 million in 2021, $2.6 million in 2020, and $3.2 million in 2019. Amortization expense of acquired technology is included in cost of subscription revenue and amortization expense of customer relationships is included in sales and marketing expense in the consolidated statements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color w:val="auto"/>
        </w:rPr>
        <w:t>Estimated future amortization expense for intangible assets as of December 31, 2021 is as follows: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5"/>
                <w:szCs w:val="15"/>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5"/>
                <w:szCs w:val="15"/>
                <w:color w:val="auto"/>
              </w:rPr>
            </w:pPr>
          </w:p>
        </w:tc>
      </w:tr>
      <w:tr>
        <w:trPr>
          <w:trHeight w:val="161"/>
        </w:trPr>
        <w:tc>
          <w:tcPr>
            <w:tcW w:w="8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r>
      <w:tr>
        <w:trPr>
          <w:trHeight w:val="203"/>
        </w:trPr>
        <w:tc>
          <w:tcPr>
            <w:tcW w:w="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2,048</w:t>
            </w:r>
          </w:p>
        </w:tc>
        <w:tc>
          <w:tcPr>
            <w:tcW w:w="8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2,331</w:t>
            </w:r>
          </w:p>
        </w:tc>
        <w:tc>
          <w:tcPr>
            <w:tcW w:w="80" w:type="dxa"/>
            <w:vAlign w:val="bottom"/>
          </w:tcPr>
          <w:p>
            <w:pPr>
              <w:spacing w:after="0"/>
              <w:rPr>
                <w:sz w:val="17"/>
                <w:szCs w:val="17"/>
                <w:color w:val="auto"/>
              </w:rPr>
            </w:pPr>
          </w:p>
        </w:tc>
      </w:tr>
      <w:tr>
        <w:trPr>
          <w:trHeight w:val="203"/>
        </w:trPr>
        <w:tc>
          <w:tcPr>
            <w:tcW w:w="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2,309</w:t>
            </w:r>
          </w:p>
        </w:tc>
        <w:tc>
          <w:tcPr>
            <w:tcW w:w="8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1,890</w:t>
            </w:r>
          </w:p>
        </w:tc>
        <w:tc>
          <w:tcPr>
            <w:tcW w:w="80" w:type="dxa"/>
            <w:vAlign w:val="bottom"/>
          </w:tcPr>
          <w:p>
            <w:pPr>
              <w:spacing w:after="0"/>
              <w:rPr>
                <w:sz w:val="17"/>
                <w:szCs w:val="17"/>
                <w:color w:val="auto"/>
              </w:rPr>
            </w:pPr>
          </w:p>
        </w:tc>
      </w:tr>
      <w:tr>
        <w:trPr>
          <w:trHeight w:val="203"/>
        </w:trPr>
        <w:tc>
          <w:tcPr>
            <w:tcW w:w="5860" w:type="dxa"/>
            <w:vAlign w:val="bottom"/>
            <w:tcBorders>
              <w:bottom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86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10,565</w:t>
            </w:r>
          </w:p>
        </w:tc>
        <w:tc>
          <w:tcPr>
            <w:tcW w:w="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and is generally not deductible for tax purposes. Goodwill amounts are not amortized, but rather tested for impairment annually.</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carrying amounts of goodwill consist of the following:</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 2019</w:t>
            </w:r>
          </w:p>
        </w:tc>
        <w:tc>
          <w:tcPr>
            <w:tcW w:w="120" w:type="dxa"/>
            <w:vAlign w:val="bottom"/>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30,250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Effect of foreign currency translation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1,431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Measurement period adjustments</w:t>
            </w:r>
          </w:p>
        </w:tc>
        <w:tc>
          <w:tcPr>
            <w:tcW w:w="12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(363 )</w:t>
            </w:r>
          </w:p>
        </w:tc>
      </w:tr>
      <w:tr>
        <w:trPr>
          <w:trHeight w:val="196"/>
        </w:trPr>
        <w:tc>
          <w:tcPr>
            <w:tcW w:w="56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December 31, 2020</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31,318</w:t>
            </w:r>
          </w:p>
        </w:tc>
        <w:tc>
          <w:tcPr>
            <w:tcW w:w="100" w:type="dxa"/>
            <w:vAlign w:val="bottom"/>
            <w:tcBorders>
              <w:top w:val="single" w:sz="8" w:color="CFF0FC"/>
            </w:tcBorders>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The Hustle acquisition</w:t>
            </w:r>
          </w:p>
        </w:tc>
        <w:tc>
          <w:tcPr>
            <w:tcW w:w="120" w:type="dxa"/>
            <w:vAlign w:val="bottom"/>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16,987</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Effect of foreign currency translation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(1,230 )</w:t>
            </w:r>
          </w:p>
        </w:tc>
      </w:tr>
      <w:tr>
        <w:trPr>
          <w:trHeight w:val="236"/>
        </w:trPr>
        <w:tc>
          <w:tcPr>
            <w:tcW w:w="578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Balance as of December 31, 2021</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47,075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-553720</wp:posOffset>
            </wp:positionV>
            <wp:extent cx="6032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10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5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December 31, 2021 was equal to or greater than 130% of the applicable conversion price on each applicable trading day, the 2025 Notes are convertible at the option of the holders thereof during the calendar quarter ending March 31, 2022. Between the end of the most recently completed fiscal quarter and February 11, 2022, the Company settled $0.9 million of principal balance of the 2025 Notes in cash in response to conversion notices received prior to December 31, 2021. As of February 11, 2022, the Company has not received additional conversion notices.</w:t>
      </w:r>
    </w:p>
    <w:p>
      <w:pPr>
        <w:spacing w:after="0" w:line="18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2025 Notes are classified as long-term debt, except for $0.7 million classified as current as of December 31, 2021 for conversion notices received prior to year-end, for which the principal amount is expected to be cash-settled during the quarter ended March 31, 2022. The equity component of the 2025 Notes is classified as additional paid-in capital as the Company has the option to settle the principal amount in shares and the maturity date of the 2025 Notes is more than 12 months away. However, it is the Company’s intent to settle the principal amount of the 2025 Notes in cash.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4" w:name="page85"/>
    <w:bookmarkEnd w:id="84"/>
    <w:p>
      <w:pPr>
        <w:ind w:firstLine="509"/>
        <w:spacing w:after="0" w:line="239" w:lineRule="auto"/>
        <w:rPr>
          <w:sz w:val="20"/>
          <w:szCs w:val="20"/>
          <w:color w:val="auto"/>
        </w:rPr>
      </w:pPr>
      <w:r>
        <w:rPr>
          <w:rFonts w:ascii="Arial" w:cs="Arial" w:eastAsia="Arial" w:hAnsi="Arial"/>
          <w:sz w:val="18"/>
          <w:szCs w:val="18"/>
          <w:color w:val="auto"/>
        </w:rPr>
        <w:t>In accounting for the issuance of the 2025 Notes, the Company separated the 2025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$98.7 million and was determined by deducting the fair value of the liability component from the par value of the 2025 Notes. The equity component is recorded in additional paid-in capital in the consolidated balance sheets and is not remeasured as long as it continues to meet the conditions for equity classification. The excess of the principal amount of the liability component over its carrying amount (the "Debt Discount") is amortized to interest expense at an effective interest rate of 5.71% over the contractual term of the 2025 Notes.</w:t>
      </w:r>
    </w:p>
    <w:p>
      <w:pPr>
        <w:spacing w:after="0" w:line="191"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In accounting for the debt issuance costs of $9.9 million related to the 2025 Notes, the Company allocated the total amount incurred to the liability and equity components of the 2025 Notes based on their relative values. Issuance costs attributable to the liability component were $7.8 million and will be amortized to interest expense using the effective interest method over the contractual terms of the 2025 Notes. Issuance costs attributable to the equity component were $2.1 million and are netted with the equity component of the 2025 Notes in stockholders’ equity.</w:t>
      </w:r>
    </w:p>
    <w:p>
      <w:pPr>
        <w:spacing w:after="0" w:line="172" w:lineRule="exact"/>
        <w:rPr>
          <w:sz w:val="20"/>
          <w:szCs w:val="20"/>
          <w:color w:val="auto"/>
        </w:rPr>
      </w:pPr>
    </w:p>
    <w:p>
      <w:pPr>
        <w:ind w:right="300" w:firstLine="509"/>
        <w:spacing w:after="0" w:line="294" w:lineRule="auto"/>
        <w:rPr>
          <w:sz w:val="20"/>
          <w:szCs w:val="20"/>
          <w:color w:val="auto"/>
        </w:rPr>
      </w:pPr>
      <w:r>
        <w:rPr>
          <w:rFonts w:ascii="Arial" w:cs="Arial" w:eastAsia="Arial" w:hAnsi="Arial"/>
          <w:sz w:val="16"/>
          <w:szCs w:val="16"/>
          <w:color w:val="auto"/>
        </w:rPr>
        <w:t>The difference in the book and tax allocation between the liability and equity components of the 2025 Notes resulted in a difference between the carrying amount and tax basis of the 2025 Notes. This taxable temporary difference resulted in the Company recognizing a deferred tax liability and a corresponding reduction in the Company's valuation allowance on its US deferred tax assets, resulting in no net deferred tax impact.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6"/>
              </w:rPr>
              <w:t>As of December 31,</w:t>
            </w:r>
          </w:p>
        </w:tc>
        <w:tc>
          <w:tcPr>
            <w:tcW w:w="180" w:type="dxa"/>
            <w:vAlign w:val="bottom"/>
          </w:tcPr>
          <w:p>
            <w:pPr>
              <w:spacing w:after="0"/>
              <w:rPr>
                <w:sz w:val="14"/>
                <w:szCs w:val="14"/>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As of December 31,</w:t>
            </w:r>
          </w:p>
        </w:tc>
      </w:tr>
      <w:tr>
        <w:trPr>
          <w:trHeight w:val="18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1980" w:type="dxa"/>
            <w:vAlign w:val="bottom"/>
            <w:gridSpan w:val="3"/>
          </w:tcPr>
          <w:p>
            <w:pPr>
              <w:jc w:val="center"/>
              <w:ind w:right="1336"/>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r>
      <w:tr>
        <w:trPr>
          <w:trHeight w:val="203"/>
        </w:trPr>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Principal</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459,999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460,000</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17"/>
                <w:szCs w:val="17"/>
                <w:color w:val="auto"/>
              </w:rPr>
            </w:pPr>
          </w:p>
        </w:tc>
        <w:tc>
          <w:tcPr>
            <w:tcW w:w="17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(70,594 )</w:t>
            </w:r>
          </w:p>
        </w:tc>
        <w:tc>
          <w:tcPr>
            <w:tcW w:w="180" w:type="dxa"/>
            <w:vAlign w:val="bottom"/>
          </w:tcPr>
          <w:p>
            <w:pPr>
              <w:spacing w:after="0"/>
              <w:rPr>
                <w:sz w:val="17"/>
                <w:szCs w:val="17"/>
                <w:color w:val="auto"/>
              </w:rPr>
            </w:pPr>
          </w:p>
        </w:tc>
        <w:tc>
          <w:tcPr>
            <w:tcW w:w="1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(88,756 )</w:t>
            </w:r>
          </w:p>
        </w:tc>
      </w:tr>
      <w:tr>
        <w:trPr>
          <w:trHeight w:val="203"/>
        </w:trPr>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issuance costs</w:t>
            </w:r>
          </w:p>
        </w:tc>
        <w:tc>
          <w:tcPr>
            <w:tcW w:w="1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(5,544 )</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(6,973 )</w:t>
            </w:r>
          </w:p>
        </w:tc>
      </w:tr>
      <w:tr>
        <w:trPr>
          <w:trHeight w:val="196"/>
        </w:trPr>
        <w:tc>
          <w:tcPr>
            <w:tcW w:w="5180" w:type="dxa"/>
            <w:vAlign w:val="bottom"/>
            <w:tcBorders>
              <w:top w:val="single" w:sz="8" w:color="CFF0FC"/>
            </w:tcBorders>
          </w:tcPr>
          <w:p>
            <w:pPr>
              <w:ind w:left="280"/>
              <w:spacing w:after="0" w:line="182" w:lineRule="exact"/>
              <w:rPr>
                <w:sz w:val="20"/>
                <w:szCs w:val="20"/>
                <w:color w:val="auto"/>
              </w:rPr>
            </w:pPr>
            <w:r>
              <w:rPr>
                <w:rFonts w:ascii="Arial" w:cs="Arial" w:eastAsia="Arial" w:hAnsi="Arial"/>
                <w:sz w:val="18"/>
                <w:szCs w:val="18"/>
                <w:color w:val="auto"/>
              </w:rPr>
              <w:t>Net carrying amount</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383,861</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364,271</w:t>
            </w:r>
          </w:p>
        </w:tc>
        <w:tc>
          <w:tcPr>
            <w:tcW w:w="100" w:type="dxa"/>
            <w:vAlign w:val="bottom"/>
            <w:tcBorders>
              <w:top w:val="single" w:sz="8" w:color="CFF0FC"/>
            </w:tcBorders>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-159385</wp:posOffset>
            </wp:positionV>
            <wp:extent cx="5969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2025 Notes is as follows:</w:t>
      </w: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8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6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Debt discount for conversion option</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98,730</w:t>
            </w:r>
          </w:p>
        </w:tc>
        <w:tc>
          <w:tcPr>
            <w:tcW w:w="1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19"/>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98,730</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Issuance costs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(2,120 )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(2,120 )</w:t>
            </w:r>
          </w:p>
        </w:tc>
      </w:tr>
      <w:tr>
        <w:trPr>
          <w:trHeight w:val="236"/>
        </w:trPr>
        <w:tc>
          <w:tcPr>
            <w:tcW w:w="620" w:type="dxa"/>
            <w:vAlign w:val="bottom"/>
          </w:tcPr>
          <w:p>
            <w:pPr>
              <w:spacing w:after="0"/>
              <w:rPr>
                <w:sz w:val="20"/>
                <w:szCs w:val="20"/>
                <w:color w:val="auto"/>
              </w:rPr>
            </w:pPr>
          </w:p>
        </w:tc>
        <w:tc>
          <w:tcPr>
            <w:tcW w:w="438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Net carrying amount</w:t>
            </w:r>
          </w:p>
        </w:tc>
        <w:tc>
          <w:tcPr>
            <w:tcW w:w="8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96,610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9"/>
              <w:spacing w:after="0" w:line="182"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96,610</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480"/>
        </w:trPr>
        <w:tc>
          <w:tcPr>
            <w:tcW w:w="5000" w:type="dxa"/>
            <w:vAlign w:val="bottom"/>
            <w:gridSpan w:val="2"/>
          </w:tcPr>
          <w:p>
            <w:pPr>
              <w:spacing w:after="0"/>
              <w:rPr>
                <w:sz w:val="20"/>
                <w:szCs w:val="20"/>
                <w:color w:val="auto"/>
              </w:rPr>
            </w:pPr>
            <w:r>
              <w:rPr>
                <w:rFonts w:ascii="Arial" w:cs="Arial" w:eastAsia="Arial" w:hAnsi="Arial"/>
                <w:sz w:val="18"/>
                <w:szCs w:val="18"/>
                <w:color w:val="auto"/>
              </w:rPr>
              <w:t>Interest expense related to the 2025 Notes is as follows: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Borders>
              <w:top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800" w:type="dxa"/>
            <w:vAlign w:val="bottom"/>
            <w:shd w:val="clear" w:color="auto" w:fill="CFF0FC"/>
          </w:tcPr>
          <w:p>
            <w:pPr>
              <w:jc w:val="right"/>
              <w:ind w:right="615"/>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1,725</w:t>
            </w:r>
          </w:p>
        </w:tc>
        <w:tc>
          <w:tcPr>
            <w:tcW w:w="1060" w:type="dxa"/>
            <w:vAlign w:val="bottom"/>
            <w:gridSpan w:val="3"/>
            <w:shd w:val="clear" w:color="auto" w:fill="CFF0FC"/>
          </w:tcPr>
          <w:p>
            <w:pPr>
              <w:jc w:val="right"/>
              <w:ind w:right="66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987</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Amortization of debt discount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18,171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 w:type="dxa"/>
            <w:vAlign w:val="bottom"/>
          </w:tcPr>
          <w:p>
            <w:pPr>
              <w:spacing w:after="0"/>
              <w:rPr>
                <w:sz w:val="17"/>
                <w:szCs w:val="17"/>
                <w:color w:val="auto"/>
              </w:rPr>
            </w:pPr>
          </w:p>
        </w:tc>
        <w:tc>
          <w:tcPr>
            <w:tcW w:w="4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Amortization of issuance costs</w:t>
            </w:r>
          </w:p>
        </w:tc>
        <w:tc>
          <w:tcPr>
            <w:tcW w:w="8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1,428</w:t>
            </w: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8"/>
                <w:szCs w:val="18"/>
                <w:color w:val="auto"/>
              </w:rPr>
              <w:t>Total interest expense</w:t>
            </w:r>
          </w:p>
        </w:tc>
        <w:tc>
          <w:tcPr>
            <w:tcW w:w="800" w:type="dxa"/>
            <w:vAlign w:val="bottom"/>
          </w:tcPr>
          <w:p>
            <w:pPr>
              <w:jc w:val="right"/>
              <w:ind w:right="615"/>
              <w:spacing w:after="0" w:line="182"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w w:val="90"/>
              </w:rPr>
              <w:t>21,324</w:t>
            </w:r>
          </w:p>
        </w:tc>
        <w:tc>
          <w:tcPr>
            <w:tcW w:w="1060" w:type="dxa"/>
            <w:vAlign w:val="bottom"/>
            <w:gridSpan w:val="3"/>
          </w:tcPr>
          <w:p>
            <w:pPr>
              <w:jc w:val="right"/>
              <w:ind w:right="668"/>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0"/>
              </w:rPr>
              <w:t>11,745</w:t>
            </w:r>
          </w:p>
        </w:tc>
        <w:tc>
          <w:tcPr>
            <w:tcW w:w="3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w:t>
            </w:r>
          </w:p>
        </w:tc>
      </w:tr>
      <w:tr>
        <w:trPr>
          <w:trHeight w:val="20"/>
        </w:trPr>
        <w:tc>
          <w:tcPr>
            <w:tcW w:w="6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-1388110</wp:posOffset>
            </wp:positionV>
            <wp:extent cx="596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-1370965</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-1388110</wp:posOffset>
            </wp:positionV>
            <wp:extent cx="596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-1370965</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-159385</wp:posOffset>
            </wp:positionV>
            <wp:extent cx="431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3429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36"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automatically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5" w:name="page86"/>
    <w:bookmarkEnd w:id="85"/>
    <w:p>
      <w:pPr>
        <w:ind w:right="640"/>
        <w:spacing w:after="0" w:line="261" w:lineRule="auto"/>
        <w:rPr>
          <w:sz w:val="20"/>
          <w:szCs w:val="20"/>
          <w:color w:val="auto"/>
        </w:rPr>
      </w:pPr>
      <w:r>
        <w:rPr>
          <w:rFonts w:ascii="Arial" w:cs="Arial" w:eastAsia="Arial" w:hAnsi="Arial"/>
          <w:sz w:val="18"/>
          <w:szCs w:val="18"/>
          <w:color w:val="auto"/>
        </w:rPr>
        <w:t>Capped Call Options is recorded in stockholders’ equity as a reduction in additional paid-in capital and are not accounted for as separate derivative financial instruments.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104"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In May 2017, the Company issued $350.0 million aggregate principal amount of 0.25% convertible senior notes due June 1, 2022 (the “2022 Notes”) in a private offering and an additional $50 million aggregate principal amount of such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18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Each $1,000 principal amount of the 2022 Notes are currently convertible into 10.5519 shares of the Company’s common stock (the “Conversion Option of the 2022 Notes”), which is equivalent to an initial conversion price of approximately $94.77 per share, subject to adjustment upon the occurrence of specified events. Because the last reported sale price of the Company’s common stock for at least 20 trading days during the period of 30 consecutive trading days ending on the last trading day of the calendar quarter ended December 31, 2021 was equal to or greater than 130% of the applicable conversion price on each applicable trading day, the 2022 Notes are convertible at the option of the holders on the business day immediately preceding February 1, 2022. On or after February 1, 2022 until the close of business on the second scheduled trading day immediately preceding the maturity date, holders may convert their notes at any time. Upon conversion, the Company will pay or deliver, as the case may be, cash, shares of the Company’s common stock or a combination of cash and shares of the Company’s common stock, at the Company’s election. The Company expects to settle the principal amount of the 2022 Notes in cash. In 2021, the Company settled $106.5 million of principal balance of the 2022 Notes in cash. The Company compared the consideration attributed to the fair value of the debt component with the carrying value of the debt component, which includes the proportionate amounts of the unamortized debt discount and the remaining unamortized debt issuance costs and recorded a loss on early extinguishment of $4.9 million for the year ended December 31, 2021 within interest expense on the Company’s statements of operations. As of February 11, 2022, the Company has not received any conversion notices.</w:t>
      </w:r>
    </w:p>
    <w:p>
      <w:pPr>
        <w:spacing w:after="0" w:line="180"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The total cost of the Convertible Note Hedges was $78.9 million.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The Company received $58.9 million in cash proceeds, net of issuance costs of $200 thousand, from the sale of these Warrants. The purchase of the Convertible Note Hedges and the sale of Warrants is intended to effectively increase the overall conversion price from $94.77 to $115.83 per share. As these transactions meet certain accounting criteria, the net $20.0 million paid for the Convertible Note Hedges and Warrants is recorded in stockholders’ equity and are not accounted for as separate derivative financial instruments.</w:t>
      </w:r>
    </w:p>
    <w:p>
      <w:pPr>
        <w:spacing w:after="0" w:line="180"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In June 2020, the Company used part of the net proceeds from the issuance of the 2025 Notes for the partial repurchase of the 2022 Notes, which consisted of a repurchase of $272.1 million aggregate principal amount of the 2022 Notes for an aggregate purchase price of approximately $283.0 in cash and approximately 1.6 million shares of its common stock at $207.17 per share. Of the $613.5 million in aggregate consideration, $248.7 million was allocated to the fair value of the debt component of the repurchase, and $364.8 million was allocated to the equity component (the associated Conversion Option of the 2022 Notes) of the repurchases, utilizing a discount rate of 4.9% to determine the fair value of the liability component. As of the partial repurchase date, the carrying value of the 2022 Notes subject to the 2022 Notes partial repurchase, net of unamortized debt discount and issuance costs, was $238.2 million. The 2022 Notes partial repurchase and issuance of the 2025 Notes were deemed to have substantially different terms due to the significant difference between the value of the conversion option immediately prior to and after the exchange, and accordingly, the 2022 Notes partial repurchase was accounted for as a debt extinguishment. The 2022 Notes partial repurchase resulted in a $10.5 million loss on early extinguishment of debt, which is recorded within interest expense on the Company’s statements of operations in 2020. In connection with the partial repurchase of the 2022 Notes, the consideration allocated to the equity component of $364.8 million was recorded as a reduction to additional paid-in capital on the Company’s consolidated balance sheet. The Company also reversed a corresponding portion of the associated deferred tax liability and increased the Company’s valuation allowance on its US deferred tax assets, resulting in no net deferred tax impact.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6" w:name="page87"/>
    <w:bookmarkEnd w:id="86"/>
    <w:p>
      <w:pPr>
        <w:ind w:firstLine="509"/>
        <w:spacing w:after="0" w:line="272" w:lineRule="auto"/>
        <w:rPr>
          <w:sz w:val="20"/>
          <w:szCs w:val="20"/>
          <w:color w:val="auto"/>
        </w:rPr>
      </w:pPr>
      <w:r>
        <w:rPr>
          <w:rFonts w:ascii="Arial" w:cs="Arial" w:eastAsia="Arial" w:hAnsi="Arial"/>
          <w:sz w:val="16"/>
          <w:szCs w:val="16"/>
          <w:color w:val="auto"/>
        </w:rPr>
        <w:t>In connection with the partial repurchase of the 2022 Notes, the Company terminated Convertible Note Hedges corresponding to approximately 2.9 million shares of the Company’s common stock in exchange for cash consideration of $362.5 million, and certain counterparties terminated Warrants corresponding to approximately 2.9 million shares of the Company’s common stock in exchange for cash consideration of $327.6 million. The net proceeds of $34.9 million received from these transactions were recorded as an increase to additional paid-in capital. In the year ended December 31, 2021, the Company exercised and net-share-settled a portion of the Convertible Note Hedges, corresponding to approximately $106.5 million in principal amount of 2022 Notes and received approximately 0.9 million shares of common stock and a $9.0 million cash payment. As of December 31, 2021, Convertible Note Hedges giving the Company the option to purchase approximately 0.2 million shares of the Company’s common stock and Warrants giving certain counterparties the option to acquire up to 1.3 million shares of the Company’s common stock remain outstanding.</w:t>
      </w:r>
    </w:p>
    <w:p>
      <w:pPr>
        <w:spacing w:after="0" w:line="168"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2022 Notes are classified as short-term debt and the equity component of the 2022 Notes is classified as additional paid-in capital. As of December 31, 2021, $19.4 million of principal remains outstanding on the 2022 Notes.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64"/>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Pr>
          <w:p>
            <w:pPr>
              <w:spacing w:after="0"/>
              <w:rPr>
                <w:sz w:val="14"/>
                <w:szCs w:val="14"/>
                <w:color w:val="auto"/>
              </w:rPr>
            </w:pPr>
          </w:p>
        </w:tc>
        <w:tc>
          <w:tcPr>
            <w:tcW w:w="18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r>
      <w:tr>
        <w:trPr>
          <w:trHeight w:val="185"/>
        </w:trPr>
        <w:tc>
          <w:tcPr>
            <w:tcW w:w="6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24"/>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Principal</w:t>
            </w: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19,382</w:t>
            </w:r>
          </w:p>
        </w:tc>
        <w:tc>
          <w:tcPr>
            <w:tcW w:w="5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125,839</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Unamortized debt discount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gridSpan w:val="3"/>
          </w:tcPr>
          <w:p>
            <w:pPr>
              <w:jc w:val="right"/>
              <w:ind w:right="75"/>
              <w:spacing w:after="0" w:line="202" w:lineRule="exact"/>
              <w:rPr>
                <w:sz w:val="20"/>
                <w:szCs w:val="20"/>
                <w:color w:val="auto"/>
              </w:rPr>
            </w:pPr>
            <w:r>
              <w:rPr>
                <w:rFonts w:ascii="Arial" w:cs="Arial" w:eastAsia="Arial" w:hAnsi="Arial"/>
                <w:sz w:val="18"/>
                <w:szCs w:val="18"/>
                <w:color w:val="auto"/>
              </w:rPr>
              <w:t>(477 )</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(10,397 )</w:t>
            </w:r>
          </w:p>
        </w:tc>
      </w:tr>
      <w:tr>
        <w:trPr>
          <w:trHeight w:val="203"/>
        </w:trPr>
        <w:tc>
          <w:tcPr>
            <w:tcW w:w="6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issuance costs</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75"/>
              <w:spacing w:after="0" w:line="202" w:lineRule="exact"/>
              <w:rPr>
                <w:sz w:val="20"/>
                <w:szCs w:val="20"/>
                <w:color w:val="auto"/>
              </w:rPr>
            </w:pPr>
            <w:r>
              <w:rPr>
                <w:rFonts w:ascii="Arial" w:cs="Arial" w:eastAsia="Arial" w:hAnsi="Arial"/>
                <w:sz w:val="18"/>
                <w:szCs w:val="18"/>
                <w:color w:val="auto"/>
              </w:rPr>
              <w:t>(35 )</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(777 )</w:t>
            </w:r>
          </w:p>
        </w:tc>
      </w:tr>
      <w:tr>
        <w:trPr>
          <w:trHeight w:val="196"/>
        </w:trPr>
        <w:tc>
          <w:tcPr>
            <w:tcW w:w="620" w:type="dxa"/>
            <w:vAlign w:val="bottom"/>
          </w:tcPr>
          <w:p>
            <w:pPr>
              <w:spacing w:after="0"/>
              <w:rPr>
                <w:sz w:val="17"/>
                <w:szCs w:val="17"/>
                <w:color w:val="auto"/>
              </w:rPr>
            </w:pPr>
          </w:p>
        </w:tc>
        <w:tc>
          <w:tcPr>
            <w:tcW w:w="440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Net carrying amount</w:t>
            </w:r>
          </w:p>
        </w:tc>
        <w:tc>
          <w:tcPr>
            <w:tcW w:w="8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18,870</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center"/>
              <w:ind w:right="119"/>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114,665</w:t>
            </w: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0"/>
        </w:trPr>
        <w:tc>
          <w:tcPr>
            <w:tcW w:w="584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980" w:type="dxa"/>
            <w:vAlign w:val="bottom"/>
            <w:gridSpan w:val="4"/>
          </w:tcPr>
          <w:p>
            <w:pPr>
              <w:spacing w:after="0"/>
              <w:rPr>
                <w:sz w:val="20"/>
                <w:szCs w:val="20"/>
                <w:color w:val="auto"/>
              </w:rPr>
            </w:pPr>
            <w:r>
              <w:rPr>
                <w:rFonts w:ascii="Arial" w:cs="Arial" w:eastAsia="Arial" w:hAnsi="Arial"/>
                <w:sz w:val="18"/>
                <w:szCs w:val="18"/>
                <w:color w:val="auto"/>
                <w:w w:val="92"/>
              </w:rPr>
              <w:t>The net carrying amount of the equity component of the 2022 Notes is as follows: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84"/>
              <w:spacing w:after="0"/>
              <w:rPr>
                <w:sz w:val="20"/>
                <w:szCs w:val="20"/>
                <w:color w:val="auto"/>
              </w:rPr>
            </w:pPr>
            <w:r>
              <w:rPr>
                <w:rFonts w:ascii="Arial" w:cs="Arial" w:eastAsia="Arial" w:hAnsi="Arial"/>
                <w:sz w:val="14"/>
                <w:szCs w:val="14"/>
                <w:b w:val="1"/>
                <w:bCs w:val="1"/>
                <w:color w:val="auto"/>
                <w:w w:val="92"/>
              </w:rPr>
              <w:t>As of December 31,</w:t>
            </w:r>
          </w:p>
        </w:tc>
        <w:tc>
          <w:tcPr>
            <w:tcW w:w="240" w:type="dxa"/>
            <w:vAlign w:val="bottom"/>
          </w:tcPr>
          <w:p>
            <w:pPr>
              <w:spacing w:after="0"/>
              <w:rPr>
                <w:sz w:val="24"/>
                <w:szCs w:val="24"/>
                <w:color w:val="auto"/>
              </w:rPr>
            </w:pPr>
          </w:p>
        </w:tc>
        <w:tc>
          <w:tcPr>
            <w:tcW w:w="18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r>
      <w:tr>
        <w:trPr>
          <w:trHeight w:val="185"/>
        </w:trPr>
        <w:tc>
          <w:tcPr>
            <w:tcW w:w="6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4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ind w:left="580"/>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Debt discount for conversion option</w:t>
            </w: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5,136</w:t>
            </w:r>
          </w:p>
        </w:tc>
        <w:tc>
          <w:tcPr>
            <w:tcW w:w="5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33,349</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Issuance costs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gridSpan w:val="3"/>
          </w:tcPr>
          <w:p>
            <w:pPr>
              <w:jc w:val="right"/>
              <w:ind w:right="75"/>
              <w:spacing w:after="0" w:line="202" w:lineRule="exact"/>
              <w:rPr>
                <w:sz w:val="20"/>
                <w:szCs w:val="20"/>
                <w:color w:val="auto"/>
              </w:rPr>
            </w:pPr>
            <w:r>
              <w:rPr>
                <w:rFonts w:ascii="Arial" w:cs="Arial" w:eastAsia="Arial" w:hAnsi="Arial"/>
                <w:sz w:val="18"/>
                <w:szCs w:val="18"/>
                <w:color w:val="auto"/>
              </w:rPr>
              <w:t>(138 )</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(898 )</w:t>
            </w:r>
          </w:p>
        </w:tc>
      </w:tr>
      <w:tr>
        <w:trPr>
          <w:trHeight w:val="236"/>
        </w:trPr>
        <w:tc>
          <w:tcPr>
            <w:tcW w:w="62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Net carrying amount</w:t>
            </w:r>
          </w:p>
        </w:tc>
        <w:tc>
          <w:tcPr>
            <w:tcW w:w="8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4,998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center"/>
              <w:ind w:right="119"/>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32,451</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color w:val="auto"/>
              </w:rPr>
              <w:t>Interest expense related to the 2022 Notes is as follows: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6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440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tcBorders>
              <w:top w:val="single" w:sz="8" w:color="auto"/>
            </w:tcBorders>
            <w:gridSpan w:val="3"/>
            <w:shd w:val="clear" w:color="auto" w:fill="CFF0FC"/>
          </w:tcPr>
          <w:p>
            <w:pPr>
              <w:jc w:val="right"/>
              <w:ind w:right="299"/>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820" w:type="dxa"/>
            <w:vAlign w:val="bottom"/>
          </w:tcPr>
          <w:p>
            <w:pPr>
              <w:jc w:val="right"/>
              <w:ind w:right="634"/>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100" w:type="dxa"/>
            <w:vAlign w:val="bottom"/>
            <w:gridSpan w:val="2"/>
          </w:tcPr>
          <w:p>
            <w:pPr>
              <w:jc w:val="center"/>
              <w:ind w:right="524"/>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614</w:t>
            </w:r>
          </w:p>
        </w:tc>
        <w:tc>
          <w:tcPr>
            <w:tcW w:w="1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debt discount</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3,636</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13,150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20,277</w:t>
            </w:r>
          </w:p>
        </w:tc>
        <w:tc>
          <w:tcPr>
            <w:tcW w:w="6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Amortization of issuance costs</w:t>
            </w: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982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1,513</w:t>
            </w:r>
          </w:p>
        </w:tc>
        <w:tc>
          <w:tcPr>
            <w:tcW w:w="60" w:type="dxa"/>
            <w:vAlign w:val="bottom"/>
          </w:tcPr>
          <w:p>
            <w:pPr>
              <w:spacing w:after="0"/>
              <w:rPr>
                <w:sz w:val="17"/>
                <w:szCs w:val="17"/>
                <w:color w:val="auto"/>
              </w:rPr>
            </w:pPr>
          </w:p>
        </w:tc>
      </w:tr>
      <w:tr>
        <w:trPr>
          <w:trHeight w:val="236"/>
        </w:trPr>
        <w:tc>
          <w:tcPr>
            <w:tcW w:w="62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interest expense</w:t>
            </w:r>
          </w:p>
        </w:tc>
        <w:tc>
          <w:tcPr>
            <w:tcW w:w="820" w:type="dxa"/>
            <w:vAlign w:val="bottom"/>
            <w:tcBorders>
              <w:bottom w:val="single" w:sz="8" w:color="auto"/>
            </w:tcBorders>
            <w:shd w:val="clear" w:color="auto" w:fill="CFF0FC"/>
          </w:tcPr>
          <w:p>
            <w:pPr>
              <w:jc w:val="right"/>
              <w:ind w:right="634"/>
              <w:spacing w:after="0" w:line="18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4,062</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center"/>
              <w:ind w:right="724"/>
              <w:spacing w:after="0" w:line="182"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14,746</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22,790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-2619375</wp:posOffset>
            </wp:positionV>
            <wp:extent cx="6032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-2619375</wp:posOffset>
            </wp:positionV>
            <wp:extent cx="5969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-1327785</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-1310640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-1327785</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-1310640</wp:posOffset>
            </wp:positionV>
            <wp:extent cx="59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43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431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10. Segment Information and Geographic Data</w:t>
      </w:r>
    </w:p>
    <w:p>
      <w:pPr>
        <w:spacing w:after="0" w:line="108"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As more fully described in the Company’s Summary of Significant Accounting Policies, the Company operates as one operating segment. Revenue and long-lived assets by geographic region, based on the physical location of the operations recording the revenue or the long-lived assets, respectively, are as follows: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797,986</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568,365</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456,568</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390,379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243,811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168,452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112,293</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70,850</w:t>
            </w:r>
          </w:p>
        </w:tc>
        <w:tc>
          <w:tcPr>
            <w:tcW w:w="3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49,840</w:t>
            </w: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1,300,658</w:t>
            </w:r>
          </w:p>
        </w:tc>
        <w:tc>
          <w:tcPr>
            <w:tcW w:w="200" w:type="dxa"/>
            <w:vAlign w:val="bottom"/>
          </w:tcPr>
          <w:p>
            <w:pPr>
              <w:spacing w:after="0"/>
              <w:rPr>
                <w:sz w:val="17"/>
                <w:szCs w:val="17"/>
                <w:color w:val="auto"/>
              </w:rPr>
            </w:pPr>
          </w:p>
        </w:tc>
        <w:tc>
          <w:tcPr>
            <w:tcW w:w="3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883,026</w:t>
            </w:r>
          </w:p>
        </w:tc>
        <w:tc>
          <w:tcPr>
            <w:tcW w:w="320" w:type="dxa"/>
            <w:vAlign w:val="bottom"/>
          </w:tcPr>
          <w:p>
            <w:pPr>
              <w:spacing w:after="0"/>
              <w:rPr>
                <w:sz w:val="17"/>
                <w:szCs w:val="17"/>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674,860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Percentage of revenues generated outside of the</w:t>
            </w:r>
          </w:p>
        </w:tc>
        <w:tc>
          <w:tcPr>
            <w:tcW w:w="32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39 %</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36 %</w:t>
            </w:r>
          </w:p>
        </w:tc>
        <w:tc>
          <w:tcPr>
            <w:tcW w:w="24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4520" w:type="dxa"/>
            <w:vAlign w:val="bottom"/>
            <w:shd w:val="clear" w:color="auto" w:fill="CFF0FC"/>
          </w:tcPr>
          <w:p>
            <w:pPr>
              <w:ind w:left="140"/>
              <w:spacing w:after="0" w:line="156" w:lineRule="exact"/>
              <w:rPr>
                <w:sz w:val="20"/>
                <w:szCs w:val="20"/>
                <w:color w:val="auto"/>
              </w:rPr>
            </w:pPr>
            <w:r>
              <w:rPr>
                <w:rFonts w:ascii="Arial" w:cs="Arial" w:eastAsia="Arial" w:hAnsi="Arial"/>
                <w:sz w:val="18"/>
                <w:szCs w:val="18"/>
                <w:color w:val="auto"/>
              </w:rPr>
              <w:t>Americas</w:t>
            </w:r>
          </w:p>
        </w:tc>
        <w:tc>
          <w:tcPr>
            <w:tcW w:w="32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-399415</wp:posOffset>
            </wp:positionV>
            <wp:extent cx="16256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-399415</wp:posOffset>
            </wp:positionV>
            <wp:extent cx="15430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-399415</wp:posOffset>
            </wp:positionV>
            <wp:extent cx="15430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1625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1625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1543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1543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1543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1543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0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Revenue derived from customers outside the United States (international) was approximately 46% of total revenue in 2021, 43% of total revenue in 2020 and 40% of total revenue in 2019.</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508"/>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4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226,848</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206,789</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139,846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159,338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10,268</w:t>
            </w:r>
          </w:p>
        </w:tc>
        <w:tc>
          <w:tcPr>
            <w:tcW w:w="3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10,889</w:t>
            </w: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ind w:left="280"/>
              <w:spacing w:after="0" w:line="182" w:lineRule="exact"/>
              <w:rPr>
                <w:sz w:val="20"/>
                <w:szCs w:val="20"/>
                <w:color w:val="auto"/>
              </w:rPr>
            </w:pPr>
            <w:r>
              <w:rPr>
                <w:rFonts w:ascii="Arial" w:cs="Arial" w:eastAsia="Arial" w:hAnsi="Arial"/>
                <w:sz w:val="18"/>
                <w:szCs w:val="18"/>
                <w:color w:val="auto"/>
              </w:rPr>
              <w:t>Total long lived assets</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376,962</w:t>
            </w:r>
          </w:p>
        </w:tc>
        <w:tc>
          <w:tcPr>
            <w:tcW w:w="3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377,016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Percentage of long lived assets held outside of the</w:t>
            </w:r>
          </w:p>
        </w:tc>
        <w:tc>
          <w:tcPr>
            <w:tcW w:w="18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color w:val="auto"/>
              </w:rPr>
              <w:t>40 %</w:t>
            </w:r>
          </w:p>
        </w:tc>
        <w:tc>
          <w:tcPr>
            <w:tcW w:w="180" w:type="dxa"/>
            <w:vAlign w:val="bottom"/>
            <w:shd w:val="clear" w:color="auto" w:fill="CFF0FC"/>
          </w:tcPr>
          <w:p>
            <w:pPr>
              <w:spacing w:after="0"/>
              <w:rPr>
                <w:sz w:val="12"/>
                <w:szCs w:val="12"/>
                <w:color w:val="auto"/>
              </w:rPr>
            </w:pPr>
          </w:p>
        </w:tc>
        <w:tc>
          <w:tcPr>
            <w:tcW w:w="13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195"/>
        </w:trPr>
        <w:tc>
          <w:tcPr>
            <w:tcW w:w="4600" w:type="dxa"/>
            <w:vAlign w:val="bottom"/>
            <w:shd w:val="clear" w:color="auto" w:fill="CFF0FC"/>
          </w:tcPr>
          <w:p>
            <w:pPr>
              <w:ind w:left="140"/>
              <w:spacing w:after="0" w:line="156" w:lineRule="exact"/>
              <w:rPr>
                <w:sz w:val="20"/>
                <w:szCs w:val="20"/>
                <w:color w:val="auto"/>
              </w:rPr>
            </w:pPr>
            <w:r>
              <w:rPr>
                <w:rFonts w:ascii="Arial" w:cs="Arial" w:eastAsia="Arial" w:hAnsi="Arial"/>
                <w:sz w:val="18"/>
                <w:szCs w:val="18"/>
                <w:color w:val="auto"/>
              </w:rPr>
              <w:t>Americas</w:t>
            </w:r>
          </w:p>
        </w:tc>
        <w:tc>
          <w:tcPr>
            <w:tcW w:w="180" w:type="dxa"/>
            <w:vAlign w:val="bottom"/>
            <w:shd w:val="clear" w:color="auto" w:fill="CFF0FC"/>
          </w:tcPr>
          <w:p>
            <w:pPr>
              <w:spacing w:after="0"/>
              <w:rPr>
                <w:sz w:val="17"/>
                <w:szCs w:val="17"/>
                <w:color w:val="auto"/>
              </w:rPr>
            </w:pPr>
          </w:p>
        </w:tc>
        <w:tc>
          <w:tcPr>
            <w:tcW w:w="15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-399415</wp:posOffset>
            </wp:positionV>
            <wp:extent cx="17145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-399415</wp:posOffset>
            </wp:positionV>
            <wp:extent cx="16256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1714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1714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625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625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$83.3 million.</w:t>
      </w:r>
    </w:p>
    <w:p>
      <w:pPr>
        <w:spacing w:after="0" w:line="123"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Included in the table below are operating lease commitments for leases that have not yet commenced of approximately $2.4 million for facilities with lease terms of approximately two to five years.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lease agreements as of December 31,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3"/>
        </w:trPr>
        <w:tc>
          <w:tcPr>
            <w:tcW w:w="1700" w:type="dxa"/>
            <w:vAlign w:val="bottom"/>
          </w:tcPr>
          <w:p>
            <w:pPr>
              <w:spacing w:after="0"/>
              <w:rPr>
                <w:sz w:val="17"/>
                <w:szCs w:val="17"/>
                <w:color w:val="auto"/>
              </w:rPr>
            </w:pPr>
          </w:p>
        </w:tc>
        <w:tc>
          <w:tcPr>
            <w:tcW w:w="2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41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45,156</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43,908</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41,465</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41,451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41,368</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172,649</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23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39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385,997</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15"/>
        </w:trPr>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60" w:type="dxa"/>
            <w:vAlign w:val="bottom"/>
          </w:tcPr>
          <w:p>
            <w:pPr>
              <w:jc w:val="right"/>
              <w:ind w:right="215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
        </w:trPr>
        <w:tc>
          <w:tcPr>
            <w:tcW w:w="1700" w:type="dxa"/>
            <w:vAlign w:val="bottom"/>
            <w:tcBorders>
              <w:bottom w:val="single" w:sz="8" w:color="9A9A9A"/>
            </w:tcBorders>
          </w:tcPr>
          <w:p>
            <w:pPr>
              <w:spacing w:after="0"/>
              <w:rPr>
                <w:sz w:val="6"/>
                <w:szCs w:val="6"/>
                <w:color w:val="auto"/>
              </w:rPr>
            </w:pPr>
          </w:p>
        </w:tc>
        <w:tc>
          <w:tcPr>
            <w:tcW w:w="2300" w:type="dxa"/>
            <w:vAlign w:val="bottom"/>
            <w:tcBorders>
              <w:bottom w:val="single" w:sz="8" w:color="9A9A9A"/>
            </w:tcBorders>
          </w:tcPr>
          <w:p>
            <w:pPr>
              <w:spacing w:after="0"/>
              <w:rPr>
                <w:sz w:val="6"/>
                <w:szCs w:val="6"/>
                <w:color w:val="auto"/>
              </w:rPr>
            </w:pPr>
          </w:p>
        </w:tc>
        <w:tc>
          <w:tcPr>
            <w:tcW w:w="39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-471170</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ind w:right="400" w:firstLine="554"/>
        <w:spacing w:after="0" w:line="261" w:lineRule="auto"/>
        <w:rPr>
          <w:sz w:val="20"/>
          <w:szCs w:val="20"/>
          <w:color w:val="auto"/>
        </w:rPr>
      </w:pPr>
      <w:r>
        <w:rPr>
          <w:rFonts w:ascii="Arial" w:cs="Arial" w:eastAsia="Arial" w:hAnsi="Arial"/>
          <w:sz w:val="18"/>
          <w:szCs w:val="18"/>
          <w:color w:val="auto"/>
        </w:rPr>
        <w:t>In January 2022, the Company extended a lease for facilities with lease terms of approximately 5 years. The lease commences on or near April 2022 and the Company will pay an aggregate of approximately $3.4 million in incremental rent over the lease term.</w:t>
      </w:r>
    </w:p>
    <w:p>
      <w:pPr>
        <w:spacing w:after="0" w:line="14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Company has entered into certain non-cancelable arrangements (“Vendor Commitments”), which require the future purchase of goods or services. Future minimum payments under all Vendor Commitments as of December 31, 2021, are as follows: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Product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rPr>
              <w:t>INBOUND</w:t>
            </w:r>
          </w:p>
        </w:tc>
        <w:tc>
          <w:tcPr>
            <w:tcW w:w="60" w:type="dxa"/>
            <w:vAlign w:val="bottom"/>
          </w:tcPr>
          <w:p>
            <w:pPr>
              <w:spacing w:after="0"/>
              <w:rPr>
                <w:sz w:val="14"/>
                <w:szCs w:val="14"/>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related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2"/>
              </w:rPr>
              <w:t>event</w:t>
            </w:r>
          </w:p>
        </w:tc>
        <w:tc>
          <w:tcPr>
            <w:tcW w:w="60" w:type="dxa"/>
            <w:vAlign w:val="bottom"/>
          </w:tcPr>
          <w:p>
            <w:pPr>
              <w:spacing w:after="0"/>
              <w:rPr>
                <w:sz w:val="12"/>
                <w:szCs w:val="12"/>
                <w:color w:val="auto"/>
              </w:rPr>
            </w:pPr>
          </w:p>
        </w:tc>
      </w:tr>
      <w:tr>
        <w:trPr>
          <w:trHeight w:val="185"/>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obligations</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8"/>
              </w:rPr>
              <w:t>obligations</w:t>
            </w:r>
          </w:p>
        </w:tc>
        <w:tc>
          <w:tcPr>
            <w:tcW w:w="6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140,219</w:t>
            </w:r>
          </w:p>
        </w:tc>
        <w:tc>
          <w:tcPr>
            <w:tcW w:w="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155,520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60" w:type="dxa"/>
            <w:vAlign w:val="bottom"/>
          </w:tcPr>
          <w:p>
            <w:pPr>
              <w:spacing w:after="0"/>
              <w:rPr>
                <w:sz w:val="17"/>
                <w:szCs w:val="17"/>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176,093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196,123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220,000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187,500</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8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1,075,455</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04" w:lineRule="exact"/>
        <w:rPr>
          <w:sz w:val="20"/>
          <w:szCs w:val="20"/>
          <w:color w:val="auto"/>
        </w:rPr>
      </w:pPr>
    </w:p>
    <w:p>
      <w:pPr>
        <w:ind w:right="320" w:firstLine="509"/>
        <w:spacing w:after="0" w:line="284" w:lineRule="auto"/>
        <w:rPr>
          <w:sz w:val="20"/>
          <w:szCs w:val="20"/>
          <w:color w:val="auto"/>
        </w:rPr>
      </w:pPr>
      <w:r>
        <w:rPr>
          <w:rFonts w:ascii="Arial" w:cs="Arial" w:eastAsia="Arial" w:hAnsi="Arial"/>
          <w:sz w:val="16"/>
          <w:szCs w:val="16"/>
          <w:color w:val="auto"/>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method investment</w:t>
      </w:r>
    </w:p>
    <w:p>
      <w:pPr>
        <w:spacing w:after="0" w:line="108"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During the year ended December 31, 2021, the Company made contributions of $3.1 million in cash to the Black Economic Development Fund (the “Fund”) managed by the Local Initiatives Support Corporation for an aggregate of 5.0% ownership interest and income share in the Fund.</w:t>
      </w:r>
    </w:p>
    <w:p>
      <w:pPr>
        <w:spacing w:after="0" w:line="39" w:lineRule="exact"/>
        <w:rPr>
          <w:sz w:val="20"/>
          <w:szCs w:val="20"/>
          <w:color w:val="auto"/>
        </w:rPr>
      </w:pPr>
    </w:p>
    <w:p>
      <w:pPr>
        <w:ind w:right="420" w:firstLine="509"/>
        <w:spacing w:after="0" w:line="241" w:lineRule="auto"/>
        <w:rPr>
          <w:sz w:val="20"/>
          <w:szCs w:val="20"/>
          <w:color w:val="auto"/>
        </w:rPr>
      </w:pPr>
      <w:r>
        <w:rPr>
          <w:rFonts w:ascii="Arial" w:cs="Arial" w:eastAsia="Arial" w:hAnsi="Arial"/>
          <w:sz w:val="18"/>
          <w:szCs w:val="18"/>
          <w:color w:val="auto"/>
        </w:rPr>
        <w:t>The Company has commitments to contribute additional capital of $9.4 million to the Fund by December 2023. Given the level of ownership interest in the Fund, which is a limited liability company, and the fact that the Fund maintains specific ownership accounts for investors, the Company accounts for this investment using the equity method of accounting. The Fund is included in other assets on the consolidated balance sheets and the Company's share of the Fund’s net earnings and impairment charges on investments are reported in the consolidated statements of operations as other income (expense), net of tax.</w:t>
      </w:r>
    </w:p>
    <w:p>
      <w:pPr>
        <w:spacing w:after="0" w:line="81"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The Company's proportionate share of the Fund's net loss for the year ended December 31, 2021 was recorded as other expense, net of tax, in the consolidated statements of operations. As of December 31, 2021, the carrying amount of the Company’s investment in the Fund was $2.7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Changes in Accumulated Other Comprehensive Loss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years ended December 31, 2021 and 2020:</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79"/>
              <w:spacing w:after="0"/>
              <w:rPr>
                <w:sz w:val="20"/>
                <w:szCs w:val="20"/>
                <w:color w:val="auto"/>
              </w:rPr>
            </w:pPr>
            <w:r>
              <w:rPr>
                <w:rFonts w:ascii="Arial" w:cs="Arial" w:eastAsia="Arial" w:hAnsi="Arial"/>
                <w:sz w:val="15"/>
                <w:szCs w:val="15"/>
                <w:b w:val="1"/>
                <w:bCs w:val="1"/>
                <w:color w:val="auto"/>
              </w:rPr>
              <w:t>Cumulative</w:t>
            </w:r>
          </w:p>
        </w:tc>
        <w:tc>
          <w:tcPr>
            <w:tcW w:w="180" w:type="dxa"/>
            <w:vAlign w:val="bottom"/>
          </w:tcPr>
          <w:p>
            <w:pPr>
              <w:spacing w:after="0"/>
              <w:rPr>
                <w:sz w:val="15"/>
                <w:szCs w:val="15"/>
                <w:color w:val="auto"/>
              </w:rPr>
            </w:pPr>
          </w:p>
        </w:tc>
        <w:tc>
          <w:tcPr>
            <w:tcW w:w="1620" w:type="dxa"/>
            <w:vAlign w:val="bottom"/>
            <w:gridSpan w:val="2"/>
          </w:tcPr>
          <w:p>
            <w:pPr>
              <w:jc w:val="center"/>
              <w:ind w:right="299"/>
              <w:spacing w:after="0"/>
              <w:rPr>
                <w:sz w:val="20"/>
                <w:szCs w:val="20"/>
                <w:color w:val="auto"/>
              </w:rPr>
            </w:pPr>
            <w:r>
              <w:rPr>
                <w:rFonts w:ascii="Arial" w:cs="Arial" w:eastAsia="Arial" w:hAnsi="Arial"/>
                <w:sz w:val="15"/>
                <w:szCs w:val="15"/>
                <w:b w:val="1"/>
                <w:bCs w:val="1"/>
                <w:color w:val="auto"/>
                <w:w w:val="95"/>
              </w:rPr>
              <w:t>Unrealized Gain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379"/>
              <w:spacing w:after="0" w:line="149" w:lineRule="exact"/>
              <w:rPr>
                <w:sz w:val="20"/>
                <w:szCs w:val="20"/>
                <w:color w:val="auto"/>
              </w:rPr>
            </w:pPr>
            <w:r>
              <w:rPr>
                <w:rFonts w:ascii="Arial" w:cs="Arial" w:eastAsia="Arial" w:hAnsi="Arial"/>
                <w:sz w:val="15"/>
                <w:szCs w:val="15"/>
                <w:b w:val="1"/>
                <w:bCs w:val="1"/>
                <w:color w:val="auto"/>
              </w:rPr>
              <w:t>Translation</w:t>
            </w:r>
          </w:p>
        </w:tc>
        <w:tc>
          <w:tcPr>
            <w:tcW w:w="180" w:type="dxa"/>
            <w:vAlign w:val="bottom"/>
          </w:tcPr>
          <w:p>
            <w:pPr>
              <w:spacing w:after="0"/>
              <w:rPr>
                <w:sz w:val="12"/>
                <w:szCs w:val="12"/>
                <w:color w:val="auto"/>
              </w:rPr>
            </w:pPr>
          </w:p>
        </w:tc>
        <w:tc>
          <w:tcPr>
            <w:tcW w:w="1620" w:type="dxa"/>
            <w:vAlign w:val="bottom"/>
            <w:gridSpan w:val="2"/>
          </w:tcPr>
          <w:p>
            <w:pPr>
              <w:jc w:val="center"/>
              <w:ind w:right="299"/>
              <w:spacing w:after="0" w:line="149" w:lineRule="exact"/>
              <w:rPr>
                <w:sz w:val="20"/>
                <w:szCs w:val="20"/>
                <w:color w:val="auto"/>
              </w:rPr>
            </w:pPr>
            <w:r>
              <w:rPr>
                <w:rFonts w:ascii="Arial" w:cs="Arial" w:eastAsia="Arial" w:hAnsi="Arial"/>
                <w:sz w:val="15"/>
                <w:szCs w:val="15"/>
                <w:b w:val="1"/>
                <w:bCs w:val="1"/>
                <w:color w:val="auto"/>
                <w:w w:val="88"/>
              </w:rPr>
              <w:t>(Loss) on</w:t>
            </w:r>
          </w:p>
        </w:tc>
        <w:tc>
          <w:tcPr>
            <w:tcW w:w="260" w:type="dxa"/>
            <w:vAlign w:val="bottom"/>
          </w:tcPr>
          <w:p>
            <w:pPr>
              <w:spacing w:after="0"/>
              <w:rPr>
                <w:sz w:val="12"/>
                <w:szCs w:val="12"/>
                <w:color w:val="auto"/>
              </w:rPr>
            </w:pPr>
          </w:p>
        </w:tc>
        <w:tc>
          <w:tcPr>
            <w:tcW w:w="1020" w:type="dxa"/>
            <w:vAlign w:val="bottom"/>
            <w:gridSpan w:val="2"/>
            <w:vMerge w:val="restart"/>
          </w:tcPr>
          <w:p>
            <w:pPr>
              <w:jc w:val="right"/>
              <w:ind w:right="4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79"/>
              <w:spacing w:after="0"/>
              <w:rPr>
                <w:sz w:val="20"/>
                <w:szCs w:val="20"/>
                <w:color w:val="auto"/>
              </w:rPr>
            </w:pPr>
            <w:r>
              <w:rPr>
                <w:rFonts w:ascii="Arial" w:cs="Arial" w:eastAsia="Arial" w:hAnsi="Arial"/>
                <w:sz w:val="15"/>
                <w:szCs w:val="15"/>
                <w:b w:val="1"/>
                <w:bCs w:val="1"/>
                <w:color w:val="auto"/>
                <w:w w:val="99"/>
              </w:rPr>
              <w:t>Adjustment</w:t>
            </w:r>
          </w:p>
        </w:tc>
        <w:tc>
          <w:tcPr>
            <w:tcW w:w="180" w:type="dxa"/>
            <w:vAlign w:val="bottom"/>
          </w:tcPr>
          <w:p>
            <w:pPr>
              <w:spacing w:after="0"/>
              <w:rPr>
                <w:sz w:val="16"/>
                <w:szCs w:val="16"/>
                <w:color w:val="auto"/>
              </w:rPr>
            </w:pPr>
          </w:p>
        </w:tc>
        <w:tc>
          <w:tcPr>
            <w:tcW w:w="1620" w:type="dxa"/>
            <w:vAlign w:val="bottom"/>
            <w:gridSpan w:val="2"/>
          </w:tcPr>
          <w:p>
            <w:pPr>
              <w:jc w:val="center"/>
              <w:ind w:right="279"/>
              <w:spacing w:after="0"/>
              <w:rPr>
                <w:sz w:val="20"/>
                <w:szCs w:val="20"/>
                <w:color w:val="auto"/>
              </w:rPr>
            </w:pPr>
            <w:r>
              <w:rPr>
                <w:rFonts w:ascii="Arial" w:cs="Arial" w:eastAsia="Arial" w:hAnsi="Arial"/>
                <w:sz w:val="15"/>
                <w:szCs w:val="15"/>
                <w:b w:val="1"/>
                <w:bCs w:val="1"/>
                <w:color w:val="auto"/>
                <w:w w:val="89"/>
              </w:rPr>
              <w:t>Investments</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60"/>
              <w:spacing w:after="0" w:line="183" w:lineRule="exact"/>
              <w:rPr>
                <w:sz w:val="20"/>
                <w:szCs w:val="20"/>
                <w:color w:val="auto"/>
              </w:rPr>
            </w:pPr>
            <w:r>
              <w:rPr>
                <w:rFonts w:ascii="Arial" w:cs="Arial" w:eastAsia="Arial" w:hAnsi="Arial"/>
                <w:sz w:val="16"/>
                <w:szCs w:val="16"/>
                <w:b w:val="1"/>
                <w:bCs w:val="1"/>
                <w:color w:val="auto"/>
                <w:w w:val="96"/>
              </w:rPr>
              <w:t>(in thousands)</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 at January 1, 2020</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(610 )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(336 )</w:t>
            </w: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rPr>
                <w:sz w:val="20"/>
                <w:szCs w:val="20"/>
                <w:color w:val="auto"/>
              </w:rPr>
            </w:pPr>
            <w:r>
              <w:rPr>
                <w:rFonts w:ascii="Arial" w:cs="Arial" w:eastAsia="Arial" w:hAnsi="Arial"/>
                <w:sz w:val="16"/>
                <w:szCs w:val="16"/>
                <w:color w:val="auto"/>
              </w:rPr>
              <w:t>Other comprehensive income before reclassifications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Amounts reclassified from accumulated other comprehensive loss</w:t>
            </w:r>
          </w:p>
        </w:tc>
        <w:tc>
          <w:tcPr>
            <w:tcW w:w="1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5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Ending balance at December 31, 2020</w:t>
            </w: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4,180</w:t>
            </w: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423</w:t>
            </w:r>
          </w:p>
        </w:tc>
        <w:tc>
          <w:tcPr>
            <w:tcW w:w="2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4,603</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comprehensive loss before reclassifications</w:t>
            </w:r>
          </w:p>
        </w:tc>
        <w:tc>
          <w:tcPr>
            <w:tcW w:w="1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(4,712 )</w:t>
            </w:r>
          </w:p>
        </w:tc>
        <w:tc>
          <w:tcPr>
            <w:tcW w:w="1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(1,230 )</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(5,942 )</w:t>
            </w: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 comprehensive loss</w:t>
            </w:r>
          </w:p>
        </w:tc>
        <w:tc>
          <w:tcPr>
            <w:tcW w:w="180" w:type="dxa"/>
            <w:vAlign w:val="bottom"/>
          </w:tcPr>
          <w:p>
            <w:pPr>
              <w:spacing w:after="0"/>
              <w:rPr>
                <w:sz w:val="16"/>
                <w:szCs w:val="16"/>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Ending balance at December 31, 2021</w:t>
            </w:r>
          </w:p>
        </w:tc>
        <w:tc>
          <w:tcPr>
            <w:tcW w:w="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(532</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(807</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(1,339</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-519430</wp:posOffset>
            </wp:positionV>
            <wp:extent cx="5969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-519430</wp:posOffset>
            </wp:positionV>
            <wp:extent cx="51435"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-519430</wp:posOffset>
            </wp:positionV>
            <wp:extent cx="5143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96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514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14. Stockholders’ Equity and Stock-Based Compensation</w:t>
      </w:r>
    </w:p>
    <w:p>
      <w:pPr>
        <w:spacing w:after="0" w:line="104" w:lineRule="exact"/>
        <w:rPr>
          <w:sz w:val="20"/>
          <w:szCs w:val="20"/>
          <w:color w:val="auto"/>
        </w:rPr>
      </w:pPr>
    </w:p>
    <w:p>
      <w:pPr>
        <w:ind w:right="20" w:firstLine="509"/>
        <w:spacing w:after="0" w:line="329" w:lineRule="auto"/>
        <w:rPr>
          <w:sz w:val="20"/>
          <w:szCs w:val="20"/>
          <w:color w:val="auto"/>
        </w:rPr>
      </w:pPr>
      <w:r>
        <w:rPr>
          <w:rFonts w:ascii="Arial" w:cs="Arial" w:eastAsia="Arial" w:hAnsi="Arial"/>
          <w:sz w:val="16"/>
          <w:szCs w:val="16"/>
          <w:b w:val="1"/>
          <w:bCs w:val="1"/>
          <w:color w:val="auto"/>
        </w:rPr>
        <w:t xml:space="preserve">Common Stock Reserved </w:t>
      </w:r>
      <w:r>
        <w:rPr>
          <w:rFonts w:ascii="Arial" w:cs="Arial" w:eastAsia="Arial" w:hAnsi="Arial"/>
          <w:sz w:val="16"/>
          <w:szCs w:val="16"/>
          <w:color w:val="auto"/>
        </w:rPr>
        <w:t>— As of December 31, 2021 and 2020, the Company has authorized 500 million shares of common stock.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reserved for the vesting of restricted stock units (“RSUs”), and exercise of common stock options are as follows (in thousands):</w:t>
      </w:r>
    </w:p>
    <w:p>
      <w:pPr>
        <w:spacing w:after="0" w:line="10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720" w:type="dxa"/>
            <w:vAlign w:val="bottom"/>
          </w:tcPr>
          <w:p>
            <w:pPr>
              <w:jc w:val="right"/>
              <w:ind w:right="35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5"/>
        </w:trPr>
        <w:tc>
          <w:tcPr>
            <w:tcW w:w="4100" w:type="dxa"/>
            <w:vAlign w:val="bottom"/>
          </w:tcPr>
          <w:p>
            <w:pPr>
              <w:spacing w:after="0"/>
              <w:rPr>
                <w:sz w:val="16"/>
                <w:szCs w:val="16"/>
                <w:color w:val="auto"/>
              </w:rPr>
            </w:pPr>
          </w:p>
        </w:tc>
        <w:tc>
          <w:tcPr>
            <w:tcW w:w="1760" w:type="dxa"/>
            <w:vAlign w:val="bottom"/>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9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4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1,239</w:t>
            </w:r>
          </w:p>
        </w:tc>
        <w:tc>
          <w:tcPr>
            <w:tcW w:w="20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w:t>
            </w:r>
          </w:p>
        </w:tc>
        <w:tc>
          <w:tcPr>
            <w:tcW w:w="80" w:type="dxa"/>
            <w:vAlign w:val="bottom"/>
            <w:shd w:val="clear" w:color="auto" w:fill="CFF0FC"/>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584</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1,020</w:t>
            </w:r>
          </w:p>
        </w:tc>
        <w:tc>
          <w:tcPr>
            <w:tcW w:w="80" w:type="dxa"/>
            <w:vAlign w:val="bottom"/>
          </w:tcPr>
          <w:p>
            <w:pPr>
              <w:spacing w:after="0"/>
              <w:rPr>
                <w:sz w:val="17"/>
                <w:szCs w:val="17"/>
                <w:color w:val="auto"/>
              </w:rPr>
            </w:pPr>
          </w:p>
        </w:tc>
      </w:tr>
      <w:tr>
        <w:trPr>
          <w:trHeight w:val="236"/>
        </w:trPr>
        <w:tc>
          <w:tcPr>
            <w:tcW w:w="410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1,823</w:t>
            </w:r>
          </w:p>
        </w:tc>
        <w:tc>
          <w:tcPr>
            <w:tcW w:w="20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shares reserved for issuance for the Conversion Options, Warrants and Capped Call Options of the Notes, see Note 9.</w:t>
      </w:r>
    </w:p>
    <w:p>
      <w:pPr>
        <w:spacing w:after="0" w:line="23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—The Company’s 2007 Equity Incentive Plan (the “2007 Plan”) was terminated in connection with the IPO,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no shares are available for issuance under the 2007 Plan. The 2007 Plan will continue to govern outstanding awards granted thereunder, the 2007 Plan provided for the grant of qualified incentive stock options and nonqualified stock options or other awards such as RSUs to the Company’s employees, officers, directors and outside consultants. The term of each option is fixed by the Company’s compensation committee and may not exceed 10 years from the date of grant. As of December 31, 2021, 165 thousand options to purchase common stock and no RSUs remained outstanding under the 2007 Plan.</w:t>
      </w:r>
    </w:p>
    <w:p>
      <w:pPr>
        <w:spacing w:after="0" w:line="188"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On September 25, 2014, the Company’s board of directors adopted and the Company’s stockholders approved the 2014 Stock Option and Incentive Plan (the “2014 Plan”). The 2014 Plan became effective upon the closing of the Company’s IPO in the fourth quarter of 2014. The Company initially reserved 1,973,551 shares of its common stock, or the Initial Limit, for the issuance of awards under the 2014 Plan. The 2014 Plan provides that the number of shares reserved and available for issuance under the plan automatically increases each January 1, by 5% of the outstanding number of shares of the Company’s common stock on the immediately preceding December 31 or such lesser number of shares as determined by the compensation committee. This number is subject to adjustment in the event of a stock split, stock dividend or other change in the Company’s capitalization. The term of each option is fixed by the Company’s compensation committee and may not exceed 10 years from the date of grant. As of December 31, 2021, 419 thousand options to purchase common stock and 1.2 million RSUs remained outstanding under the 2014 Plan.</w:t>
      </w:r>
    </w:p>
    <w:p>
      <w:pPr>
        <w:spacing w:after="0" w:line="164" w:lineRule="exact"/>
        <w:rPr>
          <w:sz w:val="20"/>
          <w:szCs w:val="20"/>
          <w:color w:val="auto"/>
        </w:rPr>
      </w:pPr>
    </w:p>
    <w:p>
      <w:pPr>
        <w:ind w:right="380" w:firstLine="509"/>
        <w:spacing w:after="0" w:line="266" w:lineRule="auto"/>
        <w:rPr>
          <w:sz w:val="20"/>
          <w:szCs w:val="20"/>
          <w:color w:val="auto"/>
        </w:rPr>
      </w:pPr>
      <w:r>
        <w:rPr>
          <w:rFonts w:ascii="Arial" w:cs="Arial" w:eastAsia="Arial" w:hAnsi="Arial"/>
          <w:sz w:val="18"/>
          <w:szCs w:val="18"/>
          <w:b w:val="1"/>
          <w:bCs w:val="1"/>
          <w:color w:val="auto"/>
        </w:rPr>
        <w:t xml:space="preserve">Stock Compensation Expense </w:t>
      </w:r>
      <w:r>
        <w:rPr>
          <w:rFonts w:ascii="Arial" w:cs="Arial" w:eastAsia="Arial" w:hAnsi="Arial"/>
          <w:sz w:val="18"/>
          <w:szCs w:val="18"/>
          <w:color w:val="auto"/>
        </w:rPr>
        <w:t>—The Company’s equity compensation expense is comprised of awards of options to purchase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RSUs, and stock issued under the Company’s employee stock purchase plan (“ESPP”).</w:t>
      </w:r>
    </w:p>
    <w:p>
      <w:pPr>
        <w:spacing w:after="0" w:line="16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consolidated statements of operations: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in 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6,253</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6,377</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5,078</w:t>
            </w:r>
          </w:p>
        </w:tc>
        <w:tc>
          <w:tcPr>
            <w:tcW w:w="6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ESPP</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9,123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6,850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4,866</w:t>
            </w:r>
          </w:p>
        </w:tc>
        <w:tc>
          <w:tcPr>
            <w:tcW w:w="60" w:type="dxa"/>
            <w:vAlign w:val="bottom"/>
          </w:tcPr>
          <w:p>
            <w:pPr>
              <w:spacing w:after="0"/>
              <w:rPr>
                <w:sz w:val="17"/>
                <w:szCs w:val="17"/>
                <w:color w:val="auto"/>
              </w:rPr>
            </w:pPr>
          </w:p>
        </w:tc>
      </w:tr>
      <w:tr>
        <w:trPr>
          <w:trHeight w:val="203"/>
        </w:trPr>
        <w:tc>
          <w:tcPr>
            <w:tcW w:w="5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RSUs</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151,385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108,261</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87,810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ind w:left="280"/>
              <w:spacing w:after="0" w:line="182" w:lineRule="exact"/>
              <w:rPr>
                <w:sz w:val="20"/>
                <w:szCs w:val="20"/>
                <w:color w:val="auto"/>
              </w:rPr>
            </w:pPr>
            <w:r>
              <w:rPr>
                <w:rFonts w:ascii="Arial" w:cs="Arial" w:eastAsia="Arial" w:hAnsi="Arial"/>
                <w:sz w:val="18"/>
                <w:szCs w:val="18"/>
                <w:color w:val="auto"/>
              </w:rPr>
              <w:t>Total stock-based compensation</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166,761</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121,488</w:t>
            </w:r>
          </w:p>
        </w:tc>
        <w:tc>
          <w:tcPr>
            <w:tcW w:w="4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97,754</w:t>
            </w:r>
          </w:p>
        </w:tc>
        <w:tc>
          <w:tcPr>
            <w:tcW w:w="6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r>
      <w:tr>
        <w:trPr>
          <w:trHeight w:val="169"/>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 subscription</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6,297</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4,408</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3,127</w:t>
            </w:r>
          </w:p>
        </w:tc>
        <w:tc>
          <w:tcPr>
            <w:tcW w:w="6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Cost of revenue, service</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2,536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2,829</w:t>
            </w:r>
          </w:p>
        </w:tc>
        <w:tc>
          <w:tcPr>
            <w:tcW w:w="60" w:type="dxa"/>
            <w:vAlign w:val="bottom"/>
          </w:tcPr>
          <w:p>
            <w:pPr>
              <w:spacing w:after="0"/>
              <w:rPr>
                <w:sz w:val="17"/>
                <w:szCs w:val="17"/>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61,614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39,366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33,748</w:t>
            </w:r>
          </w:p>
        </w:tc>
        <w:tc>
          <w:tcPr>
            <w:tcW w:w="6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50,552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36,599</w:t>
            </w:r>
          </w:p>
        </w:tc>
        <w:tc>
          <w:tcPr>
            <w:tcW w:w="60" w:type="dxa"/>
            <w:vAlign w:val="bottom"/>
          </w:tcPr>
          <w:p>
            <w:pPr>
              <w:spacing w:after="0"/>
              <w:rPr>
                <w:sz w:val="17"/>
                <w:szCs w:val="17"/>
                <w:color w:val="auto"/>
              </w:rPr>
            </w:pPr>
          </w:p>
        </w:tc>
      </w:tr>
      <w:tr>
        <w:trPr>
          <w:trHeight w:val="203"/>
        </w:trPr>
        <w:tc>
          <w:tcPr>
            <w:tcW w:w="5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28,345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24,626</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21,451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ind w:left="280"/>
              <w:spacing w:after="0" w:line="182" w:lineRule="exact"/>
              <w:rPr>
                <w:sz w:val="20"/>
                <w:szCs w:val="20"/>
                <w:color w:val="auto"/>
              </w:rPr>
            </w:pPr>
            <w:r>
              <w:rPr>
                <w:rFonts w:ascii="Arial" w:cs="Arial" w:eastAsia="Arial" w:hAnsi="Arial"/>
                <w:sz w:val="18"/>
                <w:szCs w:val="18"/>
                <w:color w:val="auto"/>
              </w:rPr>
              <w:t>Total stock-based compensation</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166,761</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121,488</w:t>
            </w:r>
          </w:p>
        </w:tc>
        <w:tc>
          <w:tcPr>
            <w:tcW w:w="4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97,754</w:t>
            </w:r>
          </w:p>
        </w:tc>
        <w:tc>
          <w:tcPr>
            <w:tcW w:w="6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-1325245</wp:posOffset>
            </wp:positionV>
            <wp:extent cx="5143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-1325245</wp:posOffset>
            </wp:positionV>
            <wp:extent cx="4318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-1325245</wp:posOffset>
            </wp:positionV>
            <wp:extent cx="4318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-159385</wp:posOffset>
            </wp:positionV>
            <wp:extent cx="5143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-159385</wp:posOffset>
            </wp:positionV>
            <wp:extent cx="4318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Excluded from stock-based compensation expense is $6.0 million of capitalized software development costs in 2021, $3.6 million in 2020, and $2.4 million in 2019.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90" w:name="page91"/>
    <w:bookmarkEnd w:id="90"/>
    <w:p>
      <w:pPr>
        <w:ind w:right="180" w:firstLine="509"/>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fair value of employee options is estimated on the date of each grant using the Black-Scholes option-pricing model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assumptions: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68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5"/>
              </w:rPr>
              <w:t>Year Ended December 31,</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vMerge w:val="restart"/>
          </w:tcPr>
          <w:p>
            <w:pPr>
              <w:spacing w:after="0"/>
              <w:rPr>
                <w:sz w:val="20"/>
                <w:szCs w:val="20"/>
                <w:color w:val="auto"/>
              </w:rPr>
            </w:pPr>
            <w:r>
              <w:rPr>
                <w:rFonts w:ascii="Arial" w:cs="Arial" w:eastAsia="Arial" w:hAnsi="Arial"/>
                <w:sz w:val="18"/>
                <w:szCs w:val="18"/>
                <w:color w:val="auto"/>
              </w:rPr>
              <w:t>Risk-free interest rate (%)</w:t>
            </w:r>
          </w:p>
        </w:tc>
        <w:tc>
          <w:tcPr>
            <w:tcW w:w="11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3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0.53-1.36</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0.47-1.66</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1.95-2.55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(years)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5.2-6.4</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5.50-6.24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5.50-6.02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Volatility (%)</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42.97-44.70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38.15-40.63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7"/>
              </w:rPr>
              <w:t>39.46-41.41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dividends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was $221.86 per share in 2021, $70.98 per share in 2020, and $69.44 per share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96" w:lineRule="exact"/>
        <w:rPr>
          <w:sz w:val="20"/>
          <w:szCs w:val="20"/>
          <w:color w:val="auto"/>
        </w:rPr>
      </w:pPr>
    </w:p>
    <w:p>
      <w:pPr>
        <w:ind w:right="320" w:firstLine="509"/>
        <w:spacing w:after="0" w:line="276" w:lineRule="auto"/>
        <w:rPr>
          <w:sz w:val="20"/>
          <w:szCs w:val="20"/>
          <w:color w:val="auto"/>
        </w:rPr>
      </w:pPr>
      <w:r>
        <w:rPr>
          <w:rFonts w:ascii="Arial" w:cs="Arial" w:eastAsia="Arial" w:hAnsi="Arial"/>
          <w:sz w:val="16"/>
          <w:szCs w:val="16"/>
          <w:color w:val="auto"/>
        </w:rPr>
        <w:t>The interest rate was based on the U.S. Treasury bond rate at the date of grant with a maturity approximately equal to the expected term. The expected term of options granted to employees was calculated using the simplified method, which represents the average of the contractual term of the option and the weighted-average vesting period of the option. The expected volatility for the Company’s common stock was based on an average of the historical volatility of a peer group of similar public companies. The assumed dividend yield is based upon the Company’s expectation of not paying dividends in the foreseeable future. Forfeitures of share-based awards prior to vesting results in a reversal of previously recorded stock-compensation expense associated with such forfeited awards. The fair value of the Company’s common stock is the closing price of the stock on the date of grant.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option activity for the year ended December 31, 2021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 (in</w:t>
            </w:r>
          </w:p>
        </w:tc>
        <w:tc>
          <w:tcPr>
            <w:tcW w:w="16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Outstanding—January 1, 2021</w:t>
            </w:r>
          </w:p>
        </w:tc>
        <w:tc>
          <w:tcPr>
            <w:tcW w:w="58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57.98</w:t>
            </w:r>
          </w:p>
        </w:tc>
        <w:tc>
          <w:tcPr>
            <w:tcW w:w="2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345,144</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480.08</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88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(457 )</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35.57</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Forfeited/expired</w:t>
            </w:r>
          </w:p>
        </w:tc>
        <w:tc>
          <w:tcPr>
            <w:tcW w:w="18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(42 )</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174.03</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Outstanding—December 31, 2021</w:t>
            </w:r>
          </w:p>
        </w:tc>
        <w:tc>
          <w:tcPr>
            <w:tcW w:w="5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584</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112.82</w:t>
            </w:r>
          </w:p>
        </w:tc>
        <w:tc>
          <w:tcPr>
            <w:tcW w:w="12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320,882</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520" w:type="dxa"/>
            <w:vAlign w:val="bottom"/>
          </w:tcPr>
          <w:p>
            <w:pPr>
              <w:spacing w:after="0" w:line="183" w:lineRule="exact"/>
              <w:rPr>
                <w:sz w:val="20"/>
                <w:szCs w:val="20"/>
                <w:color w:val="auto"/>
              </w:rPr>
            </w:pPr>
            <w:r>
              <w:rPr>
                <w:rFonts w:ascii="Arial" w:cs="Arial" w:eastAsia="Arial" w:hAnsi="Arial"/>
                <w:sz w:val="18"/>
                <w:szCs w:val="18"/>
                <w:color w:val="auto"/>
                <w:w w:val="99"/>
              </w:rPr>
              <w:t>Options vested or expected to vest—December 31, 2021</w:t>
            </w:r>
          </w:p>
        </w:tc>
        <w:tc>
          <w:tcPr>
            <w:tcW w:w="16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584</w:t>
            </w:r>
          </w:p>
        </w:tc>
        <w:tc>
          <w:tcPr>
            <w:tcW w:w="22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112.82</w:t>
            </w:r>
          </w:p>
        </w:tc>
        <w:tc>
          <w:tcPr>
            <w:tcW w:w="12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4.7</w:t>
            </w: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320,882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 exercisable—December 31, 2021</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60.17</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274,155</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60" w:type="dxa"/>
            <w:vAlign w:val="bottom"/>
            <w:gridSpan w:val="2"/>
          </w:tcPr>
          <w:p>
            <w:pPr>
              <w:jc w:val="right"/>
              <w:ind w:right="959"/>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-762635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-745490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1" w:name="page92"/>
    <w:bookmarkEnd w:id="91"/>
    <w:p>
      <w:pPr>
        <w:ind w:right="660" w:firstLine="509"/>
        <w:spacing w:after="0" w:line="261" w:lineRule="auto"/>
        <w:rPr>
          <w:sz w:val="20"/>
          <w:szCs w:val="20"/>
          <w:color w:val="auto"/>
        </w:rPr>
      </w:pPr>
      <w:r>
        <w:rPr>
          <w:rFonts w:ascii="Arial" w:cs="Arial" w:eastAsia="Arial" w:hAnsi="Arial"/>
          <w:sz w:val="18"/>
          <w:szCs w:val="18"/>
          <w:color w:val="auto"/>
        </w:rPr>
        <w:t>Total unrecognized compensation cost related to the nonvested options was $14.7 million at December 31, 2021. That cost is expected to be recognized over a weighted-average period of 3.0 years as of December 31, 2021.</w:t>
      </w:r>
    </w:p>
    <w:p>
      <w:pPr>
        <w:spacing w:after="0" w:line="16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—RSUs vest upon achievement of a service condition. The service condition is a time-based condition met over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four years, with 25% met after one year, and then in equal monthly or quarterly installments over the succeeding three years, or over a period of four years, with equal quarterly installments over those four years. As soon as practicable following each vesting date, the Company will issue to the holder of the RSUs the number of shares of common stock equal to the aggregate number of RSUs that have vested. Notwithstanding the foregoing, the Company may, in its sole discretion, in lieu of issuing shares of common stock to the holder of the RSUs, pay the holder an amount in cash equal to the fair market value of such shares of common stock. The total stock-based compensation expense expected to be recorded over the remaining life of outstanding RSUs is approximately $351.0 million at December 31, 2021. That cost is expected to be recognized over a weighted-average period of 2.9 years. As of December 31, 2021, there are 1.2 million RSUs expected to vest with an aggregate intrinsic value of $816.0 million. The total fair value of RSUs vested was approximately $134.5 million in 2021, $101.2 million in 2020, and $85.2 million in 2019.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for the year ended December 31, 2021:</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RSUs Outstanding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jc w:val="center"/>
              <w:ind w:right="239"/>
              <w:spacing w:after="0" w:line="133" w:lineRule="exact"/>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5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4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44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and outstanding at January 1, 2021</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153.91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513.94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(773 )</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174.01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Canceled</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(181 )</w:t>
            </w:r>
          </w:p>
        </w:tc>
        <w:tc>
          <w:tcPr>
            <w:tcW w:w="3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206.81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and outstanding at December 31, 2021</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317.48</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b w:val="1"/>
          <w:bCs w:val="1"/>
          <w:color w:val="auto"/>
        </w:rPr>
        <w:t>Employee Stock Purchase Plan (“ESPP”)</w:t>
      </w:r>
      <w:r>
        <w:rPr>
          <w:rFonts w:ascii="Arial" w:cs="Arial" w:eastAsia="Arial" w:hAnsi="Arial"/>
          <w:sz w:val="16"/>
          <w:szCs w:val="16"/>
          <w:color w:val="auto"/>
        </w:rPr>
        <w:t>— The ESPP authorizes the issuance of up to a total of 2,389,445 shares of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employees and allows eligible employees to purchase shares of common stock at a 15% discount from the fair market value of the stock as determined on specific dates at six-month intervals. The offering periods for the ESPP commence on June 1 and December 1 of each year.</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employee options is estimated using the Black-Scholes option-pricing model with the following assumptions: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1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 (%)</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0.04-0.10</w:t>
            </w:r>
          </w:p>
        </w:tc>
        <w:tc>
          <w:tcPr>
            <w:tcW w:w="18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0.14-1.60</w:t>
            </w:r>
          </w:p>
        </w:tc>
        <w:tc>
          <w:tcPr>
            <w:tcW w:w="12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w:t>
            </w:r>
          </w:p>
        </w:tc>
        <w:tc>
          <w:tcPr>
            <w:tcW w:w="6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Expected term (years)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0.50</w:t>
            </w: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6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Volatility (%)</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42.73-45.67</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34.75-67.22</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41.32-45.07</w:t>
            </w:r>
          </w:p>
        </w:tc>
        <w:tc>
          <w:tcPr>
            <w:tcW w:w="60" w:type="dxa"/>
            <w:vAlign w:val="bottom"/>
            <w:shd w:val="clear" w:color="auto" w:fill="CFF0FC"/>
          </w:tcPr>
          <w:p>
            <w:pPr>
              <w:spacing w:after="0"/>
              <w:rPr>
                <w:sz w:val="17"/>
                <w:szCs w:val="17"/>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7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The interest rate was based on the U.S. Treasury bond rate at the date of grant with a maturity approximately equal to the expected term. The expected term is based on the offering period. The expected volatility for the Company’s common stock was based on an average of the historical volatility of a peer group of similar public companies. The assumed dividend yield is based upon the Company’s expectation of not paying dividends in the foreseeable future. The fair value of the Company’s common stock is the closing price of the stock on the date the offering period starts.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ESPP: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2"/>
              </w:rPr>
              <w:t>Shares Issued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Total Cash</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5"/>
              </w:rPr>
              <w:t>Proceeds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Purchase Price</w:t>
            </w: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shd w:val="clear" w:color="auto" w:fill="CFF0FC"/>
          </w:tcPr>
          <w:p>
            <w:pPr>
              <w:jc w:val="right"/>
              <w:ind w:right="3410"/>
              <w:spacing w:after="0" w:line="196" w:lineRule="exact"/>
              <w:rPr>
                <w:sz w:val="20"/>
                <w:szCs w:val="20"/>
                <w:color w:val="auto"/>
              </w:rPr>
            </w:pPr>
            <w:r>
              <w:rPr>
                <w:rFonts w:ascii="Arial" w:cs="Arial" w:eastAsia="Arial" w:hAnsi="Arial"/>
                <w:sz w:val="18"/>
                <w:szCs w:val="18"/>
                <w:color w:val="auto"/>
              </w:rPr>
              <w:t>2021</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372.50</w:t>
            </w: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28,667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jc w:val="right"/>
              <w:ind w:right="3410"/>
              <w:spacing w:after="0" w:line="202" w:lineRule="exact"/>
              <w:rPr>
                <w:sz w:val="20"/>
                <w:szCs w:val="20"/>
                <w:color w:val="auto"/>
              </w:rPr>
            </w:pPr>
            <w:r>
              <w:rPr>
                <w:rFonts w:ascii="Arial" w:cs="Arial" w:eastAsia="Arial" w:hAnsi="Arial"/>
                <w:sz w:val="18"/>
                <w:szCs w:val="18"/>
                <w:color w:val="auto"/>
              </w:rPr>
              <w:t>2020</w:t>
            </w:r>
          </w:p>
        </w:tc>
        <w:tc>
          <w:tcPr>
            <w:tcW w:w="12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86"/>
              </w:rPr>
              <w:t>132</w:t>
            </w:r>
          </w:p>
        </w:tc>
        <w:tc>
          <w:tcPr>
            <w:tcW w:w="3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149.23</w:t>
            </w:r>
          </w:p>
        </w:tc>
        <w:tc>
          <w:tcPr>
            <w:tcW w:w="3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19,653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jc w:val="right"/>
              <w:ind w:right="3410"/>
              <w:spacing w:after="0" w:line="202" w:lineRule="exact"/>
              <w:rPr>
                <w:sz w:val="20"/>
                <w:szCs w:val="20"/>
                <w:color w:val="auto"/>
              </w:rPr>
            </w:pPr>
            <w:r>
              <w:rPr>
                <w:rFonts w:ascii="Arial" w:cs="Arial" w:eastAsia="Arial" w:hAnsi="Arial"/>
                <w:sz w:val="18"/>
                <w:szCs w:val="18"/>
                <w:color w:val="auto"/>
              </w:rPr>
              <w:t>2019</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116</w:t>
            </w:r>
          </w:p>
        </w:tc>
        <w:tc>
          <w:tcPr>
            <w:tcW w:w="360" w:type="dxa"/>
            <w:vAlign w:val="bottom"/>
            <w:gridSpan w:val="2"/>
            <w:shd w:val="clear" w:color="auto" w:fill="CFF0FC"/>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123.69</w:t>
            </w: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14,383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1140" w:type="dxa"/>
            <w:vAlign w:val="bottom"/>
          </w:tcPr>
          <w:p>
            <w:pPr>
              <w:spacing w:after="0"/>
              <w:rPr>
                <w:sz w:val="24"/>
                <w:szCs w:val="24"/>
                <w:color w:val="auto"/>
              </w:rPr>
            </w:pPr>
          </w:p>
        </w:tc>
        <w:tc>
          <w:tcPr>
            <w:tcW w:w="5280" w:type="dxa"/>
            <w:vAlign w:val="bottom"/>
            <w:gridSpan w:val="2"/>
          </w:tcPr>
          <w:p>
            <w:pPr>
              <w:ind w:left="440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15.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provision for income taxes was as follows: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jc w:val="center"/>
              <w:ind w:left="754"/>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4"/>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(89,000 )</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(96,555 )</w:t>
            </w:r>
          </w:p>
        </w:tc>
        <w:tc>
          <w:tcPr>
            <w:tcW w:w="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(63,200 )</w:t>
            </w:r>
          </w:p>
        </w:tc>
      </w:tr>
      <w:tr>
        <w:trPr>
          <w:trHeight w:val="203"/>
        </w:trPr>
        <w:tc>
          <w:tcPr>
            <w:tcW w:w="6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12,427</w:t>
            </w:r>
          </w:p>
        </w:tc>
        <w:tc>
          <w:tcPr>
            <w:tcW w:w="100" w:type="dxa"/>
            <w:vAlign w:val="bottom"/>
          </w:tcPr>
          <w:p>
            <w:pPr>
              <w:spacing w:after="0"/>
              <w:rPr>
                <w:sz w:val="17"/>
                <w:szCs w:val="17"/>
                <w:color w:val="auto"/>
              </w:rPr>
            </w:pPr>
          </w:p>
        </w:tc>
      </w:tr>
      <w:tr>
        <w:trPr>
          <w:trHeight w:val="236"/>
        </w:trPr>
        <w:tc>
          <w:tcPr>
            <w:tcW w:w="620" w:type="dxa"/>
            <w:vAlign w:val="bottom"/>
          </w:tcPr>
          <w:p>
            <w:pPr>
              <w:spacing w:after="0"/>
              <w:rPr>
                <w:sz w:val="20"/>
                <w:szCs w:val="20"/>
                <w:color w:val="auto"/>
              </w:rPr>
            </w:pPr>
          </w:p>
        </w:tc>
        <w:tc>
          <w:tcPr>
            <w:tcW w:w="49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(73,818</w:t>
            </w:r>
          </w:p>
        </w:tc>
        <w:tc>
          <w:tcPr>
            <w:tcW w:w="6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(80,815</w:t>
            </w:r>
          </w:p>
        </w:tc>
        <w:tc>
          <w:tcPr>
            <w:tcW w:w="200" w:type="dxa"/>
            <w:vAlign w:val="bottom"/>
            <w:tcBorders>
              <w:bottom w:val="single" w:sz="8" w:color="CFF0FC"/>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gridSpan w:val="2"/>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(50,773</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440"/>
        </w:trPr>
        <w:tc>
          <w:tcPr>
            <w:tcW w:w="5540" w:type="dxa"/>
            <w:vAlign w:val="bottom"/>
            <w:gridSpan w:val="2"/>
          </w:tcPr>
          <w:p>
            <w:pPr>
              <w:spacing w:after="0"/>
              <w:rPr>
                <w:sz w:val="20"/>
                <w:szCs w:val="20"/>
                <w:color w:val="auto"/>
              </w:rPr>
            </w:pPr>
            <w:r>
              <w:rPr>
                <w:rFonts w:ascii="Arial" w:cs="Arial" w:eastAsia="Arial" w:hAnsi="Arial"/>
                <w:sz w:val="18"/>
                <w:szCs w:val="18"/>
                <w:color w:val="auto"/>
              </w:rPr>
              <w:t>The (provision) benefit for income taxes consists of the following: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income tax provision</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(709 )</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(406 )</w:t>
            </w:r>
          </w:p>
        </w:tc>
        <w:tc>
          <w:tcPr>
            <w:tcW w:w="2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(238 )</w:t>
            </w:r>
          </w:p>
        </w:tc>
      </w:tr>
      <w:tr>
        <w:trPr>
          <w:trHeight w:val="203"/>
        </w:trPr>
        <w:tc>
          <w:tcPr>
            <w:tcW w:w="620" w:type="dxa"/>
            <w:vAlign w:val="bottom"/>
          </w:tcPr>
          <w:p>
            <w:pPr>
              <w:spacing w:after="0"/>
              <w:rPr>
                <w:sz w:val="17"/>
                <w:szCs w:val="17"/>
                <w:color w:val="auto"/>
              </w:rPr>
            </w:pPr>
          </w:p>
        </w:tc>
        <w:tc>
          <w:tcPr>
            <w:tcW w:w="49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State</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(570 )</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(487 )</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(241 )</w:t>
            </w:r>
          </w:p>
        </w:tc>
      </w:tr>
      <w:tr>
        <w:trPr>
          <w:trHeight w:val="203"/>
        </w:trPr>
        <w:tc>
          <w:tcPr>
            <w:tcW w:w="620" w:type="dxa"/>
            <w:vAlign w:val="bottom"/>
          </w:tcPr>
          <w:p>
            <w:pPr>
              <w:spacing w:after="0"/>
              <w:rPr>
                <w:sz w:val="17"/>
                <w:szCs w:val="17"/>
                <w:color w:val="auto"/>
              </w:rPr>
            </w:pPr>
          </w:p>
        </w:tc>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(5,609 )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(5,508 )</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(3,293 )</w:t>
            </w:r>
          </w:p>
        </w:tc>
      </w:tr>
      <w:tr>
        <w:trPr>
          <w:trHeight w:val="196"/>
        </w:trPr>
        <w:tc>
          <w:tcPr>
            <w:tcW w:w="620" w:type="dxa"/>
            <w:vAlign w:val="bottom"/>
          </w:tcPr>
          <w:p>
            <w:pPr>
              <w:spacing w:after="0"/>
              <w:rPr>
                <w:sz w:val="17"/>
                <w:szCs w:val="17"/>
                <w:color w:val="auto"/>
              </w:rPr>
            </w:pPr>
          </w:p>
        </w:tc>
        <w:tc>
          <w:tcPr>
            <w:tcW w:w="49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current income tax provision</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(6,888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(6,401</w:t>
            </w: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20" w:type="dxa"/>
            <w:vAlign w:val="bottom"/>
          </w:tcPr>
          <w:p>
            <w:pPr>
              <w:spacing w:after="0"/>
              <w:rPr>
                <w:sz w:val="17"/>
                <w:szCs w:val="17"/>
                <w:color w:val="auto"/>
              </w:rPr>
            </w:pPr>
          </w:p>
        </w:tc>
        <w:tc>
          <w:tcPr>
            <w:tcW w:w="4920" w:type="dxa"/>
            <w:vAlign w:val="bottom"/>
          </w:tcPr>
          <w:p>
            <w:pPr>
              <w:spacing w:after="0" w:line="196" w:lineRule="exact"/>
              <w:rPr>
                <w:sz w:val="20"/>
                <w:szCs w:val="20"/>
                <w:color w:val="auto"/>
              </w:rPr>
            </w:pPr>
            <w:r>
              <w:rPr>
                <w:rFonts w:ascii="Arial" w:cs="Arial" w:eastAsia="Arial" w:hAnsi="Arial"/>
                <w:sz w:val="18"/>
                <w:szCs w:val="18"/>
                <w:color w:val="auto"/>
              </w:rPr>
              <w:t>Deferred income tax benefit (expense)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9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Federal</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989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(116 )</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State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 w:type="dxa"/>
            <w:vAlign w:val="bottom"/>
          </w:tcPr>
          <w:p>
            <w:pPr>
              <w:spacing w:after="0"/>
              <w:rPr>
                <w:sz w:val="17"/>
                <w:szCs w:val="17"/>
                <w:color w:val="auto"/>
              </w:rPr>
            </w:pPr>
          </w:p>
        </w:tc>
        <w:tc>
          <w:tcPr>
            <w:tcW w:w="49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1,880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2,301</w:t>
            </w: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920" w:type="dxa"/>
            <w:vAlign w:val="bottom"/>
          </w:tcPr>
          <w:p>
            <w:pPr>
              <w:ind w:left="180"/>
              <w:spacing w:after="0" w:line="196" w:lineRule="exact"/>
              <w:rPr>
                <w:sz w:val="20"/>
                <w:szCs w:val="20"/>
                <w:color w:val="auto"/>
              </w:rPr>
            </w:pPr>
            <w:r>
              <w:rPr>
                <w:rFonts w:ascii="Arial" w:cs="Arial" w:eastAsia="Arial" w:hAnsi="Arial"/>
                <w:sz w:val="18"/>
                <w:szCs w:val="18"/>
                <w:color w:val="auto"/>
              </w:rPr>
              <w:t>Total deferred income tax benefit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2,869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2,185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w:t>
            </w:r>
          </w:p>
        </w:tc>
        <w:tc>
          <w:tcPr>
            <w:tcW w:w="100" w:type="dxa"/>
            <w:vAlign w:val="bottom"/>
          </w:tcPr>
          <w:p>
            <w:pPr>
              <w:spacing w:after="0"/>
              <w:rPr>
                <w:sz w:val="17"/>
                <w:szCs w:val="17"/>
                <w:color w:val="auto"/>
              </w:rPr>
            </w:pPr>
          </w:p>
        </w:tc>
      </w:tr>
      <w:tr>
        <w:trPr>
          <w:trHeight w:val="236"/>
        </w:trPr>
        <w:tc>
          <w:tcPr>
            <w:tcW w:w="620" w:type="dxa"/>
            <w:vAlign w:val="bottom"/>
          </w:tcPr>
          <w:p>
            <w:pPr>
              <w:spacing w:after="0"/>
              <w:rPr>
                <w:sz w:val="20"/>
                <w:szCs w:val="20"/>
                <w:color w:val="auto"/>
              </w:rPr>
            </w:pPr>
          </w:p>
        </w:tc>
        <w:tc>
          <w:tcPr>
            <w:tcW w:w="49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income tax provision</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(4,019</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(4,216</w:t>
            </w: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(2,973</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-2262505</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-2245360</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-2262505</wp:posOffset>
            </wp:positionV>
            <wp:extent cx="596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-2245360</wp:posOffset>
            </wp:positionV>
            <wp:extent cx="596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-2262505</wp:posOffset>
            </wp:positionV>
            <wp:extent cx="596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-2245360</wp:posOffset>
            </wp:positionV>
            <wp:extent cx="596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-819150</wp:posOffset>
            </wp:positionV>
            <wp:extent cx="6858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-819150</wp:posOffset>
            </wp:positionV>
            <wp:extent cx="6032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-819150</wp:posOffset>
            </wp:positionV>
            <wp:extent cx="5969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-296545</wp:posOffset>
            </wp:positionV>
            <wp:extent cx="6858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-296545</wp:posOffset>
            </wp:positionV>
            <wp:extent cx="6032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03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3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reconciles the differences between income taxes computed at the federal statutory rate of 21% for 2021, 2020 and 2019 and the provision for income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Expected income tax benefit at the federal statutory rate</w:t>
            </w:r>
          </w:p>
        </w:tc>
        <w:tc>
          <w:tcPr>
            <w:tcW w:w="9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15,459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16,899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10,665</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13,975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3,700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79,800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25,196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16,055</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Executive compensation limitation</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(9,000 )</w:t>
            </w:r>
          </w:p>
        </w:tc>
        <w:tc>
          <w:tcPr>
            <w:tcW w:w="100" w:type="dxa"/>
            <w:vAlign w:val="bottom"/>
          </w:tcPr>
          <w:p>
            <w:pPr>
              <w:spacing w:after="0"/>
              <w:rPr>
                <w:sz w:val="17"/>
                <w:szCs w:val="17"/>
                <w:color w:val="auto"/>
              </w:rPr>
            </w:pPr>
          </w:p>
        </w:tc>
        <w:tc>
          <w:tcPr>
            <w:tcW w:w="12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(3,004 )</w:t>
            </w:r>
          </w:p>
        </w:tc>
        <w:tc>
          <w:tcPr>
            <w:tcW w:w="2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(7,244 )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Difference in foreign tax rates</w:t>
            </w: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U.S. tax credits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15,995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11,529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24,170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GILTI inclusion</w:t>
            </w: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(1,645 )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Meals and entertainment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(450 )</w:t>
            </w:r>
          </w:p>
        </w:tc>
        <w:tc>
          <w:tcPr>
            <w:tcW w:w="100" w:type="dxa"/>
            <w:vAlign w:val="bottom"/>
          </w:tcPr>
          <w:p>
            <w:pPr>
              <w:spacing w:after="0"/>
              <w:rPr>
                <w:sz w:val="17"/>
                <w:szCs w:val="17"/>
                <w:color w:val="auto"/>
              </w:rPr>
            </w:pPr>
          </w:p>
        </w:tc>
        <w:tc>
          <w:tcPr>
            <w:tcW w:w="12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(478 )</w:t>
            </w:r>
          </w:p>
        </w:tc>
        <w:tc>
          <w:tcPr>
            <w:tcW w:w="2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(1,208 )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Acquisition</w:t>
            </w: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Foreign withholding taxes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(1,006 )</w:t>
            </w:r>
          </w:p>
        </w:tc>
        <w:tc>
          <w:tcPr>
            <w:tcW w:w="100" w:type="dxa"/>
            <w:vAlign w:val="bottom"/>
          </w:tcPr>
          <w:p>
            <w:pPr>
              <w:spacing w:after="0"/>
              <w:rPr>
                <w:sz w:val="17"/>
                <w:szCs w:val="17"/>
                <w:color w:val="auto"/>
              </w:rPr>
            </w:pPr>
          </w:p>
        </w:tc>
        <w:tc>
          <w:tcPr>
            <w:tcW w:w="12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(536 )</w:t>
            </w:r>
          </w:p>
        </w:tc>
        <w:tc>
          <w:tcPr>
            <w:tcW w:w="2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(375 )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(119,843 )</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(62,182 )</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(47,523 )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(468 )</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2,912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(261 )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w:t>
            </w:r>
          </w:p>
        </w:tc>
        <w:tc>
          <w:tcPr>
            <w:tcW w:w="6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(4,019</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(4,216</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(2,973</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-505460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-488315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-505460</wp:posOffset>
            </wp:positionV>
            <wp:extent cx="603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-488315</wp:posOffset>
            </wp:positionV>
            <wp:extent cx="60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-505460</wp:posOffset>
            </wp:positionV>
            <wp:extent cx="596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-488315</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3" w:name="page94"/>
    <w:bookmarkEnd w:id="93"/>
    <w:p>
      <w:pPr>
        <w:ind w:right="20" w:firstLine="509"/>
        <w:spacing w:after="0" w:line="250" w:lineRule="auto"/>
        <w:rPr>
          <w:sz w:val="20"/>
          <w:szCs w:val="20"/>
          <w:color w:val="auto"/>
        </w:rPr>
      </w:pPr>
      <w:r>
        <w:rPr>
          <w:rFonts w:ascii="Arial" w:cs="Arial" w:eastAsia="Arial" w:hAnsi="Arial"/>
          <w:sz w:val="18"/>
          <w:szCs w:val="18"/>
          <w:b w:val="1"/>
          <w:bCs w:val="1"/>
          <w:color w:val="auto"/>
        </w:rPr>
        <w:t xml:space="preserve">Deferred Tax Assets and Liabilities </w:t>
      </w:r>
      <w:r>
        <w:rPr>
          <w:rFonts w:ascii="Arial" w:cs="Arial" w:eastAsia="Arial" w:hAnsi="Arial"/>
          <w:sz w:val="18"/>
          <w:szCs w:val="18"/>
          <w:color w:val="auto"/>
        </w:rPr>
        <w:t>— Deferred income taxes reflect the net effects of temporary differences between the carrying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financial reporting purposes and the amounts used for income tax purposes. Significant components of the Company’s deferred tax assets and liabilities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9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ind w:right="30"/>
              <w:spacing w:after="0"/>
              <w:rPr>
                <w:sz w:val="20"/>
                <w:szCs w:val="20"/>
                <w:color w:val="auto"/>
              </w:rPr>
            </w:pPr>
            <w:r>
              <w:rPr>
                <w:rFonts w:ascii="Arial" w:cs="Arial" w:eastAsia="Arial" w:hAnsi="Arial"/>
                <w:sz w:val="13"/>
                <w:szCs w:val="13"/>
                <w:b w:val="1"/>
                <w:bCs w:val="1"/>
                <w:color w:val="auto"/>
                <w:w w:val="74"/>
              </w:rPr>
              <w:t>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295,430</w:t>
            </w:r>
          </w:p>
        </w:tc>
        <w:tc>
          <w:tcPr>
            <w:tcW w:w="200" w:type="dxa"/>
            <w:vAlign w:val="bottom"/>
          </w:tcPr>
          <w:p>
            <w:pPr>
              <w:spacing w:after="0"/>
              <w:rPr>
                <w:sz w:val="17"/>
                <w:szCs w:val="17"/>
                <w:color w:val="auto"/>
              </w:rPr>
            </w:pPr>
          </w:p>
        </w:tc>
        <w:tc>
          <w:tcPr>
            <w:tcW w:w="44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190,555</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investment credits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62,710</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46,729</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Accruals and reserves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17,508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15,278</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2,532</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2,223</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7"/>
                <w:szCs w:val="17"/>
                <w:color w:val="auto"/>
              </w:rPr>
            </w:pPr>
          </w:p>
        </w:tc>
        <w:tc>
          <w:tcPr>
            <w:tcW w:w="1280" w:type="dxa"/>
            <w:vAlign w:val="bottom"/>
            <w:gridSpan w:val="2"/>
          </w:tcPr>
          <w:p>
            <w:pPr>
              <w:jc w:val="right"/>
              <w:ind w:right="14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r>
      <w:tr>
        <w:trPr>
          <w:trHeight w:val="202"/>
        </w:trPr>
        <w:tc>
          <w:tcPr>
            <w:tcW w:w="5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9,622</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7,354</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9,705</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8,650</w:t>
            </w:r>
          </w:p>
        </w:tc>
        <w:tc>
          <w:tcPr>
            <w:tcW w:w="100" w:type="dxa"/>
            <w:vAlign w:val="bottom"/>
          </w:tcPr>
          <w:p>
            <w:pPr>
              <w:spacing w:after="0"/>
              <w:rPr>
                <w:sz w:val="17"/>
                <w:szCs w:val="17"/>
                <w:color w:val="auto"/>
              </w:rPr>
            </w:pPr>
          </w:p>
        </w:tc>
      </w:tr>
      <w:tr>
        <w:trPr>
          <w:trHeight w:val="196"/>
        </w:trPr>
        <w:tc>
          <w:tcPr>
            <w:tcW w:w="59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397,507</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270,953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2"/>
              <w:spacing w:after="0" w:line="202" w:lineRule="exact"/>
              <w:rPr>
                <w:sz w:val="20"/>
                <w:szCs w:val="20"/>
                <w:color w:val="auto"/>
              </w:rPr>
            </w:pPr>
            <w:r>
              <w:rPr>
                <w:rFonts w:ascii="Arial" w:cs="Arial" w:eastAsia="Arial" w:hAnsi="Arial"/>
                <w:sz w:val="18"/>
                <w:szCs w:val="18"/>
                <w:color w:val="auto"/>
              </w:rPr>
              <w:t>(2,474 )</w:t>
            </w: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(2,546 )</w:t>
            </w: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Convertible debt</w:t>
            </w:r>
          </w:p>
        </w:tc>
        <w:tc>
          <w:tcPr>
            <w:tcW w:w="320" w:type="dxa"/>
            <w:vAlign w:val="bottom"/>
          </w:tcPr>
          <w:p>
            <w:pPr>
              <w:spacing w:after="0"/>
              <w:rPr>
                <w:sz w:val="17"/>
                <w:szCs w:val="17"/>
                <w:color w:val="auto"/>
              </w:rPr>
            </w:pPr>
          </w:p>
        </w:tc>
        <w:tc>
          <w:tcPr>
            <w:tcW w:w="1280" w:type="dxa"/>
            <w:vAlign w:val="bottom"/>
            <w:gridSpan w:val="2"/>
          </w:tcPr>
          <w:p>
            <w:pPr>
              <w:jc w:val="right"/>
              <w:ind w:right="42"/>
              <w:spacing w:after="0" w:line="202" w:lineRule="exact"/>
              <w:rPr>
                <w:sz w:val="20"/>
                <w:szCs w:val="20"/>
                <w:color w:val="auto"/>
              </w:rPr>
            </w:pPr>
            <w:r>
              <w:rPr>
                <w:rFonts w:ascii="Arial" w:cs="Arial" w:eastAsia="Arial" w:hAnsi="Arial"/>
                <w:sz w:val="18"/>
                <w:szCs w:val="18"/>
                <w:color w:val="auto"/>
              </w:rPr>
              <w:t>(16,911 )</w:t>
            </w:r>
          </w:p>
        </w:tc>
        <w:tc>
          <w:tcPr>
            <w:tcW w:w="4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(21,873 )</w:t>
            </w:r>
          </w:p>
        </w:tc>
      </w:tr>
      <w:tr>
        <w:trPr>
          <w:trHeight w:val="203"/>
        </w:trPr>
        <w:tc>
          <w:tcPr>
            <w:tcW w:w="5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Capitalized costs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2"/>
              <w:spacing w:after="0" w:line="202" w:lineRule="exact"/>
              <w:rPr>
                <w:sz w:val="20"/>
                <w:szCs w:val="20"/>
                <w:color w:val="auto"/>
              </w:rPr>
            </w:pPr>
            <w:r>
              <w:rPr>
                <w:rFonts w:ascii="Arial" w:cs="Arial" w:eastAsia="Arial" w:hAnsi="Arial"/>
                <w:sz w:val="18"/>
                <w:szCs w:val="18"/>
                <w:color w:val="auto"/>
              </w:rPr>
              <w:t>(27,665 )</w:t>
            </w: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(17,009 )</w:t>
            </w: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1280" w:type="dxa"/>
            <w:vAlign w:val="bottom"/>
            <w:gridSpan w:val="2"/>
          </w:tcPr>
          <w:p>
            <w:pPr>
              <w:jc w:val="right"/>
              <w:ind w:right="42"/>
              <w:spacing w:after="0" w:line="202" w:lineRule="exact"/>
              <w:rPr>
                <w:sz w:val="20"/>
                <w:szCs w:val="20"/>
                <w:color w:val="auto"/>
              </w:rPr>
            </w:pPr>
            <w:r>
              <w:rPr>
                <w:rFonts w:ascii="Arial" w:cs="Arial" w:eastAsia="Arial" w:hAnsi="Arial"/>
                <w:sz w:val="18"/>
                <w:szCs w:val="18"/>
                <w:color w:val="auto"/>
              </w:rPr>
              <w:t>(234 )</w:t>
            </w:r>
          </w:p>
        </w:tc>
        <w:tc>
          <w:tcPr>
            <w:tcW w:w="4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(231 )</w:t>
            </w:r>
          </w:p>
        </w:tc>
      </w:tr>
      <w:tr>
        <w:trPr>
          <w:trHeight w:val="196"/>
        </w:trPr>
        <w:tc>
          <w:tcPr>
            <w:tcW w:w="59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(47,284</w:t>
            </w:r>
          </w:p>
        </w:tc>
        <w:tc>
          <w:tcPr>
            <w:tcW w:w="200" w:type="dxa"/>
            <w:vAlign w:val="bottom"/>
            <w:tcBorders>
              <w:bottom w:val="single" w:sz="8" w:color="CFF0FC"/>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(41,659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7"/>
                <w:szCs w:val="17"/>
                <w:color w:val="auto"/>
              </w:rPr>
            </w:pPr>
          </w:p>
        </w:tc>
        <w:tc>
          <w:tcPr>
            <w:tcW w:w="1280" w:type="dxa"/>
            <w:vAlign w:val="bottom"/>
            <w:gridSpan w:val="2"/>
          </w:tcPr>
          <w:p>
            <w:pPr>
              <w:jc w:val="right"/>
              <w:ind w:right="42"/>
              <w:spacing w:after="0" w:line="196" w:lineRule="exact"/>
              <w:rPr>
                <w:sz w:val="20"/>
                <w:szCs w:val="20"/>
                <w:color w:val="auto"/>
              </w:rPr>
            </w:pPr>
            <w:r>
              <w:rPr>
                <w:rFonts w:ascii="Arial" w:cs="Arial" w:eastAsia="Arial" w:hAnsi="Arial"/>
                <w:sz w:val="18"/>
                <w:szCs w:val="18"/>
                <w:color w:val="auto"/>
              </w:rPr>
              <w:t>(346,381 )</w:t>
            </w:r>
          </w:p>
        </w:tc>
        <w:tc>
          <w:tcPr>
            <w:tcW w:w="44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(227,062 )</w:t>
            </w:r>
          </w:p>
        </w:tc>
      </w:tr>
      <w:tr>
        <w:trPr>
          <w:trHeight w:val="236"/>
        </w:trPr>
        <w:tc>
          <w:tcPr>
            <w:tcW w:w="59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3,842</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center"/>
              <w:ind w:right="2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2,232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-1085215</wp:posOffset>
            </wp:positionV>
            <wp:extent cx="5969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-1085215</wp:posOffset>
            </wp:positionV>
            <wp:extent cx="5969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-296545</wp:posOffset>
            </wp:positionV>
            <wp:extent cx="5969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596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spacing w:after="0" w:line="14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valuation allowance increased by $119.3 million in 2021, $47.0 million in 2020 and $47.3 million in 2019, primarily due to the increase in the U.S. net operating loss deferred tax asset. The Company does not expect any significant changes in its valuation allowance positions within the next 12 months.</w:t>
      </w:r>
    </w:p>
    <w:p>
      <w:pPr>
        <w:spacing w:after="0" w:line="141"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Company had federal and state net operating loss carryforwards of $1.2 billion and $737.8 million at December 31, 2021 and $760.0 million and $507.7 million at December 31, 2020. The Company also had international net operating loss carryforwards of $8.0 million at December 31, 2021 and 2020. As a result of the Tax Cut and Jobs Act of 2017, enacted on 1/1/2018, all federal net operating losses, created after January 1, 2018, have an indefinite carryforward period. All federal net operating losses, created before January 1, 2018, are subject to a 20 year carryforward period and will begin to expire in 2027. State net operating losses will begin to expire in 2023. The Company has a federal interest expense carryforward of $39.9 million at December 31, 2021, and $35.2 million at December 31, 2020, which have an indefinite carryforward period.</w:t>
      </w:r>
    </w:p>
    <w:p>
      <w:pPr>
        <w:spacing w:after="0" w:line="14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Company had federal research and development credit carryforwards of $44.8 million, net of UTP, at December 31, 2021 that begin to expire in 2027. The Company also has state research and investment tax credit carryforwards of $17.9 million, net of UTP, that begin to expire in 2022.</w:t>
      </w:r>
    </w:p>
    <w:p>
      <w:pPr>
        <w:spacing w:after="0" w:line="8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94" w:name="page95"/>
    <w:bookmarkEnd w:id="94"/>
    <w:p>
      <w:pPr>
        <w:ind w:right="180" w:firstLine="509"/>
        <w:spacing w:after="0" w:line="242"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Company accounts for uncertainty in income taxes using a two-step process. The Company first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3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activity related to unrecognized tax benefits: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Unrecognized benefit—beginning of the year</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8,448</w:t>
            </w:r>
          </w:p>
        </w:tc>
        <w:tc>
          <w:tcPr>
            <w:tcW w:w="44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5,445</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3,925</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Gross increases—current period positions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3,003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2,387</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decrease—prior period positions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(867 )</w:t>
            </w:r>
          </w:p>
        </w:tc>
      </w:tr>
      <w:tr>
        <w:trPr>
          <w:trHeight w:val="196"/>
        </w:trPr>
        <w:tc>
          <w:tcPr>
            <w:tcW w:w="51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Unrecognized benefit—end of period</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12,823</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8,448</w:t>
            </w: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5,445</w:t>
            </w:r>
          </w:p>
        </w:tc>
        <w:tc>
          <w:tcPr>
            <w:tcW w:w="100" w:type="dxa"/>
            <w:vAlign w:val="bottom"/>
            <w:tcBorders>
              <w:top w:val="single" w:sz="8" w:color="CFF0FC"/>
            </w:tcBorders>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-159385</wp:posOffset>
            </wp:positionV>
            <wp:extent cx="5143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-159385</wp:posOffset>
            </wp:positionV>
            <wp:extent cx="4318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All of the gross unrecognized tax benefits represent a reduction to the research and development tax credit carryforward. The gross decrease to prior period positions is a result of the Company completing its documentation of credits generated between 2015 and 2018.</w:t>
      </w:r>
    </w:p>
    <w:p>
      <w:pPr>
        <w:spacing w:after="0" w:line="171" w:lineRule="exact"/>
        <w:rPr>
          <w:sz w:val="20"/>
          <w:szCs w:val="20"/>
          <w:color w:val="auto"/>
        </w:rPr>
      </w:pPr>
    </w:p>
    <w:p>
      <w:pPr>
        <w:ind w:right="980" w:firstLine="509"/>
        <w:spacing w:after="0" w:line="261" w:lineRule="auto"/>
        <w:rPr>
          <w:sz w:val="20"/>
          <w:szCs w:val="20"/>
          <w:color w:val="auto"/>
        </w:rPr>
      </w:pPr>
      <w:r>
        <w:rPr>
          <w:rFonts w:ascii="Arial" w:cs="Arial" w:eastAsia="Arial" w:hAnsi="Arial"/>
          <w:sz w:val="18"/>
          <w:szCs w:val="18"/>
          <w:color w:val="auto"/>
        </w:rPr>
        <w:t>All of the unrecognized tax benefits decrease deferred tax assets with a corresponding decrease to the valuation allowance. None of the unrecognized tax benefits would affect the Company’s effective tax rate if recognized in the future.</w:t>
      </w:r>
    </w:p>
    <w:p>
      <w:pPr>
        <w:spacing w:after="0" w:line="171"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No interest or penalties have been recorded through December 31, 2021 as the Company had no tax due because of significant NOL carryforwards.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expect any significant change in its unrecognized tax benefits within the next 12 months.</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Company files tax returns in the United States and various jurisdictions throughout the world where the Company has operations or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is no longer subject to examination for years prior to 2017 in Ireland and continues to be routinely examined by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w:t>
      </w:r>
    </w:p>
    <w:p>
      <w:pPr>
        <w:spacing w:after="0" w:line="10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$8.2 million in 2021, $5.9 million in 2020, and $4.8 million in 2019.</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2021 , our disclosure controls and procedures were effective at the reasonable assurance level.</w:t>
      </w:r>
    </w:p>
    <w:p>
      <w:pPr>
        <w:spacing w:after="0" w:line="85"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7" w:lineRule="exact"/>
        <w:rPr>
          <w:sz w:val="20"/>
          <w:szCs w:val="20"/>
          <w:color w:val="auto"/>
        </w:rPr>
      </w:pPr>
    </w:p>
    <w:p>
      <w:pPr>
        <w:ind w:left="1540" w:right="400" w:hanging="513"/>
        <w:spacing w:after="0" w:line="246"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540" w:right="160" w:hanging="513"/>
        <w:spacing w:after="0" w:line="248"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7" w:lineRule="exact"/>
        <w:rPr>
          <w:rFonts w:ascii="Arial" w:cs="Arial" w:eastAsia="Arial" w:hAnsi="Arial"/>
          <w:sz w:val="18"/>
          <w:szCs w:val="18"/>
          <w:color w:val="auto"/>
        </w:rPr>
      </w:pPr>
    </w:p>
    <w:p>
      <w:pPr>
        <w:ind w:left="1540" w:right="800" w:hanging="513"/>
        <w:spacing w:after="0" w:line="261"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2021.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6" w:name="page97"/>
    <w:bookmarkEnd w:id="96"/>
    <w:p>
      <w:pPr>
        <w:ind w:right="400" w:firstLine="509"/>
        <w:spacing w:after="0" w:line="261" w:lineRule="auto"/>
        <w:rPr>
          <w:sz w:val="20"/>
          <w:szCs w:val="20"/>
          <w:color w:val="auto"/>
        </w:rPr>
      </w:pPr>
      <w:r>
        <w:rPr>
          <w:rFonts w:ascii="Arial" w:cs="Arial" w:eastAsia="Arial" w:hAnsi="Arial"/>
          <w:sz w:val="18"/>
          <w:szCs w:val="18"/>
          <w:color w:val="auto"/>
        </w:rPr>
        <w:t>Based on our assessment, management, with the participation of our Chief Executive Officer and Chief Financial Officer, concluded that, as of December 31, 2021, our internal control over financial reporting was effective based on those criteria.</w:t>
      </w:r>
    </w:p>
    <w:p>
      <w:pPr>
        <w:spacing w:after="0" w:line="19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PricewaterhouseCoopers LLP, an independent registered public accounting firm, as stated in its report, which is included under Item 8 of this annual report on Form 10-K.</w:t>
      </w:r>
    </w:p>
    <w:p>
      <w:pPr>
        <w:spacing w:after="0" w:line="53"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Inherent Limitations of Internal Controls</w:t>
      </w:r>
    </w:p>
    <w:p>
      <w:pPr>
        <w:spacing w:after="0" w:line="10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0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No change in our internal control over financial reporting occurred during the quarter ended December 31, 2021 that has materially affected, or is reasonably likely to materially affect, our internal control over financial reporting.</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7" w:name="page98"/>
    <w:bookmarkEnd w:id="97"/>
    <w:p>
      <w:pPr>
        <w:ind w:left="5260"/>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08"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The complete response to this Item regarding the backgrounds of our executive officers and directors and other information required by Items 401, 405 and 407 of Regulation S-K will be contained in our definitive proxy statement for our 2022 Annual Meeting of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0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2022 Annual Meeting of Stockholders.</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2022 Annual Meeting of Stockholders.</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0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2022 Annual Meeting of Stockholders.</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0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2022 Annual Meeting of Stockholders.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8" w:name="page99"/>
    <w:bookmarkEnd w:id="98"/>
    <w:p>
      <w:pPr>
        <w:jc w:val="center"/>
        <w:ind w:right="-459"/>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Annual Report on Form 10-K</w:t>
      </w:r>
    </w:p>
    <w:p>
      <w:pPr>
        <w:spacing w:after="0" w:line="104"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(included in Item 8 of this Annual Report on Form 10-K):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Balance Sheets as of December 31, 2021 and 2020</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2021, 2020 and 2019</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2021, 2020 and 2019</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2021, 2020 and 2019</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2021, 2020 and 2019</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Financial statements schedules are omitted as they are either not required or the information is otherwise included in the consolidated financial statements.</w:t>
      </w:r>
    </w:p>
    <w:p>
      <w:pPr>
        <w:spacing w:after="0" w:line="63"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listed in the Exhibit List on the following page and are incorporated herein.</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24" w:right="7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400" w:type="dxa"/>
            <w:vAlign w:val="bottom"/>
            <w:gridSpan w:val="4"/>
          </w:tcPr>
          <w:p>
            <w:pPr>
              <w:ind w:left="1180"/>
              <w:spacing w:after="0"/>
              <w:rPr>
                <w:sz w:val="20"/>
                <w:szCs w:val="20"/>
                <w:color w:val="auto"/>
              </w:rPr>
            </w:pPr>
            <w:r>
              <w:rPr>
                <w:rFonts w:ascii="Arial" w:cs="Arial" w:eastAsia="Arial" w:hAnsi="Arial"/>
                <w:sz w:val="18"/>
                <w:szCs w:val="18"/>
                <w:b w:val="1"/>
                <w:bCs w:val="1"/>
                <w:color w:val="auto"/>
              </w:rPr>
              <w:t>EXHIBIT LIST</w:t>
            </w:r>
          </w:p>
        </w:tc>
      </w:tr>
      <w:tr>
        <w:trPr>
          <w:trHeight w:val="328"/>
        </w:trPr>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5"/>
        </w:trPr>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gridSpan w:val="4"/>
          </w:tcPr>
          <w:p>
            <w:pPr>
              <w:ind w:left="1760"/>
              <w:spacing w:after="0"/>
              <w:rPr>
                <w:sz w:val="20"/>
                <w:szCs w:val="20"/>
                <w:color w:val="auto"/>
              </w:rPr>
            </w:pPr>
            <w:r>
              <w:rPr>
                <w:rFonts w:ascii="Arial" w:cs="Arial" w:eastAsia="Arial" w:hAnsi="Arial"/>
                <w:sz w:val="14"/>
                <w:szCs w:val="14"/>
                <w:b w:val="1"/>
                <w:bCs w:val="1"/>
                <w:color w:val="auto"/>
              </w:rPr>
              <w:t>Description of exhibit</w:t>
            </w:r>
          </w:p>
        </w:tc>
      </w:tr>
      <w:tr>
        <w:trPr>
          <w:trHeight w:val="155"/>
        </w:trPr>
        <w:tc>
          <w:tcPr>
            <w:tcW w:w="1160" w:type="dxa"/>
            <w:vAlign w:val="bottom"/>
          </w:tcPr>
          <w:p>
            <w:pPr>
              <w:jc w:val="right"/>
              <w:ind w:right="436"/>
              <w:spacing w:after="0" w:line="15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3"/>
                <w:szCs w:val="13"/>
                <w:color w:val="auto"/>
              </w:rPr>
            </w:pPr>
          </w:p>
        </w:tc>
        <w:tc>
          <w:tcPr>
            <w:tcW w:w="6960" w:type="dxa"/>
            <w:vAlign w:val="bottom"/>
            <w:tcBorders>
              <w:bottom w:val="single" w:sz="8" w:color="0000EE"/>
            </w:tcBorders>
            <w:gridSpan w:val="4"/>
          </w:tcPr>
          <w:p>
            <w:pPr>
              <w:spacing w:after="0" w:line="156" w:lineRule="exact"/>
              <w:rPr>
                <w:rFonts w:ascii="Arial" w:cs="Arial" w:eastAsia="Arial" w:hAnsi="Arial"/>
                <w:sz w:val="18"/>
                <w:szCs w:val="18"/>
                <w:color w:val="auto"/>
                <w:w w:val="90"/>
              </w:rPr>
            </w:pPr>
            <w:hyperlink r:id="rId496">
              <w:r>
                <w:rPr>
                  <w:rFonts w:ascii="Arial" w:cs="Arial" w:eastAsia="Arial" w:hAnsi="Arial"/>
                  <w:sz w:val="18"/>
                  <w:szCs w:val="18"/>
                  <w:color w:val="auto"/>
                  <w:w w:val="90"/>
                </w:rPr>
                <w:t>Seventh Amended and Restated Certificate of Incorporation (as amended and currently in effect)</w:t>
              </w:r>
            </w:hyperlink>
          </w:p>
        </w:tc>
        <w:tc>
          <w:tcPr>
            <w:tcW w:w="2980" w:type="dxa"/>
            <w:vAlign w:val="bottom"/>
            <w:gridSpan w:val="2"/>
          </w:tcPr>
          <w:p>
            <w:pPr>
              <w:spacing w:after="0"/>
              <w:rPr>
                <w:sz w:val="13"/>
                <w:szCs w:val="13"/>
                <w:color w:val="auto"/>
              </w:rPr>
            </w:pPr>
          </w:p>
        </w:tc>
      </w:tr>
      <w:tr>
        <w:trPr>
          <w:trHeight w:val="291"/>
        </w:trPr>
        <w:tc>
          <w:tcPr>
            <w:tcW w:w="1160" w:type="dxa"/>
            <w:vAlign w:val="bottom"/>
          </w:tcPr>
          <w:p>
            <w:pPr>
              <w:jc w:val="right"/>
              <w:ind w:right="436"/>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4340" w:type="dxa"/>
            <w:vAlign w:val="bottom"/>
            <w:tcBorders>
              <w:bottom w:val="single" w:sz="8" w:color="0000EE"/>
            </w:tcBorders>
            <w:gridSpan w:val="3"/>
          </w:tcPr>
          <w:p>
            <w:pPr>
              <w:spacing w:after="0"/>
              <w:rPr>
                <w:rFonts w:ascii="Arial" w:cs="Arial" w:eastAsia="Arial" w:hAnsi="Arial"/>
                <w:sz w:val="18"/>
                <w:szCs w:val="18"/>
                <w:color w:val="auto"/>
                <w:w w:val="90"/>
              </w:rPr>
            </w:pPr>
            <w:hyperlink r:id="rId497">
              <w:r>
                <w:rPr>
                  <w:rFonts w:ascii="Arial" w:cs="Arial" w:eastAsia="Arial" w:hAnsi="Arial"/>
                  <w:sz w:val="18"/>
                  <w:szCs w:val="18"/>
                  <w:color w:val="auto"/>
                  <w:w w:val="90"/>
                </w:rPr>
                <w:t>Third Amended and Restated Bylaws (as currently in effect)</w:t>
              </w:r>
            </w:hyperlink>
          </w:p>
        </w:tc>
        <w:tc>
          <w:tcPr>
            <w:tcW w:w="5600" w:type="dxa"/>
            <w:vAlign w:val="bottom"/>
            <w:gridSpan w:val="3"/>
          </w:tcPr>
          <w:p>
            <w:pPr>
              <w:spacing w:after="0"/>
              <w:rPr>
                <w:sz w:val="24"/>
                <w:szCs w:val="24"/>
                <w:color w:val="auto"/>
              </w:rPr>
            </w:pPr>
          </w:p>
        </w:tc>
      </w:tr>
      <w:tr>
        <w:trPr>
          <w:trHeight w:val="291"/>
        </w:trPr>
        <w:tc>
          <w:tcPr>
            <w:tcW w:w="1160" w:type="dxa"/>
            <w:vAlign w:val="bottom"/>
          </w:tcPr>
          <w:p>
            <w:pPr>
              <w:jc w:val="right"/>
              <w:ind w:right="436"/>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9940" w:type="dxa"/>
            <w:vAlign w:val="bottom"/>
            <w:gridSpan w:val="6"/>
          </w:tcPr>
          <w:p>
            <w:pPr>
              <w:spacing w:after="0"/>
              <w:rPr>
                <w:rFonts w:ascii="Arial" w:cs="Arial" w:eastAsia="Arial" w:hAnsi="Arial"/>
                <w:sz w:val="18"/>
                <w:szCs w:val="18"/>
                <w:color w:val="auto"/>
              </w:rPr>
            </w:pPr>
            <w:hyperlink r:id="rId498">
              <w:r>
                <w:rPr>
                  <w:rFonts w:ascii="Arial" w:cs="Arial" w:eastAsia="Arial" w:hAnsi="Arial"/>
                  <w:sz w:val="18"/>
                  <w:szCs w:val="18"/>
                  <w:color w:val="auto"/>
                </w:rPr>
                <w:t>Form of Common Stock Certificate</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1160" w:type="dxa"/>
            <w:vAlign w:val="bottom"/>
          </w:tcPr>
          <w:p>
            <w:pPr>
              <w:jc w:val="right"/>
              <w:ind w:right="436"/>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4"/>
                <w:szCs w:val="24"/>
                <w:color w:val="auto"/>
              </w:rPr>
            </w:pPr>
          </w:p>
        </w:tc>
        <w:tc>
          <w:tcPr>
            <w:tcW w:w="9940" w:type="dxa"/>
            <w:vAlign w:val="bottom"/>
            <w:gridSpan w:val="6"/>
          </w:tcPr>
          <w:p>
            <w:pPr>
              <w:spacing w:after="0"/>
              <w:rPr>
                <w:rFonts w:ascii="Arial" w:cs="Arial" w:eastAsia="Arial" w:hAnsi="Arial"/>
                <w:sz w:val="18"/>
                <w:szCs w:val="18"/>
                <w:color w:val="auto"/>
                <w:w w:val="91"/>
              </w:rPr>
            </w:pPr>
            <w:hyperlink r:id="rId499">
              <w:r>
                <w:rPr>
                  <w:rFonts w:ascii="Arial" w:cs="Arial" w:eastAsia="Arial" w:hAnsi="Arial"/>
                  <w:sz w:val="18"/>
                  <w:szCs w:val="18"/>
                  <w:color w:val="auto"/>
                  <w:w w:val="91"/>
                </w:rPr>
                <w:t>Fourth Amended and Restated Investors’ Rights Agreement between the Registrant and the investors named therein dated October 25,</w:t>
              </w:r>
            </w:hyperlink>
          </w:p>
        </w:tc>
      </w:tr>
      <w:tr>
        <w:trPr>
          <w:trHeight w:val="156"/>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6" w:lineRule="exact"/>
              <w:rPr>
                <w:rFonts w:ascii="Arial" w:cs="Arial" w:eastAsia="Arial" w:hAnsi="Arial"/>
                <w:sz w:val="18"/>
                <w:szCs w:val="18"/>
                <w:color w:val="auto"/>
                <w:w w:val="84"/>
              </w:rPr>
            </w:pPr>
            <w:hyperlink r:id="rId499">
              <w:r>
                <w:rPr>
                  <w:rFonts w:ascii="Arial" w:cs="Arial" w:eastAsia="Arial" w:hAnsi="Arial"/>
                  <w:sz w:val="18"/>
                  <w:szCs w:val="18"/>
                  <w:color w:val="auto"/>
                  <w:w w:val="84"/>
                </w:rPr>
                <w:t>2012</w:t>
              </w:r>
            </w:hyperlink>
          </w:p>
        </w:tc>
        <w:tc>
          <w:tcPr>
            <w:tcW w:w="2180" w:type="dxa"/>
            <w:vAlign w:val="bottom"/>
            <w:tcBorders>
              <w:top w:val="single" w:sz="8" w:color="0000EE"/>
            </w:tcBorders>
          </w:tcPr>
          <w:p>
            <w:pPr>
              <w:spacing w:after="0"/>
              <w:rPr>
                <w:sz w:val="13"/>
                <w:szCs w:val="13"/>
                <w:color w:val="auto"/>
              </w:rPr>
            </w:pPr>
          </w:p>
        </w:tc>
        <w:tc>
          <w:tcPr>
            <w:tcW w:w="1800" w:type="dxa"/>
            <w:vAlign w:val="bottom"/>
            <w:tcBorders>
              <w:top w:val="single" w:sz="8" w:color="0000EE"/>
            </w:tcBorders>
          </w:tcPr>
          <w:p>
            <w:pPr>
              <w:spacing w:after="0"/>
              <w:rPr>
                <w:sz w:val="13"/>
                <w:szCs w:val="13"/>
                <w:color w:val="auto"/>
              </w:rPr>
            </w:pPr>
          </w:p>
        </w:tc>
        <w:tc>
          <w:tcPr>
            <w:tcW w:w="262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240" w:type="dxa"/>
            <w:vAlign w:val="bottom"/>
          </w:tcPr>
          <w:p>
            <w:pPr>
              <w:spacing w:after="0"/>
              <w:rPr>
                <w:sz w:val="13"/>
                <w:szCs w:val="13"/>
                <w:color w:val="auto"/>
              </w:rPr>
            </w:pPr>
          </w:p>
        </w:tc>
      </w:tr>
    </w:tbl>
    <w:p>
      <w:pPr>
        <w:spacing w:after="0" w:line="107" w:lineRule="exact"/>
        <w:rPr>
          <w:sz w:val="20"/>
          <w:szCs w:val="20"/>
          <w:color w:val="auto"/>
        </w:rPr>
      </w:pPr>
    </w:p>
    <w:p>
      <w:pPr>
        <w:sectPr>
          <w:pgSz w:w="11900" w:h="16838" w:orient="portrait"/>
          <w:cols w:equalWidth="0" w:num="1">
            <w:col w:w="11240"/>
          </w:cols>
          <w:pgMar w:left="320" w:top="324" w:right="339" w:bottom="1440" w:gutter="0" w:footer="0" w:header="0"/>
        </w:sectPr>
      </w:pPr>
    </w:p>
    <w:p>
      <w:pPr>
        <w:jc w:val="right"/>
        <w:spacing w:after="0"/>
        <w:rPr>
          <w:sz w:val="20"/>
          <w:szCs w:val="20"/>
          <w:color w:val="auto"/>
        </w:rPr>
      </w:pPr>
      <w:r>
        <w:rPr>
          <w:rFonts w:ascii="Arial" w:cs="Arial" w:eastAsia="Arial" w:hAnsi="Arial"/>
          <w:sz w:val="18"/>
          <w:szCs w:val="18"/>
          <w:color w:val="auto"/>
        </w:rPr>
        <w:t>4.3(5)</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4.6(6)</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4.7(7)</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10.1(8)</w:t>
      </w:r>
    </w:p>
    <w:p>
      <w:pPr>
        <w:spacing w:after="0" w:line="20" w:lineRule="exact"/>
        <w:rPr>
          <w:sz w:val="20"/>
          <w:szCs w:val="20"/>
          <w:color w:val="auto"/>
        </w:rPr>
      </w:pPr>
      <w:r>
        <w:rPr>
          <w:sz w:val="20"/>
          <w:szCs w:val="20"/>
          <w:color w:val="auto"/>
        </w:rPr>
        <w:br w:type="column"/>
      </w:r>
    </w:p>
    <w:p>
      <w:pPr>
        <w:ind w:right="1560"/>
        <w:spacing w:after="0" w:line="387" w:lineRule="auto"/>
        <w:rPr>
          <w:rFonts w:ascii="Arial" w:cs="Arial" w:eastAsia="Arial" w:hAnsi="Arial"/>
          <w:sz w:val="18"/>
          <w:szCs w:val="18"/>
          <w:color w:val="auto"/>
        </w:rPr>
      </w:pPr>
      <w:hyperlink r:id="rId500">
        <w:r>
          <w:rPr>
            <w:rFonts w:ascii="Arial" w:cs="Arial" w:eastAsia="Arial" w:hAnsi="Arial"/>
            <w:sz w:val="18"/>
            <w:szCs w:val="18"/>
            <w:color w:val="auto"/>
          </w:rPr>
          <w:t>Indenture, dated as of May 10, 2017, between HubSpot, Inc., and Wilmington Trust, National Association, as trustee</w:t>
        </w:r>
      </w:hyperlink>
      <w:r>
        <w:rPr>
          <w:rFonts w:ascii="Arial" w:cs="Arial" w:eastAsia="Arial" w:hAnsi="Arial"/>
          <w:sz w:val="18"/>
          <w:szCs w:val="18"/>
          <w:color w:val="auto"/>
        </w:rPr>
        <w:t xml:space="preserve"> </w:t>
      </w:r>
      <w:hyperlink r:id="rId500">
        <w:r>
          <w:rPr>
            <w:rFonts w:ascii="Arial" w:cs="Arial" w:eastAsia="Arial" w:hAnsi="Arial"/>
            <w:sz w:val="18"/>
            <w:szCs w:val="18"/>
            <w:color w:val="auto"/>
          </w:rPr>
          <w:t>Form of 0.25% Convertible Senior Notes due 2022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-302895</wp:posOffset>
            </wp:positionV>
            <wp:extent cx="53282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53282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-105410</wp:posOffset>
            </wp:positionV>
            <wp:extent cx="34874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3487420" cy="8255"/>
                    </a:xfrm>
                    <a:prstGeom prst="rect">
                      <a:avLst/>
                    </a:prstGeom>
                    <a:noFill/>
                  </pic:spPr>
                </pic:pic>
              </a:graphicData>
            </a:graphic>
          </wp:anchor>
        </w:drawing>
      </w:r>
    </w:p>
    <w:p>
      <w:pPr>
        <w:spacing w:after="0" w:line="14" w:lineRule="exact"/>
        <w:rPr>
          <w:sz w:val="20"/>
          <w:szCs w:val="20"/>
          <w:color w:val="auto"/>
        </w:rPr>
      </w:pPr>
    </w:p>
    <w:p>
      <w:pPr>
        <w:spacing w:after="0"/>
        <w:rPr>
          <w:rFonts w:ascii="Arial" w:cs="Arial" w:eastAsia="Arial" w:hAnsi="Arial"/>
          <w:sz w:val="18"/>
          <w:szCs w:val="18"/>
          <w:color w:val="auto"/>
        </w:rPr>
      </w:pPr>
      <w:hyperlink r:id="rId503">
        <w:r>
          <w:rPr>
            <w:rFonts w:ascii="Arial" w:cs="Arial" w:eastAsia="Arial" w:hAnsi="Arial"/>
            <w:sz w:val="18"/>
            <w:szCs w:val="18"/>
            <w:color w:val="auto"/>
          </w:rPr>
          <w:t>Indenture, dated as of June 4, 2020, between the Registrant, and Wilmington Trust,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52711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5271135" cy="825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color w:val="auto"/>
        </w:rPr>
      </w:pPr>
      <w:hyperlink r:id="rId503">
        <w:r>
          <w:rPr>
            <w:rFonts w:ascii="Arial" w:cs="Arial" w:eastAsia="Arial" w:hAnsi="Arial"/>
            <w:sz w:val="18"/>
            <w:szCs w:val="18"/>
            <w:color w:val="auto"/>
          </w:rPr>
          <w:t>Form of 0.375% Convertible Senior Notes due 2025 (included in Exhibit 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35445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7"/>
          <w:szCs w:val="17"/>
          <w:color w:val="auto"/>
        </w:rPr>
      </w:pPr>
      <w:hyperlink r:id="rId506">
        <w:r>
          <w:rPr>
            <w:rFonts w:ascii="Arial" w:cs="Arial" w:eastAsia="Arial" w:hAnsi="Arial"/>
            <w:sz w:val="17"/>
            <w:szCs w:val="17"/>
            <w:color w:val="auto"/>
          </w:rPr>
          <w:t>Description of the Registrant's Securities Registered Pursuant to Section 12 of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58616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5861685" cy="8255"/>
                    </a:xfrm>
                    <a:prstGeom prst="rect">
                      <a:avLst/>
                    </a:prstGeom>
                    <a:noFill/>
                  </pic:spPr>
                </pic:pic>
              </a:graphicData>
            </a:graphic>
          </wp:anchor>
        </w:drawing>
      </w:r>
    </w:p>
    <w:p>
      <w:pPr>
        <w:spacing w:after="0" w:line="95" w:lineRule="exact"/>
        <w:rPr>
          <w:sz w:val="20"/>
          <w:szCs w:val="20"/>
          <w:color w:val="auto"/>
        </w:rPr>
      </w:pPr>
    </w:p>
    <w:p>
      <w:pPr>
        <w:ind w:right="20"/>
        <w:spacing w:after="0" w:line="219" w:lineRule="auto"/>
        <w:rPr>
          <w:rFonts w:ascii="Arial" w:cs="Arial" w:eastAsia="Arial" w:hAnsi="Arial"/>
          <w:sz w:val="18"/>
          <w:szCs w:val="18"/>
          <w:color w:val="auto"/>
        </w:rPr>
      </w:pPr>
      <w:hyperlink r:id="rId508">
        <w:r>
          <w:rPr>
            <w:rFonts w:ascii="Arial" w:cs="Arial" w:eastAsia="Arial" w:hAnsi="Arial"/>
            <w:sz w:val="18"/>
            <w:szCs w:val="18"/>
            <w:color w:val="auto"/>
          </w:rPr>
          <w:t>Amended and Restated Lease between Jamestown Premier Davenport, LLC and HubSpot, Inc., executed December 14, 2015 and</w:t>
        </w:r>
      </w:hyperlink>
      <w:r>
        <w:rPr>
          <w:rFonts w:ascii="Arial" w:cs="Arial" w:eastAsia="Arial" w:hAnsi="Arial"/>
          <w:sz w:val="18"/>
          <w:szCs w:val="18"/>
          <w:color w:val="auto"/>
        </w:rPr>
        <w:t xml:space="preserve"> </w:t>
      </w:r>
      <w:hyperlink r:id="rId508">
        <w:r>
          <w:rPr>
            <w:rFonts w:ascii="Arial" w:cs="Arial" w:eastAsia="Arial" w:hAnsi="Arial"/>
            <w:sz w:val="18"/>
            <w:szCs w:val="18"/>
            <w:color w:val="auto"/>
          </w:rPr>
          <w:t>effective as of November 1, 2015; First Amendment to Amended and Restated Lease between Davenport Owner (DE) LLC and HubSpot,</w:t>
        </w:r>
      </w:hyperlink>
      <w:r>
        <w:rPr>
          <w:rFonts w:ascii="Arial" w:cs="Arial" w:eastAsia="Arial" w:hAnsi="Arial"/>
          <w:sz w:val="18"/>
          <w:szCs w:val="18"/>
          <w:color w:val="auto"/>
        </w:rPr>
        <w:t xml:space="preserve"> </w:t>
      </w:r>
      <w:hyperlink r:id="rId508">
        <w:r>
          <w:rPr>
            <w:rFonts w:ascii="Arial" w:cs="Arial" w:eastAsia="Arial" w:hAnsi="Arial"/>
            <w:sz w:val="18"/>
            <w:szCs w:val="18"/>
            <w:color w:val="auto"/>
          </w:rPr>
          <w:t>Inc., effective as of March 23, 2017; Second Amendment to Amended and Restated Lease between Davenport Owner (DE) LLC and</w:t>
        </w:r>
      </w:hyperlink>
      <w:r>
        <w:rPr>
          <w:rFonts w:ascii="Arial" w:cs="Arial" w:eastAsia="Arial" w:hAnsi="Arial"/>
          <w:sz w:val="18"/>
          <w:szCs w:val="18"/>
          <w:color w:val="auto"/>
        </w:rPr>
        <w:t xml:space="preserve"> </w:t>
      </w:r>
      <w:hyperlink r:id="rId508">
        <w:r>
          <w:rPr>
            <w:rFonts w:ascii="Arial" w:cs="Arial" w:eastAsia="Arial" w:hAnsi="Arial"/>
            <w:sz w:val="18"/>
            <w:szCs w:val="18"/>
            <w:color w:val="auto"/>
          </w:rPr>
          <w:t>HubSpot, Inc., effective as of August 31, 2018</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59455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59455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-247015</wp:posOffset>
            </wp:positionV>
            <wp:extent cx="63099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-135890</wp:posOffset>
            </wp:positionV>
            <wp:extent cx="610552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610552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212725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64" w:lineRule="exact"/>
        <w:rPr>
          <w:rFonts w:ascii="Arial" w:cs="Arial" w:eastAsia="Arial" w:hAnsi="Arial"/>
          <w:sz w:val="18"/>
          <w:szCs w:val="18"/>
          <w:color w:val="auto"/>
        </w:rPr>
      </w:pPr>
    </w:p>
    <w:p>
      <w:pPr>
        <w:sectPr>
          <w:pgSz w:w="11900" w:h="16838" w:orient="portrait"/>
          <w:cols w:equalWidth="0" w:num="2">
            <w:col w:w="640" w:space="660"/>
            <w:col w:w="9940"/>
          </w:cols>
          <w:pgMar w:left="320" w:top="32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120"/>
              <w:spacing w:after="0"/>
              <w:rPr>
                <w:sz w:val="20"/>
                <w:szCs w:val="20"/>
                <w:color w:val="auto"/>
              </w:rPr>
            </w:pPr>
            <w:r>
              <w:rPr>
                <w:rFonts w:ascii="Arial" w:cs="Arial" w:eastAsia="Arial" w:hAnsi="Arial"/>
                <w:sz w:val="18"/>
                <w:szCs w:val="18"/>
                <w:color w:val="auto"/>
              </w:rPr>
              <w:t>10.2(9)</w:t>
            </w:r>
          </w:p>
        </w:tc>
        <w:tc>
          <w:tcPr>
            <w:tcW w:w="9940" w:type="dxa"/>
            <w:vAlign w:val="bottom"/>
            <w:gridSpan w:val="22"/>
          </w:tcPr>
          <w:p>
            <w:pPr>
              <w:spacing w:after="0"/>
              <w:rPr>
                <w:rFonts w:ascii="Arial" w:cs="Arial" w:eastAsia="Arial" w:hAnsi="Arial"/>
                <w:sz w:val="18"/>
                <w:szCs w:val="18"/>
                <w:color w:val="auto"/>
                <w:w w:val="94"/>
              </w:rPr>
            </w:pPr>
            <w:hyperlink r:id="rId513">
              <w:r>
                <w:rPr>
                  <w:rFonts w:ascii="Arial" w:cs="Arial" w:eastAsia="Arial" w:hAnsi="Arial"/>
                  <w:sz w:val="18"/>
                  <w:szCs w:val="18"/>
                  <w:color w:val="auto"/>
                  <w:w w:val="94"/>
                </w:rPr>
                <w:t>Lease, dated February 22, 2016, among HubSpot Ireland Limited, HubSpot, Inc. and Hibermia REIT PLC and Agreement for Lease,</w:t>
              </w:r>
            </w:hyperlink>
          </w:p>
        </w:tc>
      </w:tr>
      <w:tr>
        <w:trPr>
          <w:trHeight w:val="155"/>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EE"/>
            </w:tcBorders>
            <w:gridSpan w:val="15"/>
          </w:tcPr>
          <w:p>
            <w:pPr>
              <w:spacing w:after="0" w:line="156" w:lineRule="exact"/>
              <w:rPr>
                <w:rFonts w:ascii="Arial" w:cs="Arial" w:eastAsia="Arial" w:hAnsi="Arial"/>
                <w:sz w:val="18"/>
                <w:szCs w:val="18"/>
                <w:color w:val="auto"/>
              </w:rPr>
            </w:pPr>
            <w:hyperlink r:id="rId513">
              <w:r>
                <w:rPr>
                  <w:rFonts w:ascii="Arial" w:cs="Arial" w:eastAsia="Arial" w:hAnsi="Arial"/>
                  <w:sz w:val="18"/>
                  <w:szCs w:val="18"/>
                  <w:color w:val="auto"/>
                </w:rPr>
                <w:t>dated November 6, 2015, among HubSpot Ireland Limited, HubSpot, Inc. and Hibermia REIT PLC</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300" w:type="dxa"/>
            <w:vAlign w:val="bottom"/>
          </w:tcPr>
          <w:p>
            <w:pPr>
              <w:ind w:left="120"/>
              <w:spacing w:after="0"/>
              <w:rPr>
                <w:sz w:val="20"/>
                <w:szCs w:val="20"/>
                <w:color w:val="auto"/>
              </w:rPr>
            </w:pPr>
            <w:r>
              <w:rPr>
                <w:rFonts w:ascii="Arial" w:cs="Arial" w:eastAsia="Arial" w:hAnsi="Arial"/>
                <w:sz w:val="18"/>
                <w:szCs w:val="18"/>
                <w:color w:val="auto"/>
              </w:rPr>
              <w:t>10.3(10)</w:t>
            </w:r>
          </w:p>
        </w:tc>
        <w:tc>
          <w:tcPr>
            <w:tcW w:w="9940" w:type="dxa"/>
            <w:vAlign w:val="bottom"/>
            <w:gridSpan w:val="22"/>
          </w:tcPr>
          <w:p>
            <w:pPr>
              <w:spacing w:after="0"/>
              <w:rPr>
                <w:rFonts w:ascii="Arial" w:cs="Arial" w:eastAsia="Arial" w:hAnsi="Arial"/>
                <w:sz w:val="18"/>
                <w:szCs w:val="18"/>
                <w:color w:val="auto"/>
                <w:w w:val="91"/>
              </w:rPr>
            </w:pPr>
            <w:hyperlink r:id="rId514">
              <w:r>
                <w:rPr>
                  <w:rFonts w:ascii="Arial" w:cs="Arial" w:eastAsia="Arial" w:hAnsi="Arial"/>
                  <w:sz w:val="18"/>
                  <w:szCs w:val="18"/>
                  <w:color w:val="auto"/>
                  <w:w w:val="91"/>
                </w:rPr>
                <w:t>Lease dated April 23, 2015 between Two Canal Park Massachusetts LLC (formerly BCSP Cambridge Two Property LLC) and HubSpot,</w:t>
              </w:r>
            </w:hyperlink>
          </w:p>
        </w:tc>
      </w:tr>
      <w:tr>
        <w:trPr>
          <w:trHeight w:val="155"/>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auto"/>
                <w:w w:val="90"/>
              </w:rPr>
            </w:pPr>
            <w:hyperlink r:id="rId514">
              <w:r>
                <w:rPr>
                  <w:rFonts w:ascii="Arial" w:cs="Arial" w:eastAsia="Arial" w:hAnsi="Arial"/>
                  <w:sz w:val="18"/>
                  <w:szCs w:val="18"/>
                  <w:color w:val="auto"/>
                  <w:w w:val="90"/>
                </w:rPr>
                <w:t>Inc.; First Amendment to Lease dated August 10, 2016; Second Amendment to Lease dated March 12, 2018; Third Amendment to Lease</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520" w:type="dxa"/>
            <w:vAlign w:val="bottom"/>
            <w:tcBorders>
              <w:bottom w:val="single" w:sz="8" w:color="0000EE"/>
            </w:tcBorders>
            <w:gridSpan w:val="8"/>
          </w:tcPr>
          <w:p>
            <w:pPr>
              <w:spacing w:after="0" w:line="156" w:lineRule="exact"/>
              <w:rPr>
                <w:rFonts w:ascii="Arial" w:cs="Arial" w:eastAsia="Arial" w:hAnsi="Arial"/>
                <w:sz w:val="18"/>
                <w:szCs w:val="18"/>
                <w:color w:val="auto"/>
                <w:w w:val="88"/>
              </w:rPr>
            </w:pPr>
            <w:hyperlink r:id="rId514">
              <w:r>
                <w:rPr>
                  <w:rFonts w:ascii="Arial" w:cs="Arial" w:eastAsia="Arial" w:hAnsi="Arial"/>
                  <w:sz w:val="18"/>
                  <w:szCs w:val="18"/>
                  <w:color w:val="auto"/>
                  <w:w w:val="88"/>
                </w:rPr>
                <w:t>dated December 2, 2019; Fourth Amendment to Lease dated January 6, 2020</w:t>
              </w:r>
            </w:hyperlink>
          </w:p>
        </w:tc>
        <w:tc>
          <w:tcPr>
            <w:tcW w:w="43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10.4(11)</w:t>
            </w:r>
          </w:p>
        </w:tc>
        <w:tc>
          <w:tcPr>
            <w:tcW w:w="9940" w:type="dxa"/>
            <w:vAlign w:val="bottom"/>
            <w:gridSpan w:val="22"/>
          </w:tcPr>
          <w:p>
            <w:pPr>
              <w:spacing w:after="0"/>
              <w:rPr>
                <w:rFonts w:ascii="Arial" w:cs="Arial" w:eastAsia="Arial" w:hAnsi="Arial"/>
                <w:sz w:val="18"/>
                <w:szCs w:val="18"/>
                <w:color w:val="auto"/>
                <w:w w:val="90"/>
              </w:rPr>
            </w:pPr>
            <w:hyperlink r:id="rId515">
              <w:r>
                <w:rPr>
                  <w:rFonts w:ascii="Arial" w:cs="Arial" w:eastAsia="Arial" w:hAnsi="Arial"/>
                  <w:sz w:val="18"/>
                  <w:szCs w:val="18"/>
                  <w:color w:val="auto"/>
                  <w:w w:val="90"/>
                </w:rPr>
                <w:t>Lease dated October 7, 2016 between One Canal Park Massachusetts LLC and HubSpot, Inc.; First Amendment to Lease dated February</w:t>
              </w:r>
            </w:hyperlink>
          </w:p>
        </w:tc>
      </w:tr>
      <w:tr>
        <w:trPr>
          <w:trHeight w:val="156"/>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EE"/>
            </w:tcBorders>
            <w:gridSpan w:val="19"/>
          </w:tcPr>
          <w:p>
            <w:pPr>
              <w:spacing w:after="0" w:line="156" w:lineRule="exact"/>
              <w:rPr>
                <w:rFonts w:ascii="Arial" w:cs="Arial" w:eastAsia="Arial" w:hAnsi="Arial"/>
                <w:sz w:val="18"/>
                <w:szCs w:val="18"/>
                <w:color w:val="auto"/>
                <w:w w:val="92"/>
              </w:rPr>
            </w:pPr>
            <w:hyperlink r:id="rId515">
              <w:r>
                <w:rPr>
                  <w:rFonts w:ascii="Arial" w:cs="Arial" w:eastAsia="Arial" w:hAnsi="Arial"/>
                  <w:sz w:val="18"/>
                  <w:szCs w:val="18"/>
                  <w:color w:val="auto"/>
                  <w:w w:val="92"/>
                </w:rPr>
                <w:t>14, 2017; Second Amendment to Lease dated March 12, 2018.; Third Amendment to Lease dated May 2, 2018; Fourth Amendment to</w:t>
              </w:r>
            </w:hyperlink>
          </w:p>
        </w:tc>
        <w:tc>
          <w:tcPr>
            <w:tcW w:w="40" w:type="dxa"/>
            <w:vAlign w:val="bottom"/>
            <w:gridSpan w:val="2"/>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EE"/>
            </w:tcBorders>
            <w:gridSpan w:val="17"/>
          </w:tcPr>
          <w:p>
            <w:pPr>
              <w:spacing w:after="0" w:line="156" w:lineRule="exact"/>
              <w:rPr>
                <w:rFonts w:ascii="Arial" w:cs="Arial" w:eastAsia="Arial" w:hAnsi="Arial"/>
                <w:sz w:val="18"/>
                <w:szCs w:val="18"/>
                <w:color w:val="auto"/>
              </w:rPr>
            </w:pPr>
            <w:hyperlink r:id="rId515">
              <w:r>
                <w:rPr>
                  <w:rFonts w:ascii="Arial" w:cs="Arial" w:eastAsia="Arial" w:hAnsi="Arial"/>
                  <w:sz w:val="18"/>
                  <w:szCs w:val="18"/>
                  <w:color w:val="auto"/>
                </w:rPr>
                <w:t>Lease dated April 19, 2019</w:t>
              </w:r>
            </w:hyperlink>
          </w:p>
        </w:tc>
        <w:tc>
          <w:tcPr>
            <w:tcW w:w="240" w:type="dxa"/>
            <w:vAlign w:val="bottom"/>
            <w:gridSpan w:val="4"/>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10.5(12)</w:t>
            </w:r>
          </w:p>
        </w:tc>
        <w:tc>
          <w:tcPr>
            <w:tcW w:w="9940" w:type="dxa"/>
            <w:vAlign w:val="bottom"/>
            <w:gridSpan w:val="22"/>
          </w:tcPr>
          <w:p>
            <w:pPr>
              <w:spacing w:after="0"/>
              <w:rPr>
                <w:rFonts w:ascii="Arial" w:cs="Arial" w:eastAsia="Arial" w:hAnsi="Arial"/>
                <w:sz w:val="18"/>
                <w:szCs w:val="18"/>
                <w:color w:val="auto"/>
                <w:w w:val="95"/>
              </w:rPr>
            </w:pPr>
            <w:hyperlink r:id="rId516">
              <w:r>
                <w:rPr>
                  <w:rFonts w:ascii="Arial" w:cs="Arial" w:eastAsia="Arial" w:hAnsi="Arial"/>
                  <w:sz w:val="18"/>
                  <w:szCs w:val="18"/>
                  <w:color w:val="auto"/>
                  <w:w w:val="95"/>
                </w:rPr>
                <w:t>Lease of 1 – 6 Sir John Rogerson's Quay, Windmill Quarter, Dublin 2, dated August 1, 2019, between Hibernia REIT Public Limited</w:t>
              </w:r>
            </w:hyperlink>
          </w:p>
        </w:tc>
      </w:tr>
      <w:tr>
        <w:trPr>
          <w:trHeight w:val="155"/>
        </w:trPr>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EE"/>
            </w:tcBorders>
            <w:gridSpan w:val="16"/>
          </w:tcPr>
          <w:p>
            <w:pPr>
              <w:spacing w:after="0" w:line="156" w:lineRule="exact"/>
              <w:rPr>
                <w:rFonts w:ascii="Arial" w:cs="Arial" w:eastAsia="Arial" w:hAnsi="Arial"/>
                <w:sz w:val="18"/>
                <w:szCs w:val="18"/>
                <w:color w:val="auto"/>
                <w:w w:val="91"/>
              </w:rPr>
            </w:pPr>
            <w:hyperlink r:id="rId516">
              <w:r>
                <w:rPr>
                  <w:rFonts w:ascii="Arial" w:cs="Arial" w:eastAsia="Arial" w:hAnsi="Arial"/>
                  <w:sz w:val="18"/>
                  <w:szCs w:val="18"/>
                  <w:color w:val="auto"/>
                  <w:w w:val="91"/>
                </w:rPr>
                <w:t>Company, as Landlord, HubSpot Ireland Limited, as Tenant, SOBO Management Company Limited by Guarantee, as Management</w:t>
              </w:r>
            </w:hyperlink>
          </w:p>
        </w:tc>
        <w:tc>
          <w:tcPr>
            <w:tcW w:w="320" w:type="dxa"/>
            <w:vAlign w:val="bottom"/>
            <w:gridSpan w:val="5"/>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08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88"/>
              </w:rPr>
            </w:pPr>
            <w:hyperlink r:id="rId516">
              <w:r>
                <w:rPr>
                  <w:rFonts w:ascii="Arial" w:cs="Arial" w:eastAsia="Arial" w:hAnsi="Arial"/>
                  <w:sz w:val="18"/>
                  <w:szCs w:val="18"/>
                  <w:color w:val="auto"/>
                  <w:w w:val="88"/>
                </w:rPr>
                <w:t>Company, and HubSpot, Inc., as Guarantor</w:t>
              </w:r>
            </w:hyperlink>
          </w:p>
        </w:tc>
        <w:tc>
          <w:tcPr>
            <w:tcW w:w="6380" w:type="dxa"/>
            <w:vAlign w:val="bottom"/>
            <w:tcBorders>
              <w:top w:val="single" w:sz="8" w:color="0000EE"/>
            </w:tcBorders>
            <w:gridSpan w:val="9"/>
          </w:tcPr>
          <w:p>
            <w:pPr>
              <w:spacing w:after="0"/>
              <w:rPr>
                <w:sz w:val="13"/>
                <w:szCs w:val="13"/>
                <w:color w:val="auto"/>
              </w:rPr>
            </w:pPr>
          </w:p>
        </w:tc>
        <w:tc>
          <w:tcPr>
            <w:tcW w:w="460" w:type="dxa"/>
            <w:vAlign w:val="bottom"/>
            <w:gridSpan w:val="7"/>
          </w:tcPr>
          <w:p>
            <w:pPr>
              <w:spacing w:after="0"/>
              <w:rPr>
                <w:sz w:val="13"/>
                <w:szCs w:val="13"/>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10.6(13)#</w:t>
            </w:r>
          </w:p>
        </w:tc>
        <w:tc>
          <w:tcPr>
            <w:tcW w:w="7820" w:type="dxa"/>
            <w:vAlign w:val="bottom"/>
            <w:tcBorders>
              <w:bottom w:val="single" w:sz="8" w:color="0000EE"/>
            </w:tcBorders>
            <w:gridSpan w:val="13"/>
          </w:tcPr>
          <w:p>
            <w:pPr>
              <w:spacing w:after="0"/>
              <w:rPr>
                <w:rFonts w:ascii="Arial" w:cs="Arial" w:eastAsia="Arial" w:hAnsi="Arial"/>
                <w:sz w:val="18"/>
                <w:szCs w:val="18"/>
                <w:color w:val="auto"/>
                <w:w w:val="91"/>
              </w:rPr>
            </w:pPr>
            <w:hyperlink r:id="rId517">
              <w:r>
                <w:rPr>
                  <w:rFonts w:ascii="Arial" w:cs="Arial" w:eastAsia="Arial" w:hAnsi="Arial"/>
                  <w:sz w:val="18"/>
                  <w:szCs w:val="18"/>
                  <w:color w:val="auto"/>
                  <w:w w:val="91"/>
                </w:rPr>
                <w:t>Form of Indemnification Agreement between the Registrant and each of its Executive Officers and Directors</w:t>
              </w:r>
            </w:hyperlink>
          </w:p>
        </w:tc>
        <w:tc>
          <w:tcPr>
            <w:tcW w:w="2120" w:type="dxa"/>
            <w:vAlign w:val="bottom"/>
            <w:gridSpan w:val="9"/>
          </w:tcPr>
          <w:p>
            <w:pPr>
              <w:spacing w:after="0"/>
              <w:rPr>
                <w:sz w:val="24"/>
                <w:szCs w:val="24"/>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10.7(14)#</w:t>
            </w:r>
          </w:p>
        </w:tc>
        <w:tc>
          <w:tcPr>
            <w:tcW w:w="9940" w:type="dxa"/>
            <w:vAlign w:val="bottom"/>
            <w:gridSpan w:val="22"/>
          </w:tcPr>
          <w:p>
            <w:pPr>
              <w:spacing w:after="0"/>
              <w:rPr>
                <w:rFonts w:ascii="Arial" w:cs="Arial" w:eastAsia="Arial" w:hAnsi="Arial"/>
                <w:sz w:val="18"/>
                <w:szCs w:val="18"/>
                <w:color w:val="auto"/>
              </w:rPr>
            </w:pPr>
            <w:hyperlink r:id="rId518">
              <w:r>
                <w:rPr>
                  <w:rFonts w:ascii="Arial" w:cs="Arial" w:eastAsia="Arial" w:hAnsi="Arial"/>
                  <w:sz w:val="18"/>
                  <w:szCs w:val="18"/>
                  <w:color w:val="auto"/>
                </w:rPr>
                <w:t>2007 Equity Incentive Plan and forms of restricted stock agreement and option agreements thereunder</w:t>
              </w:r>
            </w:hyperlink>
          </w:p>
        </w:tc>
      </w:tr>
      <w:tr>
        <w:trPr>
          <w:trHeight w:val="20"/>
        </w:trPr>
        <w:tc>
          <w:tcPr>
            <w:tcW w:w="130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10.8**#</w:t>
            </w:r>
          </w:p>
        </w:tc>
        <w:tc>
          <w:tcPr>
            <w:tcW w:w="9040" w:type="dxa"/>
            <w:vAlign w:val="bottom"/>
            <w:tcBorders>
              <w:bottom w:val="single" w:sz="8" w:color="0000EE"/>
            </w:tcBorders>
            <w:gridSpan w:val="14"/>
          </w:tcPr>
          <w:p>
            <w:pPr>
              <w:spacing w:after="0"/>
              <w:rPr>
                <w:rFonts w:ascii="Arial" w:cs="Arial" w:eastAsia="Arial" w:hAnsi="Arial"/>
                <w:sz w:val="18"/>
                <w:szCs w:val="18"/>
                <w:color w:val="auto"/>
                <w:w w:val="89"/>
              </w:rPr>
            </w:pPr>
            <w:hyperlink w:anchor="page105">
              <w:r>
                <w:rPr>
                  <w:rFonts w:ascii="Arial" w:cs="Arial" w:eastAsia="Arial" w:hAnsi="Arial"/>
                  <w:sz w:val="18"/>
                  <w:szCs w:val="18"/>
                  <w:color w:val="auto"/>
                  <w:w w:val="89"/>
                </w:rPr>
                <w:t>2014 Stock Option and Grant Plan, Amendment No.1 thereto, and forms of restricted stock and option agreements thereunder</w:t>
              </w:r>
            </w:hyperlink>
          </w:p>
        </w:tc>
        <w:tc>
          <w:tcPr>
            <w:tcW w:w="900" w:type="dxa"/>
            <w:vAlign w:val="bottom"/>
            <w:gridSpan w:val="8"/>
          </w:tcPr>
          <w:p>
            <w:pPr>
              <w:spacing w:after="0"/>
              <w:rPr>
                <w:sz w:val="24"/>
                <w:szCs w:val="24"/>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10.9(15)#</w:t>
            </w:r>
          </w:p>
        </w:tc>
        <w:tc>
          <w:tcPr>
            <w:tcW w:w="2640" w:type="dxa"/>
            <w:vAlign w:val="bottom"/>
            <w:tcBorders>
              <w:bottom w:val="single" w:sz="8" w:color="0000EE"/>
            </w:tcBorders>
            <w:gridSpan w:val="4"/>
          </w:tcPr>
          <w:p>
            <w:pPr>
              <w:spacing w:after="0"/>
              <w:rPr>
                <w:rFonts w:ascii="Arial" w:cs="Arial" w:eastAsia="Arial" w:hAnsi="Arial"/>
                <w:sz w:val="18"/>
                <w:szCs w:val="18"/>
                <w:color w:val="auto"/>
                <w:w w:val="88"/>
              </w:rPr>
            </w:pPr>
            <w:hyperlink r:id="rId519">
              <w:r>
                <w:rPr>
                  <w:rFonts w:ascii="Arial" w:cs="Arial" w:eastAsia="Arial" w:hAnsi="Arial"/>
                  <w:sz w:val="18"/>
                  <w:szCs w:val="18"/>
                  <w:color w:val="auto"/>
                  <w:w w:val="88"/>
                </w:rPr>
                <w:t>2014 Employee Stock Purchase Plan</w:t>
              </w:r>
            </w:hyperlink>
          </w:p>
        </w:tc>
        <w:tc>
          <w:tcPr>
            <w:tcW w:w="7300" w:type="dxa"/>
            <w:vAlign w:val="bottom"/>
            <w:gridSpan w:val="18"/>
          </w:tcPr>
          <w:p>
            <w:pPr>
              <w:spacing w:after="0"/>
              <w:rPr>
                <w:sz w:val="24"/>
                <w:szCs w:val="24"/>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10.10**#</w:t>
            </w:r>
          </w:p>
        </w:tc>
        <w:tc>
          <w:tcPr>
            <w:tcW w:w="2920" w:type="dxa"/>
            <w:vAlign w:val="bottom"/>
            <w:tcBorders>
              <w:bottom w:val="single" w:sz="8" w:color="0000EE"/>
            </w:tcBorders>
            <w:gridSpan w:val="5"/>
          </w:tcPr>
          <w:p>
            <w:pPr>
              <w:spacing w:after="0"/>
              <w:rPr>
                <w:rFonts w:ascii="Arial" w:cs="Arial" w:eastAsia="Arial" w:hAnsi="Arial"/>
                <w:sz w:val="18"/>
                <w:szCs w:val="18"/>
                <w:color w:val="auto"/>
                <w:w w:val="88"/>
              </w:rPr>
            </w:pPr>
            <w:hyperlink w:anchor="page184">
              <w:r>
                <w:rPr>
                  <w:rFonts w:ascii="Arial" w:cs="Arial" w:eastAsia="Arial" w:hAnsi="Arial"/>
                  <w:sz w:val="18"/>
                  <w:szCs w:val="18"/>
                  <w:color w:val="auto"/>
                  <w:w w:val="88"/>
                </w:rPr>
                <w:t>Management Cash Incentive Bonus Plan</w:t>
              </w:r>
            </w:hyperlink>
          </w:p>
        </w:tc>
        <w:tc>
          <w:tcPr>
            <w:tcW w:w="7020" w:type="dxa"/>
            <w:vAlign w:val="bottom"/>
            <w:gridSpan w:val="17"/>
          </w:tcPr>
          <w:p>
            <w:pPr>
              <w:spacing w:after="0"/>
              <w:rPr>
                <w:sz w:val="24"/>
                <w:szCs w:val="24"/>
                <w:color w:val="auto"/>
              </w:rPr>
            </w:pPr>
          </w:p>
        </w:tc>
      </w:tr>
      <w:tr>
        <w:trPr>
          <w:trHeight w:val="291"/>
        </w:trPr>
        <w:tc>
          <w:tcPr>
            <w:tcW w:w="1300" w:type="dxa"/>
            <w:vAlign w:val="bottom"/>
          </w:tcPr>
          <w:p>
            <w:pPr>
              <w:ind w:left="120"/>
              <w:spacing w:after="0"/>
              <w:rPr>
                <w:sz w:val="20"/>
                <w:szCs w:val="20"/>
                <w:color w:val="auto"/>
              </w:rPr>
            </w:pPr>
            <w:r>
              <w:rPr>
                <w:rFonts w:ascii="Arial" w:cs="Arial" w:eastAsia="Arial" w:hAnsi="Arial"/>
                <w:sz w:val="18"/>
                <w:szCs w:val="18"/>
                <w:color w:val="auto"/>
              </w:rPr>
              <w:t>10.11(16)</w:t>
            </w:r>
          </w:p>
        </w:tc>
        <w:tc>
          <w:tcPr>
            <w:tcW w:w="9940" w:type="dxa"/>
            <w:vAlign w:val="bottom"/>
            <w:gridSpan w:val="22"/>
          </w:tcPr>
          <w:p>
            <w:pPr>
              <w:spacing w:after="0"/>
              <w:rPr>
                <w:rFonts w:ascii="Arial" w:cs="Arial" w:eastAsia="Arial" w:hAnsi="Arial"/>
                <w:sz w:val="18"/>
                <w:szCs w:val="18"/>
                <w:color w:val="auto"/>
              </w:rPr>
            </w:pPr>
            <w:hyperlink r:id="rId520">
              <w:r>
                <w:rPr>
                  <w:rFonts w:ascii="Arial" w:cs="Arial" w:eastAsia="Arial" w:hAnsi="Arial"/>
                  <w:sz w:val="18"/>
                  <w:szCs w:val="18"/>
                  <w:color w:val="auto"/>
                </w:rPr>
                <w:t>Form of Call Option Transaction Confirmation</w:t>
              </w:r>
            </w:hyperlink>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10.12(17)</w:t>
            </w:r>
          </w:p>
        </w:tc>
        <w:tc>
          <w:tcPr>
            <w:tcW w:w="3360" w:type="dxa"/>
            <w:vAlign w:val="bottom"/>
            <w:tcBorders>
              <w:top w:val="single" w:sz="8" w:color="0000EE"/>
            </w:tcBorders>
            <w:gridSpan w:val="7"/>
          </w:tcPr>
          <w:p>
            <w:pPr>
              <w:spacing w:after="0"/>
              <w:rPr>
                <w:rFonts w:ascii="Arial" w:cs="Arial" w:eastAsia="Arial" w:hAnsi="Arial"/>
                <w:sz w:val="18"/>
                <w:szCs w:val="18"/>
                <w:color w:val="auto"/>
              </w:rPr>
            </w:pPr>
            <w:hyperlink r:id="rId521">
              <w:r>
                <w:rPr>
                  <w:rFonts w:ascii="Arial" w:cs="Arial" w:eastAsia="Arial" w:hAnsi="Arial"/>
                  <w:sz w:val="18"/>
                  <w:szCs w:val="18"/>
                  <w:color w:val="auto"/>
                </w:rPr>
                <w:t>Form of Warrant Confirmation</w:t>
              </w:r>
            </w:hyperlink>
          </w:p>
        </w:tc>
        <w:tc>
          <w:tcPr>
            <w:tcW w:w="6580" w:type="dxa"/>
            <w:vAlign w:val="bottom"/>
            <w:gridSpan w:val="15"/>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980" w:type="dxa"/>
            <w:vAlign w:val="bottom"/>
            <w:gridSpan w:val="12"/>
          </w:tcPr>
          <w:p>
            <w:pPr>
              <w:spacing w:after="0" w:line="20" w:lineRule="exact"/>
              <w:rPr>
                <w:sz w:val="1"/>
                <w:szCs w:val="1"/>
                <w:color w:val="auto"/>
              </w:rPr>
            </w:pPr>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10.13**#</w:t>
            </w:r>
          </w:p>
        </w:tc>
        <w:tc>
          <w:tcPr>
            <w:tcW w:w="9940" w:type="dxa"/>
            <w:vAlign w:val="bottom"/>
            <w:gridSpan w:val="22"/>
          </w:tcPr>
          <w:p>
            <w:pPr>
              <w:spacing w:after="0"/>
              <w:rPr>
                <w:rFonts w:ascii="Arial" w:cs="Arial" w:eastAsia="Arial" w:hAnsi="Arial"/>
                <w:sz w:val="18"/>
                <w:szCs w:val="18"/>
                <w:color w:val="auto"/>
              </w:rPr>
            </w:pPr>
            <w:hyperlink w:anchor="page187">
              <w:r>
                <w:rPr>
                  <w:rFonts w:ascii="Arial" w:cs="Arial" w:eastAsia="Arial" w:hAnsi="Arial"/>
                  <w:sz w:val="18"/>
                  <w:szCs w:val="18"/>
                  <w:color w:val="auto"/>
                </w:rPr>
                <w:t>Non-Employee Director Compensation Policy (as amended and currently in effect)</w:t>
              </w:r>
            </w:hyperlink>
          </w:p>
        </w:tc>
      </w:tr>
      <w:tr>
        <w:trPr>
          <w:trHeight w:val="290"/>
        </w:trPr>
        <w:tc>
          <w:tcPr>
            <w:tcW w:w="1300" w:type="dxa"/>
            <w:vAlign w:val="bottom"/>
          </w:tcPr>
          <w:p>
            <w:pPr>
              <w:ind w:left="120"/>
              <w:spacing w:after="0"/>
              <w:rPr>
                <w:sz w:val="20"/>
                <w:szCs w:val="20"/>
                <w:color w:val="auto"/>
              </w:rPr>
            </w:pPr>
            <w:r>
              <w:rPr>
                <w:rFonts w:ascii="Arial" w:cs="Arial" w:eastAsia="Arial" w:hAnsi="Arial"/>
                <w:sz w:val="18"/>
                <w:szCs w:val="18"/>
                <w:color w:val="auto"/>
              </w:rPr>
              <w:t>10.14(18)</w:t>
            </w:r>
          </w:p>
        </w:tc>
        <w:tc>
          <w:tcPr>
            <w:tcW w:w="5960" w:type="dxa"/>
            <w:vAlign w:val="bottom"/>
            <w:tcBorders>
              <w:top w:val="single" w:sz="8" w:color="0000EE"/>
            </w:tcBorders>
            <w:gridSpan w:val="10"/>
          </w:tcPr>
          <w:p>
            <w:pPr>
              <w:spacing w:after="0"/>
              <w:rPr>
                <w:rFonts w:ascii="Arial" w:cs="Arial" w:eastAsia="Arial" w:hAnsi="Arial"/>
                <w:sz w:val="18"/>
                <w:szCs w:val="18"/>
                <w:color w:val="auto"/>
              </w:rPr>
            </w:pPr>
            <w:hyperlink r:id="rId522">
              <w:r>
                <w:rPr>
                  <w:rFonts w:ascii="Arial" w:cs="Arial" w:eastAsia="Arial" w:hAnsi="Arial"/>
                  <w:sz w:val="18"/>
                  <w:szCs w:val="18"/>
                  <w:color w:val="auto"/>
                </w:rPr>
                <w:t>Form of Capped Call Transaction Confirmation</w:t>
              </w:r>
            </w:hyperlink>
          </w:p>
        </w:tc>
        <w:tc>
          <w:tcPr>
            <w:tcW w:w="3980" w:type="dxa"/>
            <w:vAlign w:val="bottom"/>
            <w:gridSpan w:val="12"/>
          </w:tcPr>
          <w:p>
            <w:pPr>
              <w:spacing w:after="0"/>
              <w:rPr>
                <w:sz w:val="24"/>
                <w:szCs w:val="24"/>
                <w:color w:val="auto"/>
              </w:rPr>
            </w:pPr>
          </w:p>
        </w:tc>
      </w:tr>
      <w:tr>
        <w:trPr>
          <w:trHeight w:val="830"/>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EE"/>
            </w:tcBorders>
            <w:gridSpan w:val="7"/>
          </w:tcPr>
          <w:p>
            <w:pPr>
              <w:spacing w:after="0"/>
              <w:rPr>
                <w:sz w:val="24"/>
                <w:szCs w:val="24"/>
                <w:color w:val="auto"/>
              </w:rPr>
            </w:pPr>
          </w:p>
        </w:tc>
        <w:tc>
          <w:tcPr>
            <w:tcW w:w="2120" w:type="dxa"/>
            <w:vAlign w:val="bottom"/>
          </w:tcPr>
          <w:p>
            <w:pPr>
              <w:jc w:val="right"/>
              <w:ind w:right="103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00" w:name="page101"/>
    <w:bookmarkEnd w:id="100"/>
    <w:tbl>
      <w:tblPr>
        <w:tblLayout w:type="fixed"/>
        <w:tblInd w:w="2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Arial" w:cs="Arial" w:eastAsia="Arial" w:hAnsi="Arial"/>
                <w:sz w:val="18"/>
                <w:szCs w:val="18"/>
                <w:color w:val="auto"/>
              </w:rPr>
              <w:t>21.1**</w:t>
            </w:r>
          </w:p>
        </w:tc>
        <w:tc>
          <w:tcPr>
            <w:tcW w:w="9840" w:type="dxa"/>
            <w:vAlign w:val="bottom"/>
            <w:gridSpan w:val="7"/>
          </w:tcPr>
          <w:p>
            <w:pPr>
              <w:spacing w:after="0"/>
              <w:rPr>
                <w:rFonts w:ascii="Arial" w:cs="Arial" w:eastAsia="Arial" w:hAnsi="Arial"/>
                <w:sz w:val="18"/>
                <w:szCs w:val="18"/>
                <w:color w:val="auto"/>
              </w:rPr>
            </w:pPr>
            <w:hyperlink w:anchor="page189">
              <w:r>
                <w:rPr>
                  <w:rFonts w:ascii="Arial" w:cs="Arial" w:eastAsia="Arial" w:hAnsi="Arial"/>
                  <w:sz w:val="18"/>
                  <w:szCs w:val="18"/>
                  <w:color w:val="auto"/>
                </w:rPr>
                <w:t>List of Subsidiaries</w:t>
              </w:r>
            </w:hyperlink>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1280" w:type="dxa"/>
            <w:vAlign w:val="bottom"/>
          </w:tcPr>
          <w:p>
            <w:pPr>
              <w:ind w:left="100"/>
              <w:spacing w:after="0"/>
              <w:rPr>
                <w:sz w:val="20"/>
                <w:szCs w:val="20"/>
                <w:color w:val="auto"/>
              </w:rPr>
            </w:pPr>
            <w:r>
              <w:rPr>
                <w:rFonts w:ascii="Arial" w:cs="Arial" w:eastAsia="Arial" w:hAnsi="Arial"/>
                <w:sz w:val="18"/>
                <w:szCs w:val="18"/>
                <w:color w:val="auto"/>
              </w:rPr>
              <w:t>23.1**</w:t>
            </w:r>
          </w:p>
        </w:tc>
        <w:tc>
          <w:tcPr>
            <w:tcW w:w="6540" w:type="dxa"/>
            <w:vAlign w:val="bottom"/>
            <w:tcBorders>
              <w:bottom w:val="single" w:sz="8" w:color="0000EE"/>
            </w:tcBorders>
            <w:gridSpan w:val="3"/>
          </w:tcPr>
          <w:p>
            <w:pPr>
              <w:spacing w:after="0"/>
              <w:rPr>
                <w:rFonts w:ascii="Arial" w:cs="Arial" w:eastAsia="Arial" w:hAnsi="Arial"/>
                <w:sz w:val="18"/>
                <w:szCs w:val="18"/>
                <w:color w:val="auto"/>
                <w:w w:val="90"/>
              </w:rPr>
            </w:pPr>
            <w:hyperlink w:anchor="page190">
              <w:r>
                <w:rPr>
                  <w:rFonts w:ascii="Arial" w:cs="Arial" w:eastAsia="Arial" w:hAnsi="Arial"/>
                  <w:sz w:val="18"/>
                  <w:szCs w:val="18"/>
                  <w:color w:val="auto"/>
                  <w:w w:val="90"/>
                </w:rPr>
                <w:t>Consent of PricewaterhouseCoopers LLP, Independent Registered Public Accounting Firm</w:t>
              </w:r>
            </w:hyperlink>
          </w:p>
        </w:tc>
        <w:tc>
          <w:tcPr>
            <w:tcW w:w="3300" w:type="dxa"/>
            <w:vAlign w:val="bottom"/>
            <w:gridSpan w:val="4"/>
          </w:tcPr>
          <w:p>
            <w:pPr>
              <w:spacing w:after="0"/>
              <w:rPr>
                <w:sz w:val="24"/>
                <w:szCs w:val="24"/>
                <w:color w:val="auto"/>
              </w:rPr>
            </w:pPr>
          </w:p>
        </w:tc>
      </w:tr>
      <w:tr>
        <w:trPr>
          <w:trHeight w:val="291"/>
        </w:trPr>
        <w:tc>
          <w:tcPr>
            <w:tcW w:w="1280" w:type="dxa"/>
            <w:vAlign w:val="bottom"/>
          </w:tcPr>
          <w:p>
            <w:pPr>
              <w:ind w:left="100"/>
              <w:spacing w:after="0"/>
              <w:rPr>
                <w:sz w:val="20"/>
                <w:szCs w:val="20"/>
                <w:color w:val="auto"/>
              </w:rPr>
            </w:pPr>
            <w:r>
              <w:rPr>
                <w:rFonts w:ascii="Arial" w:cs="Arial" w:eastAsia="Arial" w:hAnsi="Arial"/>
                <w:sz w:val="18"/>
                <w:szCs w:val="18"/>
                <w:color w:val="auto"/>
              </w:rPr>
              <w:t>24.1**</w:t>
            </w:r>
          </w:p>
        </w:tc>
        <w:tc>
          <w:tcPr>
            <w:tcW w:w="9840" w:type="dxa"/>
            <w:vAlign w:val="bottom"/>
            <w:gridSpan w:val="7"/>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Power of Attorney (included on signature page)</w:t>
              </w:r>
            </w:hyperlink>
          </w:p>
        </w:tc>
      </w:tr>
      <w:tr>
        <w:trPr>
          <w:trHeight w:val="20"/>
        </w:trPr>
        <w:tc>
          <w:tcPr>
            <w:tcW w:w="12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9840" w:type="dxa"/>
            <w:vAlign w:val="bottom"/>
            <w:gridSpan w:val="7"/>
          </w:tcPr>
          <w:p>
            <w:pPr>
              <w:spacing w:after="0"/>
              <w:rPr>
                <w:rFonts w:ascii="Arial" w:cs="Arial" w:eastAsia="Arial" w:hAnsi="Arial"/>
                <w:sz w:val="18"/>
                <w:szCs w:val="18"/>
                <w:color w:val="auto"/>
              </w:rPr>
            </w:pPr>
            <w:hyperlink w:anchor="page191">
              <w:r>
                <w:rPr>
                  <w:rFonts w:ascii="Arial" w:cs="Arial" w:eastAsia="Arial" w:hAnsi="Arial"/>
                  <w:sz w:val="18"/>
                  <w:szCs w:val="18"/>
                  <w:color w:val="auto"/>
                </w:rPr>
                <w:t>Certification of Chief Executive Officer Pursuant to Section 302 of the Sarbanes-Oxley Act of 2002</w:t>
              </w:r>
            </w:hyperlink>
          </w:p>
        </w:tc>
      </w:tr>
      <w:tr>
        <w:trPr>
          <w:trHeight w:val="291"/>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7140" w:type="dxa"/>
            <w:vAlign w:val="bottom"/>
            <w:tcBorders>
              <w:top w:val="single" w:sz="8" w:color="0000EE"/>
              <w:bottom w:val="single" w:sz="8" w:color="0000EE"/>
            </w:tcBorders>
            <w:gridSpan w:val="4"/>
          </w:tcPr>
          <w:p>
            <w:pPr>
              <w:spacing w:after="0"/>
              <w:rPr>
                <w:rFonts w:ascii="Arial" w:cs="Arial" w:eastAsia="Arial" w:hAnsi="Arial"/>
                <w:sz w:val="18"/>
                <w:szCs w:val="18"/>
                <w:color w:val="auto"/>
                <w:w w:val="91"/>
              </w:rPr>
            </w:pPr>
            <w:hyperlink w:anchor="page192">
              <w:r>
                <w:rPr>
                  <w:rFonts w:ascii="Arial" w:cs="Arial" w:eastAsia="Arial" w:hAnsi="Arial"/>
                  <w:sz w:val="18"/>
                  <w:szCs w:val="18"/>
                  <w:color w:val="auto"/>
                  <w:w w:val="91"/>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660" w:type="dxa"/>
            <w:vAlign w:val="bottom"/>
            <w:gridSpan w:val="2"/>
          </w:tcPr>
          <w:p>
            <w:pPr>
              <w:spacing w:after="0"/>
              <w:rPr>
                <w:sz w:val="24"/>
                <w:szCs w:val="24"/>
                <w:color w:val="auto"/>
              </w:rPr>
            </w:pPr>
          </w:p>
        </w:tc>
      </w:tr>
      <w:tr>
        <w:trPr>
          <w:trHeight w:val="290"/>
        </w:trPr>
        <w:tc>
          <w:tcPr>
            <w:tcW w:w="1280" w:type="dxa"/>
            <w:vAlign w:val="bottom"/>
          </w:tcPr>
          <w:p>
            <w:pPr>
              <w:ind w:left="100"/>
              <w:spacing w:after="0"/>
              <w:rPr>
                <w:sz w:val="20"/>
                <w:szCs w:val="20"/>
                <w:color w:val="auto"/>
              </w:rPr>
            </w:pPr>
            <w:r>
              <w:rPr>
                <w:rFonts w:ascii="Arial" w:cs="Arial" w:eastAsia="Arial" w:hAnsi="Arial"/>
                <w:sz w:val="18"/>
                <w:szCs w:val="18"/>
                <w:color w:val="auto"/>
              </w:rPr>
              <w:t>32.1**Ÿ</w:t>
            </w:r>
          </w:p>
        </w:tc>
        <w:tc>
          <w:tcPr>
            <w:tcW w:w="9840" w:type="dxa"/>
            <w:vAlign w:val="bottom"/>
            <w:gridSpan w:val="7"/>
          </w:tcPr>
          <w:p>
            <w:pPr>
              <w:spacing w:after="0"/>
              <w:rPr>
                <w:rFonts w:ascii="Arial" w:cs="Arial" w:eastAsia="Arial" w:hAnsi="Arial"/>
                <w:sz w:val="18"/>
                <w:szCs w:val="18"/>
                <w:color w:val="auto"/>
                <w:w w:val="98"/>
              </w:rPr>
            </w:pPr>
            <w:hyperlink w:anchor="page193">
              <w:r>
                <w:rPr>
                  <w:rFonts w:ascii="Arial" w:cs="Arial" w:eastAsia="Arial" w:hAnsi="Arial"/>
                  <w:sz w:val="18"/>
                  <w:szCs w:val="18"/>
                  <w:color w:val="auto"/>
                  <w:w w:val="98"/>
                </w:rPr>
                <w:t>Certification of Chief Executive Officer and Chief Financial Officer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920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77"/>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8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1"/>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1"/>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4" w:lineRule="exact"/>
        <w:rPr>
          <w:sz w:val="20"/>
          <w:szCs w:val="20"/>
          <w:color w:val="auto"/>
        </w:rPr>
      </w:pPr>
    </w:p>
    <w:p>
      <w:pPr>
        <w:ind w:left="1300" w:right="480" w:hanging="1279"/>
        <w:spacing w:after="0" w:line="235"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10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04" w:lineRule="exact"/>
        <w:rPr>
          <w:sz w:val="20"/>
          <w:szCs w:val="20"/>
          <w:color w:val="auto"/>
        </w:rPr>
      </w:pPr>
    </w:p>
    <w:p>
      <w:pPr>
        <w:ind w:left="520" w:right="120" w:hanging="512"/>
        <w:spacing w:after="0" w:line="243"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spacing w:after="0" w:line="80"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11, 2020.</w:t>
      </w:r>
    </w:p>
    <w:p>
      <w:pPr>
        <w:spacing w:after="0" w:line="103" w:lineRule="exact"/>
        <w:rPr>
          <w:rFonts w:ascii="Arial" w:cs="Arial" w:eastAsia="Arial" w:hAnsi="Arial"/>
          <w:sz w:val="18"/>
          <w:szCs w:val="18"/>
          <w:color w:val="auto"/>
        </w:rPr>
      </w:pPr>
    </w:p>
    <w:p>
      <w:pPr>
        <w:ind w:left="520" w:hanging="512"/>
        <w:spacing w:after="0" w:line="261"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4.2 to HubSpot, Inc.’s Registration Statement on Form S-1 (SEC File No. 333-198333) filed on August 25, 2014.</w:t>
      </w:r>
    </w:p>
    <w:p>
      <w:pPr>
        <w:spacing w:after="0" w:line="126" w:lineRule="exact"/>
        <w:rPr>
          <w:rFonts w:ascii="Arial" w:cs="Arial" w:eastAsia="Arial" w:hAnsi="Arial"/>
          <w:sz w:val="16"/>
          <w:szCs w:val="16"/>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Form 8-K filed on May 10, 2017.</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4.2 to HubSpot, Inc.’s Current Report on Form 8-K filed on June 5, 2020.</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4.5 to HubSpot, Inc.’s Annual Report on Form 10-K filed on February 12, 2020.</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Annual Report on Form 10-K filed on February 12, 2019.</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Quarterly Report on Form 10-Q filed May 4, 2016.</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10.3 to HubSpot, Inc.’s Annual Report on Form 10-K filed on February 12, 2020.</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Annual Report on Form 10-K filed on February 12, 2020.</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Annual Report on Form 10-K filed on February 12, 2020.</w:t>
      </w:r>
    </w:p>
    <w:p>
      <w:pPr>
        <w:spacing w:after="0" w:line="103" w:lineRule="exact"/>
        <w:rPr>
          <w:rFonts w:ascii="Arial" w:cs="Arial" w:eastAsia="Arial" w:hAnsi="Arial"/>
          <w:sz w:val="18"/>
          <w:szCs w:val="18"/>
          <w:color w:val="auto"/>
        </w:rPr>
      </w:pPr>
    </w:p>
    <w:p>
      <w:pPr>
        <w:ind w:left="520" w:right="420" w:hanging="512"/>
        <w:spacing w:after="0" w:line="261"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20" w:right="420" w:hanging="512"/>
        <w:spacing w:after="0" w:line="261"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Registration Statement on Form S-1 (SEC File No. 333-198333) filed on August 25, 2014.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1" w:name="page102"/>
    <w:bookmarkEnd w:id="101"/>
    <w:p>
      <w:pPr>
        <w:ind w:left="512" w:hanging="512"/>
        <w:spacing w:after="0" w:line="261" w:lineRule="auto"/>
        <w:tabs>
          <w:tab w:leader="none" w:pos="3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10.8 to HubSpot, Inc.’s Amendment No. 2 to Registration Statement on Form S-1 (SEC File No. 333-198333) filed on October 6, 2014.</w:t>
      </w:r>
    </w:p>
    <w:p>
      <w:pPr>
        <w:spacing w:after="0" w:line="62" w:lineRule="exact"/>
        <w:rPr>
          <w:rFonts w:ascii="Arial" w:cs="Arial" w:eastAsia="Arial" w:hAnsi="Arial"/>
          <w:sz w:val="18"/>
          <w:szCs w:val="18"/>
          <w:color w:val="auto"/>
        </w:rPr>
      </w:pPr>
    </w:p>
    <w:p>
      <w:pPr>
        <w:ind w:left="352" w:hanging="352"/>
        <w:spacing w:after="0"/>
        <w:tabs>
          <w:tab w:leader="none" w:pos="3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Form 8-K filed on May 10, 2017.</w:t>
      </w:r>
    </w:p>
    <w:p>
      <w:pPr>
        <w:spacing w:after="0" w:line="103" w:lineRule="exact"/>
        <w:rPr>
          <w:rFonts w:ascii="Arial" w:cs="Arial" w:eastAsia="Arial" w:hAnsi="Arial"/>
          <w:sz w:val="18"/>
          <w:szCs w:val="18"/>
          <w:color w:val="auto"/>
        </w:rPr>
      </w:pPr>
    </w:p>
    <w:p>
      <w:pPr>
        <w:ind w:left="352" w:hanging="352"/>
        <w:spacing w:after="0"/>
        <w:tabs>
          <w:tab w:leader="none" w:pos="3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HubSpot, Inc.’s Form 8-K filed on May 10, 2017.</w:t>
      </w:r>
    </w:p>
    <w:p>
      <w:pPr>
        <w:spacing w:after="0" w:line="103" w:lineRule="exact"/>
        <w:rPr>
          <w:rFonts w:ascii="Arial" w:cs="Arial" w:eastAsia="Arial" w:hAnsi="Arial"/>
          <w:sz w:val="18"/>
          <w:szCs w:val="18"/>
          <w:color w:val="auto"/>
        </w:rPr>
      </w:pPr>
    </w:p>
    <w:p>
      <w:pPr>
        <w:ind w:left="352" w:hanging="352"/>
        <w:spacing w:after="0"/>
        <w:tabs>
          <w:tab w:leader="none" w:pos="3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Current Report on Form 8-K filed on June 5, 2020.</w:t>
      </w:r>
    </w:p>
    <w:p>
      <w:pPr>
        <w:spacing w:after="0" w:line="200" w:lineRule="exact"/>
        <w:rPr>
          <w:sz w:val="20"/>
          <w:szCs w:val="20"/>
          <w:color w:val="auto"/>
        </w:rPr>
      </w:pPr>
    </w:p>
    <w:p>
      <w:pPr>
        <w:spacing w:after="0" w:line="322"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2"/>
          </w:cols>
          <w:pgMar w:left="328" w:top="436" w:right="61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Cambridge, Commonwealth of Massachusetts, on the 14th day of February 2022 .</w:t>
      </w:r>
    </w:p>
    <w:p>
      <w:pPr>
        <w:spacing w:after="0" w:line="10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HUBSPOT, INC.</w:t>
      </w:r>
    </w:p>
    <w:p>
      <w:pPr>
        <w:spacing w:after="0" w:line="243"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6350</wp:posOffset>
            </wp:positionV>
            <wp:extent cx="24688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Yamini Rangan</w:t>
      </w:r>
    </w:p>
    <w:p>
      <w:pPr>
        <w:spacing w:after="0" w:line="224"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the undersigned directors and officers of HubSpot, Inc. (the “Company”), hereby and severally constitute and appoint Yamini Rangan, Kate Bueker, and John Kelleher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spacing w:after="0" w:line="180"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45"/>
        </w:trPr>
        <w:tc>
          <w:tcPr>
            <w:tcW w:w="4500" w:type="dxa"/>
            <w:vAlign w:val="bottom"/>
          </w:tcPr>
          <w:p>
            <w:pPr>
              <w:ind w:left="20"/>
              <w:spacing w:after="0"/>
              <w:rPr>
                <w:sz w:val="20"/>
                <w:szCs w:val="20"/>
                <w:color w:val="auto"/>
              </w:rPr>
            </w:pPr>
            <w:r>
              <w:rPr>
                <w:rFonts w:ascii="Arial" w:cs="Arial" w:eastAsia="Arial" w:hAnsi="Arial"/>
                <w:sz w:val="18"/>
                <w:szCs w:val="18"/>
                <w:color w:val="auto"/>
              </w:rPr>
              <w:t>/s/ Yamini Rangan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Yamini Rangan</w:t>
            </w:r>
          </w:p>
        </w:tc>
        <w:tc>
          <w:tcPr>
            <w:tcW w:w="1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4500" w:type="dxa"/>
            <w:vAlign w:val="bottom"/>
          </w:tcPr>
          <w:p>
            <w:pPr>
              <w:ind w:left="20"/>
              <w:spacing w:after="0"/>
              <w:rPr>
                <w:sz w:val="20"/>
                <w:szCs w:val="20"/>
                <w:color w:val="auto"/>
              </w:rPr>
            </w:pPr>
            <w:r>
              <w:rPr>
                <w:rFonts w:ascii="Arial" w:cs="Arial" w:eastAsia="Arial" w:hAnsi="Arial"/>
                <w:sz w:val="18"/>
                <w:szCs w:val="18"/>
                <w:color w:val="auto"/>
              </w:rPr>
              <w:t>/s/ Kate Bueker</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Kate Bueker</w:t>
            </w:r>
          </w:p>
        </w:tc>
        <w:tc>
          <w:tcPr>
            <w:tcW w:w="120" w:type="dxa"/>
            <w:vAlign w:val="bottom"/>
          </w:tcPr>
          <w:p>
            <w:pPr>
              <w:spacing w:after="0"/>
              <w:rPr>
                <w:sz w:val="19"/>
                <w:szCs w:val="19"/>
                <w:color w:val="auto"/>
              </w:rPr>
            </w:pPr>
          </w:p>
        </w:tc>
        <w:tc>
          <w:tcPr>
            <w:tcW w:w="4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Halligan</w:t>
            </w:r>
          </w:p>
        </w:tc>
        <w:tc>
          <w:tcPr>
            <w:tcW w:w="4960" w:type="dxa"/>
            <w:vAlign w:val="bottom"/>
            <w:gridSpan w:val="2"/>
          </w:tcPr>
          <w:p>
            <w:pPr>
              <w:jc w:val="right"/>
              <w:ind w:right="3111"/>
              <w:spacing w:after="0"/>
              <w:rPr>
                <w:sz w:val="20"/>
                <w:szCs w:val="20"/>
                <w:color w:val="auto"/>
              </w:rPr>
            </w:pPr>
            <w:r>
              <w:rPr>
                <w:rFonts w:ascii="Arial" w:cs="Arial" w:eastAsia="Arial" w:hAnsi="Arial"/>
                <w:sz w:val="18"/>
                <w:szCs w:val="18"/>
                <w:color w:val="auto"/>
                <w:w w:val="96"/>
              </w:rPr>
              <w:t>Executive Chairperson</w:t>
            </w:r>
          </w:p>
        </w:tc>
        <w:tc>
          <w:tcPr>
            <w:tcW w:w="1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February 14, 2022</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Brian Halligan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4500" w:type="dxa"/>
            <w:vAlign w:val="bottom"/>
          </w:tcPr>
          <w:p>
            <w:pPr>
              <w:ind w:left="20"/>
              <w:spacing w:after="0"/>
              <w:rPr>
                <w:sz w:val="20"/>
                <w:szCs w:val="20"/>
                <w:color w:val="auto"/>
              </w:rPr>
            </w:pPr>
            <w:r>
              <w:rPr>
                <w:rFonts w:ascii="Arial" w:cs="Arial" w:eastAsia="Arial" w:hAnsi="Arial"/>
                <w:sz w:val="18"/>
                <w:szCs w:val="18"/>
                <w:color w:val="auto"/>
              </w:rPr>
              <w:t>/s/ Dharmesh Shah</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 and Chief Technology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Dharmesh Shah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4500" w:type="dxa"/>
            <w:vAlign w:val="bottom"/>
          </w:tcPr>
          <w:p>
            <w:pPr>
              <w:ind w:left="20"/>
              <w:spacing w:after="0"/>
              <w:rPr>
                <w:sz w:val="20"/>
                <w:szCs w:val="20"/>
                <w:color w:val="auto"/>
              </w:rPr>
            </w:pPr>
            <w:r>
              <w:rPr>
                <w:rFonts w:ascii="Arial" w:cs="Arial" w:eastAsia="Arial" w:hAnsi="Arial"/>
                <w:sz w:val="18"/>
                <w:szCs w:val="18"/>
                <w:color w:val="auto"/>
              </w:rPr>
              <w:t>/s/ Nick Caldwell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Nick Caldwell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4500" w:type="dxa"/>
            <w:vAlign w:val="bottom"/>
          </w:tcPr>
          <w:p>
            <w:pPr>
              <w:ind w:left="20"/>
              <w:spacing w:after="0"/>
              <w:rPr>
                <w:sz w:val="20"/>
                <w:szCs w:val="20"/>
                <w:color w:val="auto"/>
              </w:rPr>
            </w:pPr>
            <w:r>
              <w:rPr>
                <w:rFonts w:ascii="Arial" w:cs="Arial" w:eastAsia="Arial" w:hAnsi="Arial"/>
                <w:sz w:val="18"/>
                <w:szCs w:val="18"/>
                <w:color w:val="auto"/>
              </w:rPr>
              <w:t>/s/ Ron Gill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Ron Gill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4500" w:type="dxa"/>
            <w:vAlign w:val="bottom"/>
          </w:tcPr>
          <w:p>
            <w:pPr>
              <w:ind w:left="20"/>
              <w:spacing w:after="0"/>
              <w:rPr>
                <w:sz w:val="20"/>
                <w:szCs w:val="20"/>
                <w:color w:val="auto"/>
              </w:rPr>
            </w:pPr>
            <w:r>
              <w:rPr>
                <w:rFonts w:ascii="Arial" w:cs="Arial" w:eastAsia="Arial" w:hAnsi="Arial"/>
                <w:sz w:val="18"/>
                <w:szCs w:val="18"/>
                <w:color w:val="auto"/>
              </w:rPr>
              <w:t>/s/ Julie Herendeen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Julie Herendeen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Lorrie Norrington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Lorrie Norrington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500" w:type="dxa"/>
            <w:vAlign w:val="bottom"/>
          </w:tcPr>
          <w:p>
            <w:pPr>
              <w:ind w:left="20"/>
              <w:spacing w:after="0"/>
              <w:rPr>
                <w:sz w:val="20"/>
                <w:szCs w:val="20"/>
                <w:color w:val="auto"/>
              </w:rPr>
            </w:pPr>
            <w:r>
              <w:rPr>
                <w:rFonts w:ascii="Arial" w:cs="Arial" w:eastAsia="Arial" w:hAnsi="Arial"/>
                <w:sz w:val="18"/>
                <w:szCs w:val="18"/>
                <w:color w:val="auto"/>
              </w:rPr>
              <w:t>/s/ Avanish Sahai</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Avanish Sahai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Simons</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Jay Simons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500" w:type="dxa"/>
            <w:vAlign w:val="bottom"/>
          </w:tcPr>
          <w:p>
            <w:pPr>
              <w:ind w:left="20"/>
              <w:spacing w:after="0"/>
              <w:rPr>
                <w:sz w:val="20"/>
                <w:szCs w:val="20"/>
                <w:color w:val="auto"/>
              </w:rPr>
            </w:pPr>
            <w:r>
              <w:rPr>
                <w:rFonts w:ascii="Arial" w:cs="Arial" w:eastAsia="Arial" w:hAnsi="Arial"/>
                <w:sz w:val="18"/>
                <w:szCs w:val="18"/>
                <w:color w:val="auto"/>
              </w:rPr>
              <w:t>/s/ Jill Ward</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Jill Ward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2"/>
        </w:trPr>
        <w:tc>
          <w:tcPr>
            <w:tcW w:w="4500" w:type="dxa"/>
            <w:vAlign w:val="bottom"/>
          </w:tcPr>
          <w:p>
            <w:pPr>
              <w:spacing w:after="0"/>
              <w:rPr>
                <w:sz w:val="24"/>
                <w:szCs w:val="24"/>
                <w:color w:val="auto"/>
              </w:rPr>
            </w:pPr>
          </w:p>
        </w:tc>
        <w:tc>
          <w:tcPr>
            <w:tcW w:w="4960" w:type="dxa"/>
            <w:vAlign w:val="bottom"/>
            <w:gridSpan w:val="2"/>
          </w:tcPr>
          <w:p>
            <w:pPr>
              <w:jc w:val="right"/>
              <w:ind w:right="36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10.8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HUBSPOT, INC.</w:t>
      </w: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1.GENERAL PURPOSE OF THE PLAN; DEFINITIONS</w:t>
      </w:r>
    </w:p>
    <w:p>
      <w:pPr>
        <w:spacing w:after="0" w:line="206" w:lineRule="exact"/>
        <w:rPr>
          <w:sz w:val="20"/>
          <w:szCs w:val="20"/>
          <w:color w:val="auto"/>
        </w:rPr>
      </w:pPr>
    </w:p>
    <w:p>
      <w:pPr>
        <w:ind w:firstLine="749"/>
        <w:spacing w:after="0" w:line="279" w:lineRule="auto"/>
        <w:rPr>
          <w:sz w:val="20"/>
          <w:szCs w:val="20"/>
          <w:color w:val="auto"/>
        </w:rPr>
      </w:pPr>
      <w:r>
        <w:rPr>
          <w:rFonts w:ascii="Arial" w:cs="Arial" w:eastAsia="Arial" w:hAnsi="Arial"/>
          <w:sz w:val="19"/>
          <w:szCs w:val="19"/>
          <w:color w:val="auto"/>
        </w:rPr>
        <w:t>The name of the plan is the HubSpot, Inc. 2014 Stock Option and Incentive Plan (the “Plan”). The purpose of the Plan is to encourage and enable the officers, employees, Non-Employee Directors and Consultants of HubSpot,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 thereunder.</w:t>
      </w:r>
    </w:p>
    <w:p>
      <w:pPr>
        <w:spacing w:after="0" w:line="206" w:lineRule="exact"/>
        <w:rPr>
          <w:sz w:val="20"/>
          <w:szCs w:val="20"/>
          <w:color w:val="auto"/>
        </w:rPr>
      </w:pPr>
    </w:p>
    <w:p>
      <w:pPr>
        <w:ind w:right="40" w:firstLine="749"/>
        <w:spacing w:after="0" w:line="253" w:lineRule="exact"/>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 performing</w:t>
      </w:r>
      <w:r>
        <w:rPr>
          <w:rFonts w:ascii="Arial" w:cs="Arial" w:eastAsia="Arial" w:hAnsi="Arial"/>
          <w:sz w:val="22"/>
          <w:szCs w:val="22"/>
          <w:i w:val="1"/>
          <w:iCs w:val="1"/>
          <w:color w:val="auto"/>
        </w:rPr>
        <w:t xml:space="preserve"> </w:t>
      </w:r>
      <w:r>
        <w:rPr>
          <w:rFonts w:ascii="Arial" w:cs="Arial" w:eastAsia="Arial" w:hAnsi="Arial"/>
          <w:sz w:val="22"/>
          <w:szCs w:val="22"/>
          <w:color w:val="auto"/>
        </w:rPr>
        <w:t>the functions of the compensation committee and which is comprised of not less than two Non</w:t>
      </w:r>
      <w:r>
        <w:rPr>
          <w:rFonts w:ascii="MS PGothic" w:cs="MS PGothic" w:eastAsia="MS PGothic" w:hAnsi="MS PGothic"/>
          <w:sz w:val="22"/>
          <w:szCs w:val="22"/>
          <w:color w:val="auto"/>
        </w:rPr>
        <w:t>‑</w:t>
      </w:r>
      <w:r>
        <w:rPr>
          <w:rFonts w:ascii="Arial" w:cs="Arial" w:eastAsia="Arial" w:hAnsi="Arial"/>
          <w:sz w:val="22"/>
          <w:szCs w:val="22"/>
          <w:color w:val="auto"/>
        </w:rPr>
        <w:t>Employee Directors who are independent.</w:t>
      </w:r>
    </w:p>
    <w:p>
      <w:pPr>
        <w:spacing w:after="0" w:line="186" w:lineRule="exact"/>
        <w:rPr>
          <w:sz w:val="20"/>
          <w:szCs w:val="20"/>
          <w:color w:val="auto"/>
        </w:rPr>
      </w:pPr>
    </w:p>
    <w:p>
      <w:pPr>
        <w:ind w:right="300" w:firstLine="749"/>
        <w:spacing w:after="0" w:line="297" w:lineRule="auto"/>
        <w:rPr>
          <w:sz w:val="20"/>
          <w:szCs w:val="20"/>
          <w:color w:val="auto"/>
        </w:rPr>
      </w:pPr>
      <w:r>
        <w:rPr>
          <w:rFonts w:ascii="Arial" w:cs="Arial" w:eastAsia="Arial" w:hAnsi="Arial"/>
          <w:sz w:val="19"/>
          <w:szCs w:val="19"/>
          <w:i w:val="1"/>
          <w:iCs w:val="1"/>
          <w:color w:val="auto"/>
        </w:rPr>
        <w:t xml:space="preserve">“Award” </w:t>
      </w:r>
      <w:r>
        <w:rPr>
          <w:rFonts w:ascii="Arial" w:cs="Arial" w:eastAsia="Arial" w:hAnsi="Arial"/>
          <w:sz w:val="19"/>
          <w:szCs w:val="19"/>
          <w:color w:val="auto"/>
        </w:rPr>
        <w:t>or</w:t>
      </w:r>
      <w:r>
        <w:rPr>
          <w:rFonts w:ascii="Arial" w:cs="Arial" w:eastAsia="Arial" w:hAnsi="Arial"/>
          <w:sz w:val="19"/>
          <w:szCs w:val="19"/>
          <w:i w:val="1"/>
          <w:iCs w:val="1"/>
          <w:color w:val="auto"/>
        </w:rPr>
        <w:t xml:space="preserve"> “Awards,” </w:t>
      </w:r>
      <w:r>
        <w:rPr>
          <w:rFonts w:ascii="Arial" w:cs="Arial" w:eastAsia="Arial" w:hAnsi="Arial"/>
          <w:sz w:val="19"/>
          <w:szCs w:val="19"/>
          <w:color w:val="auto"/>
        </w:rPr>
        <w:t>except where referring to a particular category of grant under the Plan, shall include Incentive</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Non-Qualified Stock Options, Stock Appreciation Rights, Restricted Stock Units, Restricted Stock Awards, Unrestricted Stock Awards, Cash-Based Awards, Performance Share Awards and Dividend Equivalent Rights.</w:t>
      </w:r>
    </w:p>
    <w:p>
      <w:pPr>
        <w:spacing w:after="0" w:line="134" w:lineRule="exact"/>
        <w:rPr>
          <w:sz w:val="20"/>
          <w:szCs w:val="20"/>
          <w:color w:val="auto"/>
        </w:rPr>
      </w:pPr>
    </w:p>
    <w:p>
      <w:pPr>
        <w:ind w:right="540" w:firstLine="749"/>
        <w:spacing w:after="0" w:line="328" w:lineRule="auto"/>
        <w:rPr>
          <w:sz w:val="20"/>
          <w:szCs w:val="20"/>
          <w:color w:val="auto"/>
        </w:rPr>
      </w:pPr>
      <w:r>
        <w:rPr>
          <w:rFonts w:ascii="Arial" w:cs="Arial" w:eastAsia="Arial" w:hAnsi="Arial"/>
          <w:sz w:val="19"/>
          <w:szCs w:val="19"/>
          <w:i w:val="1"/>
          <w:iCs w:val="1"/>
          <w:color w:val="auto"/>
        </w:rPr>
        <w:t xml:space="preserve">“Award Certificate” </w:t>
      </w:r>
      <w:r>
        <w:rPr>
          <w:rFonts w:ascii="Arial" w:cs="Arial" w:eastAsia="Arial" w:hAnsi="Arial"/>
          <w:sz w:val="19"/>
          <w:szCs w:val="19"/>
          <w:color w:val="auto"/>
        </w:rPr>
        <w:t>means a written or electronic document setting forth the terms and provisions applicable to an</w:t>
      </w:r>
      <w:r>
        <w:rPr>
          <w:rFonts w:ascii="Arial" w:cs="Arial" w:eastAsia="Arial" w:hAnsi="Arial"/>
          <w:sz w:val="19"/>
          <w:szCs w:val="19"/>
          <w:i w:val="1"/>
          <w:iCs w:val="1"/>
          <w:color w:val="auto"/>
        </w:rPr>
        <w:t xml:space="preserve"> </w:t>
      </w:r>
      <w:r>
        <w:rPr>
          <w:rFonts w:ascii="Arial" w:cs="Arial" w:eastAsia="Arial" w:hAnsi="Arial"/>
          <w:sz w:val="19"/>
          <w:szCs w:val="19"/>
          <w:color w:val="auto"/>
        </w:rPr>
        <w:t>Award granted under the Plan. Each Award Certificate is subject to the terms and conditions of the Plan.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 payment.</w:t>
      </w:r>
    </w:p>
    <w:p>
      <w:pPr>
        <w:spacing w:after="0" w:line="206" w:lineRule="exact"/>
        <w:rPr>
          <w:sz w:val="20"/>
          <w:szCs w:val="20"/>
          <w:color w:val="auto"/>
        </w:rPr>
      </w:pPr>
    </w:p>
    <w:p>
      <w:pPr>
        <w:ind w:right="200" w:firstLine="749"/>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pacing w:after="0" w:line="175" w:lineRule="exact"/>
        <w:rPr>
          <w:sz w:val="20"/>
          <w:szCs w:val="20"/>
          <w:color w:val="auto"/>
        </w:rPr>
      </w:pPr>
    </w:p>
    <w:p>
      <w:pPr>
        <w:ind w:right="60" w:firstLine="749"/>
        <w:spacing w:after="0"/>
        <w:rPr>
          <w:sz w:val="20"/>
          <w:szCs w:val="20"/>
          <w:color w:val="auto"/>
        </w:rPr>
      </w:pPr>
      <w:r>
        <w:rPr>
          <w:rFonts w:ascii="Arial" w:cs="Arial" w:eastAsia="Arial" w:hAnsi="Arial"/>
          <w:sz w:val="22"/>
          <w:szCs w:val="22"/>
          <w:i w:val="1"/>
          <w:iCs w:val="1"/>
          <w:color w:val="auto"/>
        </w:rPr>
        <w:t xml:space="preserve">“Consultant” </w:t>
      </w:r>
      <w:r>
        <w:rPr>
          <w:rFonts w:ascii="Arial" w:cs="Arial" w:eastAsia="Arial" w:hAnsi="Arial"/>
          <w:sz w:val="22"/>
          <w:szCs w:val="22"/>
          <w:color w:val="auto"/>
        </w:rPr>
        <w:t>means any natural person that provides bona fide services to the Company, and such services are not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offer or sale of securities in a capital-raising transaction and do not directly or indirectly promote or maintain a market for the Company’s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ind w:left="760"/>
        <w:spacing w:after="0"/>
        <w:rPr>
          <w:sz w:val="20"/>
          <w:szCs w:val="20"/>
          <w:color w:val="auto"/>
        </w:rPr>
      </w:pPr>
      <w:r>
        <w:rPr>
          <w:rFonts w:ascii="Arial" w:cs="Arial" w:eastAsia="Arial" w:hAnsi="Arial"/>
          <w:sz w:val="19"/>
          <w:szCs w:val="19"/>
          <w:i w:val="1"/>
          <w:iCs w:val="1"/>
          <w:color w:val="auto"/>
        </w:rPr>
        <w:t xml:space="preserve">“Covered Employee” </w:t>
      </w:r>
      <w:r>
        <w:rPr>
          <w:rFonts w:ascii="Arial" w:cs="Arial" w:eastAsia="Arial" w:hAnsi="Arial"/>
          <w:sz w:val="19"/>
          <w:szCs w:val="19"/>
          <w:color w:val="auto"/>
        </w:rPr>
        <w:t>means an employee who is a “Covered Employee” within the meaning of Section 162(m)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firstLine="749"/>
        <w:spacing w:after="0"/>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 would</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paid on the shares of Stock specified in the Dividend Equivalent Right (or other award to which it relates) if such shares had been issued to and held by the grantee.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is approved by stockholders as set forth in Section 21.</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41" w:lineRule="exact"/>
        <w:rPr>
          <w:sz w:val="20"/>
          <w:szCs w:val="20"/>
          <w:color w:val="auto"/>
        </w:rPr>
      </w:pPr>
    </w:p>
    <w:p>
      <w:pPr>
        <w:ind w:firstLine="749"/>
        <w:spacing w:after="0" w:line="246" w:lineRule="auto"/>
        <w:rPr>
          <w:sz w:val="20"/>
          <w:szCs w:val="20"/>
          <w:color w:val="auto"/>
        </w:rPr>
      </w:pPr>
      <w:r>
        <w:rPr>
          <w:rFonts w:ascii="Arial" w:cs="Arial" w:eastAsia="Arial" w:hAnsi="Arial"/>
          <w:sz w:val="21"/>
          <w:szCs w:val="21"/>
          <w:i w:val="1"/>
          <w:iCs w:val="1"/>
          <w:color w:val="auto"/>
        </w:rPr>
        <w:t xml:space="preserve">“Fair Market Value” </w:t>
      </w:r>
      <w:r>
        <w:rPr>
          <w:rFonts w:ascii="Arial" w:cs="Arial" w:eastAsia="Arial" w:hAnsi="Arial"/>
          <w:sz w:val="21"/>
          <w:szCs w:val="21"/>
          <w:color w:val="auto"/>
        </w:rPr>
        <w:t>of the Stock on any given date means the fair market value of the Stock determined in good faith</w:t>
      </w:r>
      <w:r>
        <w:rPr>
          <w:rFonts w:ascii="Arial" w:cs="Arial" w:eastAsia="Arial" w:hAnsi="Arial"/>
          <w:sz w:val="21"/>
          <w:szCs w:val="21"/>
          <w:i w:val="1"/>
          <w:iCs w:val="1"/>
          <w:color w:val="auto"/>
        </w:rPr>
        <w:t xml:space="preserve"> </w:t>
      </w:r>
      <w:r>
        <w:rPr>
          <w:rFonts w:ascii="Arial" w:cs="Arial" w:eastAsia="Arial" w:hAnsi="Arial"/>
          <w:sz w:val="21"/>
          <w:szCs w:val="21"/>
          <w:color w:val="auto"/>
        </w:rPr>
        <w:t>by the Administrator; provided, however, that if the Stock is admitted to quotation on the National Association of Securities Dealers Automated Quotation System (“NASDAQ”), NASDAQ Global Market or another national securities exchange, the determination shall be made by reference to the closing price. If there is no closing price for such date, the determination shall be made by reference to the last date preceding such date for which there was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0"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 stock option” as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422 of the Code.</w:t>
      </w:r>
    </w:p>
    <w:p>
      <w:pPr>
        <w:spacing w:after="0" w:line="175" w:lineRule="exact"/>
        <w:rPr>
          <w:sz w:val="20"/>
          <w:szCs w:val="20"/>
          <w:color w:val="auto"/>
        </w:rPr>
      </w:pPr>
    </w:p>
    <w:p>
      <w:pPr>
        <w:ind w:right="160" w:firstLine="749"/>
        <w:spacing w:after="0"/>
        <w:rPr>
          <w:sz w:val="20"/>
          <w:szCs w:val="20"/>
          <w:color w:val="auto"/>
        </w:rPr>
      </w:pPr>
      <w:r>
        <w:rPr>
          <w:rFonts w:ascii="Arial" w:cs="Arial" w:eastAsia="Arial" w:hAnsi="Arial"/>
          <w:sz w:val="22"/>
          <w:szCs w:val="22"/>
          <w:i w:val="1"/>
          <w:iCs w:val="1"/>
          <w:color w:val="auto"/>
        </w:rPr>
        <w:t xml:space="preserve">“Initial Public Offering” </w:t>
      </w:r>
      <w:r>
        <w:rPr>
          <w:rFonts w:ascii="Arial" w:cs="Arial" w:eastAsia="Arial" w:hAnsi="Arial"/>
          <w:sz w:val="22"/>
          <w:szCs w:val="22"/>
          <w:color w:val="auto"/>
        </w:rPr>
        <w:t>means the consummation of the first underwritten, firm commitment public offering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an effective registration statement under the Act covering the offer and sale by the Company of its equity securities, or such other event as a result of or following which the Stock shall be publicly held.</w:t>
      </w:r>
    </w:p>
    <w:p>
      <w:pPr>
        <w:spacing w:after="0" w:line="186" w:lineRule="exact"/>
        <w:rPr>
          <w:sz w:val="20"/>
          <w:szCs w:val="20"/>
          <w:color w:val="auto"/>
        </w:rPr>
      </w:pPr>
    </w:p>
    <w:p>
      <w:pPr>
        <w:ind w:right="940" w:firstLine="749"/>
        <w:spacing w:after="0" w:line="250" w:lineRule="auto"/>
        <w:rPr>
          <w:sz w:val="20"/>
          <w:szCs w:val="20"/>
          <w:color w:val="auto"/>
        </w:rPr>
      </w:pPr>
      <w:r>
        <w:rPr>
          <w:rFonts w:ascii="Arial" w:cs="Arial" w:eastAsia="Arial" w:hAnsi="Arial"/>
          <w:sz w:val="22"/>
          <w:szCs w:val="22"/>
          <w:i w:val="1"/>
          <w:iCs w:val="1"/>
          <w:color w:val="auto"/>
        </w:rPr>
        <w:t xml:space="preserve">“Non-Employee Director” </w:t>
      </w:r>
      <w:r>
        <w:rPr>
          <w:rFonts w:ascii="Arial" w:cs="Arial" w:eastAsia="Arial" w:hAnsi="Arial"/>
          <w:sz w:val="22"/>
          <w:szCs w:val="22"/>
          <w:color w:val="auto"/>
        </w:rPr>
        <w:t>means a member of the Board who is not also an employee of the Company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 Option.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206" w:lineRule="exact"/>
        <w:rPr>
          <w:sz w:val="20"/>
          <w:szCs w:val="20"/>
          <w:color w:val="auto"/>
        </w:rPr>
      </w:pPr>
    </w:p>
    <w:p>
      <w:pPr>
        <w:ind w:right="160" w:firstLine="749"/>
        <w:spacing w:after="0"/>
        <w:rPr>
          <w:sz w:val="20"/>
          <w:szCs w:val="20"/>
          <w:color w:val="auto"/>
        </w:rPr>
      </w:pPr>
      <w:r>
        <w:rPr>
          <w:rFonts w:ascii="Arial" w:cs="Arial" w:eastAsia="Arial" w:hAnsi="Arial"/>
          <w:sz w:val="22"/>
          <w:szCs w:val="22"/>
          <w:i w:val="1"/>
          <w:iCs w:val="1"/>
          <w:color w:val="auto"/>
        </w:rPr>
        <w:t xml:space="preserve">“Performance-Based Award” </w:t>
      </w:r>
      <w:r>
        <w:rPr>
          <w:rFonts w:ascii="Arial" w:cs="Arial" w:eastAsia="Arial" w:hAnsi="Arial"/>
          <w:sz w:val="22"/>
          <w:szCs w:val="22"/>
          <w:color w:val="auto"/>
        </w:rPr>
        <w:t>means any Restricted Stock Award, Restricted Stock Units, Performance Share Award or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 granted to a Covered Employee that is intended to qualify as “performance-based compensation” under Section 162(m) of the Code and the regulations promulgated thereunder.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6" w:name="page107"/>
    <w:bookmarkEnd w:id="106"/>
    <w:p>
      <w:pPr>
        <w:ind w:firstLine="749"/>
        <w:spacing w:after="0" w:line="270" w:lineRule="auto"/>
        <w:rPr>
          <w:sz w:val="20"/>
          <w:szCs w:val="20"/>
          <w:color w:val="auto"/>
        </w:rPr>
      </w:pPr>
      <w:r>
        <w:rPr>
          <w:rFonts w:ascii="Arial" w:cs="Arial" w:eastAsia="Arial" w:hAnsi="Arial"/>
          <w:sz w:val="19"/>
          <w:szCs w:val="19"/>
          <w:i w:val="1"/>
          <w:iCs w:val="1"/>
          <w:color w:val="auto"/>
        </w:rPr>
        <w:t xml:space="preserve">“Performance Criteria” </w:t>
      </w:r>
      <w:r>
        <w:rPr>
          <w:rFonts w:ascii="Arial" w:cs="Arial" w:eastAsia="Arial" w:hAnsi="Arial"/>
          <w:sz w:val="19"/>
          <w:szCs w:val="19"/>
          <w:color w:val="auto"/>
        </w:rPr>
        <w:t>means the criteria that the Administrator selects for purposes of establishing the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Administrator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extraordinary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extraordinary items adjusted from the Company U.S. GAAP results.</w:t>
      </w:r>
    </w:p>
    <w:p>
      <w:pPr>
        <w:spacing w:after="0" w:line="200" w:lineRule="exact"/>
        <w:rPr>
          <w:sz w:val="20"/>
          <w:szCs w:val="20"/>
          <w:color w:val="auto"/>
        </w:rPr>
      </w:pPr>
    </w:p>
    <w:p>
      <w:pPr>
        <w:spacing w:after="0" w:line="211" w:lineRule="exact"/>
        <w:rPr>
          <w:sz w:val="20"/>
          <w:szCs w:val="20"/>
          <w:color w:val="auto"/>
        </w:rPr>
      </w:pPr>
    </w:p>
    <w:p>
      <w:pPr>
        <w:ind w:right="60" w:firstLine="749"/>
        <w:spacing w:after="0" w:line="236" w:lineRule="auto"/>
        <w:rPr>
          <w:sz w:val="20"/>
          <w:szCs w:val="20"/>
          <w:color w:val="auto"/>
        </w:rPr>
      </w:pPr>
      <w:r>
        <w:rPr>
          <w:rFonts w:ascii="Arial" w:cs="Arial" w:eastAsia="Arial" w:hAnsi="Arial"/>
          <w:sz w:val="22"/>
          <w:szCs w:val="22"/>
          <w:i w:val="1"/>
          <w:iCs w:val="1"/>
          <w:color w:val="auto"/>
        </w:rPr>
        <w:t xml:space="preserve">“Performance Cycle” </w:t>
      </w:r>
      <w:r>
        <w:rPr>
          <w:rFonts w:ascii="Arial" w:cs="Arial" w:eastAsia="Arial" w:hAnsi="Arial"/>
          <w:sz w:val="22"/>
          <w:szCs w:val="22"/>
          <w:color w:val="auto"/>
        </w:rPr>
        <w:t>means one or more periods of time, which may be of varying and overlapping durations,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87"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i w:val="1"/>
          <w:iCs w:val="1"/>
          <w:color w:val="auto"/>
        </w:rPr>
        <w:t xml:space="preserve">“Performance Goals” </w:t>
      </w:r>
      <w:r>
        <w:rPr>
          <w:rFonts w:ascii="Arial" w:cs="Arial" w:eastAsia="Arial" w:hAnsi="Arial"/>
          <w:sz w:val="22"/>
          <w:szCs w:val="22"/>
          <w:color w:val="auto"/>
        </w:rPr>
        <w:t>means, for a Performance Cycle, the specific goals established in writing by the Administrator for</w:t>
      </w:r>
      <w:r>
        <w:rPr>
          <w:rFonts w:ascii="Arial" w:cs="Arial" w:eastAsia="Arial" w:hAnsi="Arial"/>
          <w:sz w:val="22"/>
          <w:szCs w:val="22"/>
          <w:i w:val="1"/>
          <w:iCs w:val="1"/>
          <w:color w:val="auto"/>
        </w:rPr>
        <w:t xml:space="preserve"> </w:t>
      </w:r>
      <w:r>
        <w:rPr>
          <w:rFonts w:ascii="Arial" w:cs="Arial" w:eastAsia="Arial" w:hAnsi="Arial"/>
          <w:sz w:val="22"/>
          <w:szCs w:val="22"/>
          <w:color w:val="auto"/>
        </w:rPr>
        <w:t>a Performance Cycle based upon the Performance Criteria.</w:t>
      </w:r>
    </w:p>
    <w:p>
      <w:pPr>
        <w:spacing w:after="0" w:line="175" w:lineRule="exact"/>
        <w:rPr>
          <w:sz w:val="20"/>
          <w:szCs w:val="20"/>
          <w:color w:val="auto"/>
        </w:rPr>
      </w:pPr>
    </w:p>
    <w:p>
      <w:pPr>
        <w:ind w:right="280" w:firstLine="749"/>
        <w:spacing w:after="0" w:line="250" w:lineRule="auto"/>
        <w:rPr>
          <w:sz w:val="20"/>
          <w:szCs w:val="20"/>
          <w:color w:val="auto"/>
        </w:rPr>
      </w:pPr>
      <w:r>
        <w:rPr>
          <w:rFonts w:ascii="Arial" w:cs="Arial" w:eastAsia="Arial" w:hAnsi="Arial"/>
          <w:sz w:val="22"/>
          <w:szCs w:val="22"/>
          <w:i w:val="1"/>
          <w:iCs w:val="1"/>
          <w:color w:val="auto"/>
        </w:rPr>
        <w:t xml:space="preserve">“Performance Share Award” </w:t>
      </w:r>
      <w:r>
        <w:rPr>
          <w:rFonts w:ascii="Arial" w:cs="Arial" w:eastAsia="Arial" w:hAnsi="Arial"/>
          <w:sz w:val="22"/>
          <w:szCs w:val="22"/>
          <w:color w:val="auto"/>
        </w:rPr>
        <w:t>means an Award entitling the recipient to acquire shares of Stock upon the attainment of</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Performance Goals.</w:t>
      </w:r>
    </w:p>
    <w:p>
      <w:pPr>
        <w:spacing w:after="0" w:line="175" w:lineRule="exact"/>
        <w:rPr>
          <w:sz w:val="20"/>
          <w:szCs w:val="20"/>
          <w:color w:val="auto"/>
        </w:rPr>
      </w:pPr>
    </w:p>
    <w:p>
      <w:pPr>
        <w:ind w:right="5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Shares</w:t>
      </w:r>
      <w:r>
        <w:rPr>
          <w:rFonts w:ascii="Arial" w:cs="Arial" w:eastAsia="Arial" w:hAnsi="Arial"/>
          <w:sz w:val="22"/>
          <w:szCs w:val="22"/>
          <w:color w:val="auto"/>
        </w:rPr>
        <w:t>” means the shares of Stock underlying a Restricted Stock Award that remain subject to a risk of forfeiture or the Company’s right of repurchase.</w:t>
      </w:r>
    </w:p>
    <w:p>
      <w:pPr>
        <w:spacing w:after="0" w:line="175" w:lineRule="exact"/>
        <w:rPr>
          <w:sz w:val="20"/>
          <w:szCs w:val="20"/>
          <w:color w:val="auto"/>
        </w:rPr>
      </w:pPr>
    </w:p>
    <w:p>
      <w:pPr>
        <w:ind w:right="740" w:firstLine="749"/>
        <w:spacing w:after="0" w:line="250"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75"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ind w:right="120" w:firstLine="749"/>
        <w:spacing w:after="0" w:line="245" w:lineRule="auto"/>
        <w:rPr>
          <w:sz w:val="20"/>
          <w:szCs w:val="20"/>
          <w:color w:val="auto"/>
        </w:rPr>
      </w:pPr>
      <w:r>
        <w:rPr>
          <w:rFonts w:ascii="Arial" w:cs="Arial" w:eastAsia="Arial" w:hAnsi="Arial"/>
          <w:sz w:val="21"/>
          <w:szCs w:val="21"/>
          <w:i w:val="1"/>
          <w:iCs w:val="1"/>
          <w:color w:val="auto"/>
        </w:rPr>
        <w:t xml:space="preserve">“Sale Event” </w:t>
      </w:r>
      <w:r>
        <w:rPr>
          <w:rFonts w:ascii="Arial" w:cs="Arial" w:eastAsia="Arial" w:hAnsi="Arial"/>
          <w:sz w:val="21"/>
          <w:szCs w:val="21"/>
          <w:color w:val="auto"/>
        </w:rPr>
        <w:t>shall mean (i) the sale of all or substantially all of the assets of the Company on a consolidated basis to an</w:t>
      </w:r>
      <w:r>
        <w:rPr>
          <w:rFonts w:ascii="Arial" w:cs="Arial" w:eastAsia="Arial" w:hAnsi="Arial"/>
          <w:sz w:val="21"/>
          <w:szCs w:val="21"/>
          <w:i w:val="1"/>
          <w:iCs w:val="1"/>
          <w:color w:val="auto"/>
        </w:rPr>
        <w:t xml:space="preserve"> </w:t>
      </w:r>
      <w:r>
        <w:rPr>
          <w:rFonts w:ascii="Arial" w:cs="Arial" w:eastAsia="Arial" w:hAnsi="Arial"/>
          <w:sz w:val="21"/>
          <w:szCs w:val="21"/>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4" w:lineRule="exact"/>
        <w:rPr>
          <w:sz w:val="20"/>
          <w:szCs w:val="20"/>
          <w:color w:val="auto"/>
        </w:rPr>
      </w:pPr>
    </w:p>
    <w:p>
      <w:pPr>
        <w:ind w:right="6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41" w:lineRule="exact"/>
        <w:rPr>
          <w:sz w:val="20"/>
          <w:szCs w:val="20"/>
          <w:color w:val="auto"/>
        </w:rPr>
      </w:pPr>
    </w:p>
    <w:p>
      <w:pPr>
        <w:ind w:right="500" w:firstLine="749"/>
        <w:spacing w:after="0" w:line="250"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$0.001 per share, of the Company, subject to adjustments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3.</w:t>
      </w:r>
    </w:p>
    <w:p>
      <w:pPr>
        <w:spacing w:after="0" w:line="175" w:lineRule="exact"/>
        <w:rPr>
          <w:sz w:val="20"/>
          <w:szCs w:val="20"/>
          <w:color w:val="auto"/>
        </w:rPr>
      </w:pPr>
    </w:p>
    <w:p>
      <w:pPr>
        <w:ind w:right="20" w:firstLine="749"/>
        <w:spacing w:after="0" w:line="297" w:lineRule="auto"/>
        <w:rPr>
          <w:sz w:val="20"/>
          <w:szCs w:val="20"/>
          <w:color w:val="auto"/>
        </w:rPr>
      </w:pPr>
      <w:r>
        <w:rPr>
          <w:rFonts w:ascii="Arial" w:cs="Arial" w:eastAsia="Arial" w:hAnsi="Arial"/>
          <w:sz w:val="19"/>
          <w:szCs w:val="19"/>
          <w:i w:val="1"/>
          <w:iCs w:val="1"/>
          <w:color w:val="auto"/>
        </w:rPr>
        <w:t xml:space="preserve">“Stock Appreciation Right” </w:t>
      </w:r>
      <w:r>
        <w:rPr>
          <w:rFonts w:ascii="Arial" w:cs="Arial" w:eastAsia="Arial" w:hAnsi="Arial"/>
          <w:sz w:val="19"/>
          <w:szCs w:val="19"/>
          <w:color w:val="auto"/>
        </w:rPr>
        <w:t>means an Award entitling the recipient to receive shares of Stock having a value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34" w:lineRule="exact"/>
        <w:rPr>
          <w:sz w:val="20"/>
          <w:szCs w:val="20"/>
          <w:color w:val="auto"/>
        </w:rPr>
      </w:pPr>
    </w:p>
    <w:p>
      <w:pPr>
        <w:ind w:right="280" w:firstLine="749"/>
        <w:spacing w:after="0" w:line="250"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75" w:lineRule="exact"/>
        <w:rPr>
          <w:sz w:val="20"/>
          <w:szCs w:val="20"/>
          <w:color w:val="auto"/>
        </w:rPr>
      </w:pPr>
    </w:p>
    <w:p>
      <w:pPr>
        <w:jc w:val="both"/>
        <w:ind w:right="180" w:firstLine="749"/>
        <w:spacing w:after="0"/>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or subsidiary corporation.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206" w:lineRule="exact"/>
        <w:rPr>
          <w:sz w:val="20"/>
          <w:szCs w:val="20"/>
          <w:color w:val="auto"/>
        </w:rPr>
      </w:pPr>
    </w:p>
    <w:p>
      <w:pPr>
        <w:ind w:right="880"/>
        <w:spacing w:after="0" w:line="250" w:lineRule="auto"/>
        <w:rPr>
          <w:sz w:val="20"/>
          <w:szCs w:val="20"/>
          <w:color w:val="auto"/>
        </w:rPr>
      </w:pPr>
      <w:r>
        <w:rPr>
          <w:rFonts w:ascii="Arial" w:cs="Arial" w:eastAsia="Arial" w:hAnsi="Arial"/>
          <w:sz w:val="22"/>
          <w:szCs w:val="22"/>
          <w:u w:val="single" w:color="auto"/>
          <w:color w:val="auto"/>
        </w:rPr>
        <w:t>2.ADMINISTRATION OF PLAN; ADMINISTRATOR AUTHORITY TO SELECT GRANTEES AND DETERMINE AWARDS</w:t>
      </w:r>
    </w:p>
    <w:p>
      <w:pPr>
        <w:spacing w:after="0" w:line="175" w:lineRule="exact"/>
        <w:rPr>
          <w:sz w:val="20"/>
          <w:szCs w:val="20"/>
          <w:color w:val="auto"/>
        </w:rPr>
      </w:pPr>
    </w:p>
    <w:p>
      <w:pPr>
        <w:ind w:left="1500" w:hanging="743"/>
        <w:spacing w:after="0"/>
        <w:tabs>
          <w:tab w:leader="none" w:pos="1500" w:val="left"/>
        </w:tabs>
        <w:numPr>
          <w:ilvl w:val="0"/>
          <w:numId w:val="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u w:val="single" w:color="auto"/>
          <w:color w:val="auto"/>
        </w:rPr>
      </w:pPr>
    </w:p>
    <w:p>
      <w:pPr>
        <w:ind w:firstLine="757"/>
        <w:spacing w:after="0" w:line="250" w:lineRule="auto"/>
        <w:tabs>
          <w:tab w:leader="none" w:pos="1498" w:val="left"/>
        </w:tabs>
        <w:numPr>
          <w:ilvl w:val="0"/>
          <w:numId w:val="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to select the individuals to whom Awards may from time to time be granted;</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8" w:name="page109"/>
    <w:bookmarkEnd w:id="108"/>
    <w:p>
      <w:pPr>
        <w:ind w:right="200"/>
        <w:spacing w:after="0" w:line="238" w:lineRule="auto"/>
        <w:rPr>
          <w:sz w:val="20"/>
          <w:szCs w:val="20"/>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to determine the number of shares of Stock to be covered by any Award;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to accelerate at any time the exercisability or vesting of all or any portion of any Award in circumstances involving the grantee’s death, disability, retirement, or a change in control (including a Sale Event);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subject to the provisions of Section 5(b), to extend at any time the period in which Stock Options may be exercised; and</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4" w:lineRule="exact"/>
        <w:rPr>
          <w:sz w:val="20"/>
          <w:szCs w:val="20"/>
          <w:color w:val="auto"/>
        </w:rPr>
      </w:pPr>
    </w:p>
    <w:p>
      <w:pPr>
        <w:ind w:right="140" w:firstLine="749"/>
        <w:spacing w:after="0" w:line="250" w:lineRule="auto"/>
        <w:rPr>
          <w:sz w:val="20"/>
          <w:szCs w:val="20"/>
          <w:color w:val="auto"/>
        </w:rPr>
      </w:pPr>
      <w:r>
        <w:rPr>
          <w:rFonts w:ascii="Arial" w:cs="Arial" w:eastAsia="Arial" w:hAnsi="Arial"/>
          <w:sz w:val="22"/>
          <w:szCs w:val="22"/>
          <w:color w:val="auto"/>
        </w:rPr>
        <w:t>All decisions and interpretations of the Administrator shall be binding on all persons, including the Company and Plan grantees.</w:t>
      </w:r>
    </w:p>
    <w:p>
      <w:pPr>
        <w:spacing w:after="0" w:line="175" w:lineRule="exact"/>
        <w:rPr>
          <w:sz w:val="20"/>
          <w:szCs w:val="20"/>
          <w:color w:val="auto"/>
        </w:rPr>
      </w:pPr>
    </w:p>
    <w:p>
      <w:pPr>
        <w:ind w:firstLine="757"/>
        <w:spacing w:after="0" w:line="275" w:lineRule="auto"/>
        <w:tabs>
          <w:tab w:leader="none" w:pos="1498" w:val="left"/>
        </w:tabs>
        <w:numPr>
          <w:ilvl w:val="0"/>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Delegation of Authority to Grant Options and Restricted Stock Units</w:t>
      </w:r>
      <w:r>
        <w:rPr>
          <w:rFonts w:ascii="Arial" w:cs="Arial" w:eastAsia="Arial" w:hAnsi="Arial"/>
          <w:sz w:val="19"/>
          <w:szCs w:val="19"/>
          <w:color w:val="auto"/>
        </w:rPr>
        <w:t>. Subject to applicable law, the Administrator, in its discretion, may delegate to the Chief Executive Officer or the Chief Financial Officer of the Company all or part of the Administrator’s authority and duties with respect to the granting of Options and Restricted Stock Units to individuals who are (i) not subject to the reporting and other provisions of Section 16 of the Exchange Act and (ii) not Covered Employees. Any such delegation by the Administrator shall include a limitation as to the amount of Options and Restricted Stock Units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7" w:lineRule="exact"/>
        <w:rPr>
          <w:rFonts w:ascii="Arial" w:cs="Arial" w:eastAsia="Arial" w:hAnsi="Arial"/>
          <w:sz w:val="19"/>
          <w:szCs w:val="19"/>
          <w:u w:val="single" w:color="auto"/>
          <w:color w:val="auto"/>
        </w:rPr>
      </w:pPr>
    </w:p>
    <w:p>
      <w:pPr>
        <w:ind w:right="340" w:firstLine="757"/>
        <w:spacing w:after="0"/>
        <w:tabs>
          <w:tab w:leader="none" w:pos="1498" w:val="left"/>
        </w:tabs>
        <w:numPr>
          <w:ilvl w:val="0"/>
          <w:numId w:val="3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109" w:name="page110"/>
    <w:bookmarkEnd w:id="109"/>
    <w:p>
      <w:pPr>
        <w:ind w:right="40" w:firstLine="757"/>
        <w:spacing w:after="0" w:line="277" w:lineRule="auto"/>
        <w:tabs>
          <w:tab w:leader="none" w:pos="1498" w:val="left"/>
        </w:tabs>
        <w:numPr>
          <w:ilvl w:val="1"/>
          <w:numId w:val="3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1" w:lineRule="exact"/>
        <w:rPr>
          <w:rFonts w:ascii="Arial" w:cs="Arial" w:eastAsia="Arial" w:hAnsi="Arial"/>
          <w:sz w:val="19"/>
          <w:szCs w:val="19"/>
          <w:u w:val="single" w:color="auto"/>
          <w:color w:val="auto"/>
        </w:rPr>
      </w:pPr>
    </w:p>
    <w:p>
      <w:pPr>
        <w:ind w:right="40" w:firstLine="757"/>
        <w:spacing w:after="0" w:line="270" w:lineRule="auto"/>
        <w:tabs>
          <w:tab w:leader="none" w:pos="1498" w:val="left"/>
        </w:tabs>
        <w:numPr>
          <w:ilvl w:val="1"/>
          <w:numId w:val="3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4" w:lineRule="exact"/>
        <w:rPr>
          <w:rFonts w:ascii="Arial" w:cs="Arial" w:eastAsia="Arial" w:hAnsi="Arial"/>
          <w:sz w:val="19"/>
          <w:szCs w:val="19"/>
          <w:u w:val="single" w:color="auto"/>
          <w:color w:val="auto"/>
        </w:rPr>
      </w:pPr>
    </w:p>
    <w:p>
      <w:pPr>
        <w:ind w:right="20" w:firstLine="8"/>
        <w:spacing w:after="0" w:line="232" w:lineRule="auto"/>
        <w:tabs>
          <w:tab w:leader="none" w:pos="36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3.STOCK ISSUABLE UNDER THE PLAN; MERGERS; SUBSTITUTION</w:t>
      </w:r>
    </w:p>
    <w:p>
      <w:pPr>
        <w:spacing w:after="0" w:line="206" w:lineRule="exact"/>
        <w:rPr>
          <w:sz w:val="20"/>
          <w:szCs w:val="20"/>
          <w:color w:val="auto"/>
        </w:rPr>
      </w:pPr>
    </w:p>
    <w:p>
      <w:pPr>
        <w:ind w:firstLine="757"/>
        <w:spacing w:after="0" w:line="272" w:lineRule="auto"/>
        <w:tabs>
          <w:tab w:leader="none" w:pos="1498" w:val="left"/>
        </w:tabs>
        <w:numPr>
          <w:ilvl w:val="0"/>
          <w:numId w:val="3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1,973,551 shares (the “Initial Limit”), subject to adjustment as provided in Section 3(c), plus on January 1, 2015 and each January 1 thereafter,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2015 and on each January 1 thereafter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0" w:name="page111"/>
    <w:bookmarkEnd w:id="110"/>
    <w:p>
      <w:pPr>
        <w:ind w:right="20"/>
        <w:spacing w:after="0" w:line="236" w:lineRule="auto"/>
        <w:rPr>
          <w:sz w:val="20"/>
          <w:szCs w:val="20"/>
          <w:color w:val="auto"/>
        </w:rPr>
      </w:pPr>
      <w:r>
        <w:rPr>
          <w:rFonts w:ascii="Arial" w:cs="Arial" w:eastAsia="Arial" w:hAnsi="Arial"/>
          <w:sz w:val="22"/>
          <w:szCs w:val="22"/>
          <w:color w:val="auto"/>
        </w:rPr>
        <w:t>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87" w:lineRule="exact"/>
        <w:rPr>
          <w:sz w:val="20"/>
          <w:szCs w:val="20"/>
          <w:color w:val="auto"/>
        </w:rPr>
      </w:pPr>
    </w:p>
    <w:p>
      <w:pPr>
        <w:ind w:left="1500" w:hanging="7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firstLine="757"/>
        <w:spacing w:after="0" w:line="270" w:lineRule="auto"/>
        <w:tabs>
          <w:tab w:leader="none" w:pos="1498" w:val="left"/>
        </w:tabs>
        <w:numPr>
          <w:ilvl w:val="0"/>
          <w:numId w:val="3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rFonts w:ascii="Arial" w:cs="Arial" w:eastAsia="Arial" w:hAnsi="Arial"/>
          <w:sz w:val="19"/>
          <w:szCs w:val="19"/>
          <w:u w:val="single" w:color="auto"/>
          <w:color w:val="auto"/>
        </w:rPr>
      </w:pPr>
    </w:p>
    <w:p>
      <w:pPr>
        <w:spacing w:after="0" w:line="205" w:lineRule="exact"/>
        <w:rPr>
          <w:rFonts w:ascii="Arial" w:cs="Arial" w:eastAsia="Arial" w:hAnsi="Arial"/>
          <w:sz w:val="19"/>
          <w:szCs w:val="19"/>
          <w:u w:val="single" w:color="auto"/>
          <w:color w:val="auto"/>
        </w:rPr>
      </w:pPr>
    </w:p>
    <w:p>
      <w:pPr>
        <w:ind w:right="20" w:firstLine="757"/>
        <w:spacing w:after="0" w:line="245" w:lineRule="auto"/>
        <w:tabs>
          <w:tab w:leader="none" w:pos="1498" w:val="left"/>
        </w:tabs>
        <w:numPr>
          <w:ilvl w:val="0"/>
          <w:numId w:val="3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Mergers and Other Transactions</w:t>
      </w:r>
      <w:r>
        <w:rPr>
          <w:rFonts w:ascii="Arial" w:cs="Arial" w:eastAsia="Arial" w:hAnsi="Arial"/>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1" w:name="page112"/>
    <w:bookmarkEnd w:id="111"/>
    <w:p>
      <w:pPr>
        <w:ind w:right="20"/>
        <w:spacing w:after="0" w:line="273" w:lineRule="auto"/>
        <w:rPr>
          <w:sz w:val="20"/>
          <w:szCs w:val="20"/>
          <w:color w:val="auto"/>
        </w:rPr>
      </w:pPr>
      <w:r>
        <w:rPr>
          <w:rFonts w:ascii="Arial" w:cs="Arial" w:eastAsia="Arial" w:hAnsi="Arial"/>
          <w:sz w:val="19"/>
          <w:szCs w:val="19"/>
          <w:color w:val="auto"/>
        </w:rPr>
        <w:t>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w:t>
      </w:r>
    </w:p>
    <w:p>
      <w:pPr>
        <w:spacing w:after="0" w:line="161" w:lineRule="exact"/>
        <w:rPr>
          <w:sz w:val="20"/>
          <w:szCs w:val="20"/>
          <w:color w:val="auto"/>
        </w:rPr>
      </w:pPr>
    </w:p>
    <w:p>
      <w:pPr>
        <w:ind w:right="80" w:firstLine="757"/>
        <w:spacing w:after="0" w:line="279" w:lineRule="auto"/>
        <w:tabs>
          <w:tab w:leader="none" w:pos="1498" w:val="left"/>
        </w:tabs>
        <w:numPr>
          <w:ilvl w:val="0"/>
          <w:numId w:val="3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Substitute Awards</w:t>
      </w:r>
      <w:r>
        <w:rPr>
          <w:rFonts w:ascii="Arial" w:cs="Arial" w:eastAsia="Arial" w:hAnsi="Arial"/>
          <w:sz w:val="19"/>
          <w:szCs w:val="19"/>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4.ELIGIBILITY</w:t>
      </w:r>
    </w:p>
    <w:p>
      <w:pPr>
        <w:spacing w:after="0" w:line="206" w:lineRule="exact"/>
        <w:rPr>
          <w:sz w:val="20"/>
          <w:szCs w:val="20"/>
          <w:color w:val="auto"/>
        </w:rPr>
      </w:pPr>
    </w:p>
    <w:p>
      <w:pPr>
        <w:ind w:right="460" w:firstLine="749"/>
        <w:spacing w:after="0" w:line="328" w:lineRule="auto"/>
        <w:rPr>
          <w:sz w:val="20"/>
          <w:szCs w:val="20"/>
          <w:color w:val="auto"/>
        </w:rPr>
      </w:pPr>
      <w:r>
        <w:rPr>
          <w:rFonts w:ascii="Arial" w:cs="Arial" w:eastAsia="Arial" w:hAnsi="Arial"/>
          <w:sz w:val="19"/>
          <w:szCs w:val="19"/>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5.STOCK OPTIONS</w:t>
      </w:r>
    </w:p>
    <w:p>
      <w:pPr>
        <w:spacing w:after="0" w:line="206" w:lineRule="exact"/>
        <w:rPr>
          <w:sz w:val="20"/>
          <w:szCs w:val="20"/>
          <w:color w:val="auto"/>
        </w:rPr>
      </w:pPr>
    </w:p>
    <w:p>
      <w:pPr>
        <w:ind w:right="640" w:firstLine="757"/>
        <w:spacing w:after="0" w:line="274" w:lineRule="auto"/>
        <w:tabs>
          <w:tab w:leader="none" w:pos="1498" w:val="left"/>
        </w:tabs>
        <w:numPr>
          <w:ilvl w:val="0"/>
          <w:numId w:val="4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Award of Stock Options</w:t>
      </w:r>
      <w:r>
        <w:rPr>
          <w:rFonts w:ascii="Arial" w:cs="Arial" w:eastAsia="Arial" w:hAnsi="Arial"/>
          <w:sz w:val="21"/>
          <w:szCs w:val="21"/>
          <w:color w:val="auto"/>
        </w:rPr>
        <w:t>. The Administrator may grant Stock Options under the Plan. Any Stock Option granted under the Plan shall be in such form as the Administrator may from time to time approve.</w:t>
      </w:r>
    </w:p>
    <w:p>
      <w:pPr>
        <w:spacing w:after="0" w:line="151"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5"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jc w:val="both"/>
        <w:ind w:right="180" w:firstLine="757"/>
        <w:spacing w:after="0" w:line="287" w:lineRule="auto"/>
        <w:tabs>
          <w:tab w:leader="none" w:pos="1498"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42" w:lineRule="exact"/>
        <w:rPr>
          <w:rFonts w:ascii="Arial" w:cs="Arial" w:eastAsia="Arial" w:hAnsi="Arial"/>
          <w:sz w:val="19"/>
          <w:szCs w:val="19"/>
          <w:u w:val="single" w:color="auto"/>
          <w:color w:val="auto"/>
        </w:rPr>
      </w:pPr>
    </w:p>
    <w:p>
      <w:pPr>
        <w:ind w:right="100" w:firstLine="757"/>
        <w:spacing w:after="0" w:line="297" w:lineRule="auto"/>
        <w:tabs>
          <w:tab w:leader="none" w:pos="1498"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3" w:lineRule="exact"/>
        <w:rPr>
          <w:rFonts w:ascii="Arial" w:cs="Arial" w:eastAsia="Arial" w:hAnsi="Arial"/>
          <w:sz w:val="19"/>
          <w:szCs w:val="19"/>
          <w:u w:val="single" w:color="auto"/>
          <w:color w:val="auto"/>
        </w:rPr>
      </w:pPr>
    </w:p>
    <w:p>
      <w:pPr>
        <w:ind w:right="60" w:firstLine="757"/>
        <w:spacing w:after="0" w:line="287" w:lineRule="auto"/>
        <w:tabs>
          <w:tab w:leader="none" w:pos="1498"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9"/>
          <w:szCs w:val="19"/>
          <w:u w:val="single" w:color="auto"/>
          <w:color w:val="auto"/>
        </w:rPr>
      </w:pPr>
    </w:p>
    <w:p>
      <w:pPr>
        <w:ind w:right="60" w:firstLine="757"/>
        <w:spacing w:after="0" w:line="297" w:lineRule="auto"/>
        <w:tabs>
          <w:tab w:leader="none" w:pos="1498"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7"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right="80" w:firstLine="749"/>
        <w:spacing w:after="0" w:line="235" w:lineRule="auto"/>
        <w:rPr>
          <w:sz w:val="20"/>
          <w:szCs w:val="20"/>
          <w:color w:val="auto"/>
        </w:rPr>
      </w:pPr>
      <w:r>
        <w:rPr>
          <w:rFonts w:ascii="Arial" w:cs="Arial" w:eastAsia="Arial" w:hAnsi="Arial"/>
          <w:sz w:val="22"/>
          <w:szCs w:val="22"/>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13" w:name="page114"/>
    <w:bookmarkEnd w:id="113"/>
    <w:p>
      <w:pPr>
        <w:spacing w:after="0" w:line="282" w:lineRule="auto"/>
        <w:rPr>
          <w:sz w:val="20"/>
          <w:szCs w:val="20"/>
          <w:color w:val="auto"/>
        </w:rPr>
      </w:pPr>
      <w:r>
        <w:rPr>
          <w:rFonts w:ascii="Arial" w:cs="Arial" w:eastAsia="Arial" w:hAnsi="Arial"/>
          <w:sz w:val="19"/>
          <w:szCs w:val="19"/>
          <w:color w:val="auto"/>
        </w:rPr>
        <w:t>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7" w:lineRule="exact"/>
        <w:rPr>
          <w:sz w:val="20"/>
          <w:szCs w:val="20"/>
          <w:color w:val="auto"/>
        </w:rPr>
      </w:pPr>
    </w:p>
    <w:p>
      <w:pPr>
        <w:ind w:right="80" w:firstLine="757"/>
        <w:spacing w:after="0" w:line="282" w:lineRule="auto"/>
        <w:tabs>
          <w:tab w:leader="none" w:pos="1498" w:val="left"/>
        </w:tabs>
        <w:numPr>
          <w:ilvl w:val="0"/>
          <w:numId w:val="4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6.STOCK APPRECIATION RIGHTS</w:t>
      </w:r>
    </w:p>
    <w:p>
      <w:pPr>
        <w:spacing w:after="0" w:line="206" w:lineRule="exact"/>
        <w:rPr>
          <w:sz w:val="20"/>
          <w:szCs w:val="20"/>
          <w:color w:val="auto"/>
        </w:rPr>
      </w:pPr>
    </w:p>
    <w:p>
      <w:pPr>
        <w:jc w:val="both"/>
        <w:ind w:right="100" w:firstLine="757"/>
        <w:spacing w:after="0" w:line="287" w:lineRule="auto"/>
        <w:tabs>
          <w:tab w:leader="none" w:pos="1498" w:val="left"/>
        </w:tabs>
        <w:numPr>
          <w:ilvl w:val="0"/>
          <w:numId w:val="4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Award of Stock Appreciation Rights</w:t>
      </w:r>
      <w:r>
        <w:rPr>
          <w:rFonts w:ascii="Arial" w:cs="Arial" w:eastAsia="Arial" w:hAnsi="Arial"/>
          <w:sz w:val="19"/>
          <w:szCs w:val="19"/>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42" w:lineRule="exact"/>
        <w:rPr>
          <w:rFonts w:ascii="Arial" w:cs="Arial" w:eastAsia="Arial" w:hAnsi="Arial"/>
          <w:sz w:val="19"/>
          <w:szCs w:val="19"/>
          <w:u w:val="single" w:color="auto"/>
          <w:color w:val="auto"/>
        </w:rPr>
      </w:pPr>
    </w:p>
    <w:p>
      <w:pPr>
        <w:ind w:right="80" w:firstLine="757"/>
        <w:spacing w:after="0" w:line="250" w:lineRule="auto"/>
        <w:tabs>
          <w:tab w:leader="none" w:pos="1498"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74" w:lineRule="exact"/>
        <w:rPr>
          <w:rFonts w:ascii="Arial" w:cs="Arial" w:eastAsia="Arial" w:hAnsi="Arial"/>
          <w:sz w:val="22"/>
          <w:szCs w:val="22"/>
          <w:u w:val="single" w:color="auto"/>
          <w:color w:val="auto"/>
        </w:rPr>
      </w:pPr>
    </w:p>
    <w:p>
      <w:pPr>
        <w:ind w:right="1060" w:firstLine="757"/>
        <w:spacing w:after="0" w:line="274" w:lineRule="auto"/>
        <w:tabs>
          <w:tab w:leader="none" w:pos="1498" w:val="left"/>
        </w:tabs>
        <w:numPr>
          <w:ilvl w:val="0"/>
          <w:numId w:val="4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Grant and Exercise of Stock Appreciation Rights</w:t>
      </w:r>
      <w:r>
        <w:rPr>
          <w:rFonts w:ascii="Arial" w:cs="Arial" w:eastAsia="Arial" w:hAnsi="Arial"/>
          <w:sz w:val="21"/>
          <w:szCs w:val="21"/>
          <w:color w:val="auto"/>
        </w:rPr>
        <w:t>. Stock Appreciation Rights may be granted by the Administrator independently of any Stock Option granted pursuant to Section 5 of the Plan.</w:t>
      </w:r>
    </w:p>
    <w:p>
      <w:pPr>
        <w:spacing w:after="0" w:line="150" w:lineRule="exact"/>
        <w:rPr>
          <w:rFonts w:ascii="Arial" w:cs="Arial" w:eastAsia="Arial" w:hAnsi="Arial"/>
          <w:sz w:val="21"/>
          <w:szCs w:val="21"/>
          <w:u w:val="single" w:color="auto"/>
          <w:color w:val="auto"/>
        </w:rPr>
      </w:pPr>
    </w:p>
    <w:p>
      <w:pPr>
        <w:jc w:val="both"/>
        <w:ind w:right="180" w:firstLine="757"/>
        <w:spacing w:after="0"/>
        <w:tabs>
          <w:tab w:leader="none" w:pos="1498"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from time to time by the Administrator. The term of a Stock Appreciation Right may not exceed ten years.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7.RESTRICTED STOCK AWARDS</w:t>
      </w:r>
    </w:p>
    <w:p>
      <w:pPr>
        <w:spacing w:after="0" w:line="206" w:lineRule="exact"/>
        <w:rPr>
          <w:sz w:val="20"/>
          <w:szCs w:val="20"/>
          <w:color w:val="auto"/>
        </w:rPr>
      </w:pPr>
    </w:p>
    <w:p>
      <w:pPr>
        <w:ind w:right="40" w:firstLine="757"/>
        <w:spacing w:after="0" w:line="282" w:lineRule="auto"/>
        <w:tabs>
          <w:tab w:leader="none" w:pos="1498" w:val="left"/>
        </w:tabs>
        <w:numPr>
          <w:ilvl w:val="0"/>
          <w:numId w:val="4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4" w:name="page115"/>
    <w:bookmarkEnd w:id="114"/>
    <w:p>
      <w:pPr>
        <w:ind w:firstLine="757"/>
        <w:spacing w:after="0" w:line="269" w:lineRule="auto"/>
        <w:tabs>
          <w:tab w:leader="none" w:pos="1498" w:val="left"/>
        </w:tabs>
        <w:numPr>
          <w:ilvl w:val="1"/>
          <w:numId w:val="4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9"/>
          <w:szCs w:val="19"/>
          <w:u w:val="single" w:color="auto"/>
          <w:color w:val="auto"/>
        </w:rPr>
      </w:pPr>
    </w:p>
    <w:p>
      <w:pPr>
        <w:ind w:right="420" w:firstLine="8"/>
        <w:spacing w:after="0" w:line="234" w:lineRule="auto"/>
        <w:tabs>
          <w:tab w:leader="none" w:pos="318" w:val="left"/>
        </w:tabs>
        <w:numPr>
          <w:ilvl w:val="0"/>
          <w:numId w:val="46"/>
        </w:numPr>
        <w:rPr>
          <w:rFonts w:ascii="Arial" w:cs="Arial" w:eastAsia="Arial" w:hAnsi="Arial"/>
          <w:sz w:val="22"/>
          <w:szCs w:val="22"/>
          <w:color w:val="auto"/>
        </w:rPr>
      </w:pPr>
      <w:r>
        <w:rPr>
          <w:rFonts w:ascii="Arial" w:cs="Arial" w:eastAsia="Arial" w:hAnsi="Arial"/>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7" w:lineRule="exact"/>
        <w:rPr>
          <w:rFonts w:ascii="Arial" w:cs="Arial" w:eastAsia="Arial" w:hAnsi="Arial"/>
          <w:sz w:val="22"/>
          <w:szCs w:val="22"/>
          <w:color w:val="auto"/>
        </w:rPr>
      </w:pPr>
    </w:p>
    <w:p>
      <w:pPr>
        <w:ind w:firstLine="757"/>
        <w:spacing w:after="0" w:line="273" w:lineRule="auto"/>
        <w:tabs>
          <w:tab w:leader="none" w:pos="1498" w:val="left"/>
        </w:tabs>
        <w:numPr>
          <w:ilvl w:val="1"/>
          <w:numId w:val="4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0" w:lineRule="exact"/>
        <w:rPr>
          <w:rFonts w:ascii="Arial" w:cs="Arial" w:eastAsia="Arial" w:hAnsi="Arial"/>
          <w:sz w:val="19"/>
          <w:szCs w:val="19"/>
          <w:u w:val="single" w:color="auto"/>
          <w:color w:val="auto"/>
        </w:rPr>
      </w:pPr>
    </w:p>
    <w:p>
      <w:pPr>
        <w:ind w:right="20" w:firstLine="757"/>
        <w:spacing w:after="0" w:line="245" w:lineRule="auto"/>
        <w:tabs>
          <w:tab w:leader="none" w:pos="1498" w:val="left"/>
        </w:tabs>
        <w:numPr>
          <w:ilvl w:val="1"/>
          <w:numId w:val="4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Certificate or, subject to Section 18 below, in writing after the Award is issued, a grantee’s rights in any Restricted Shares that have not vested shall automatically terminate upon the grantee’s termination of employment (or other service relationship) with the Company and its Subsidiaries and such shares shall be subject to the provisions of Section 7(c) above.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u w:val="single" w:color="auto"/>
          <w:color w:val="auto"/>
        </w:rPr>
        <w:t>8.RESTRICTED STOCK UNITS</w:t>
      </w:r>
    </w:p>
    <w:p>
      <w:pPr>
        <w:spacing w:after="0" w:line="206" w:lineRule="exact"/>
        <w:rPr>
          <w:sz w:val="20"/>
          <w:szCs w:val="20"/>
          <w:color w:val="auto"/>
        </w:rPr>
      </w:pPr>
    </w:p>
    <w:p>
      <w:pPr>
        <w:ind w:right="20" w:firstLine="757"/>
        <w:spacing w:after="0" w:line="274" w:lineRule="auto"/>
        <w:tabs>
          <w:tab w:leader="none" w:pos="1498" w:val="left"/>
        </w:tabs>
        <w:numPr>
          <w:ilvl w:val="0"/>
          <w:numId w:val="4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vested Restricted Stock Units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8" w:lineRule="exact"/>
        <w:rPr>
          <w:rFonts w:ascii="Arial" w:cs="Arial" w:eastAsia="Arial" w:hAnsi="Arial"/>
          <w:sz w:val="19"/>
          <w:szCs w:val="19"/>
          <w:u w:val="single" w:color="auto"/>
          <w:color w:val="auto"/>
        </w:rPr>
      </w:pPr>
    </w:p>
    <w:p>
      <w:pPr>
        <w:ind w:firstLine="757"/>
        <w:spacing w:after="0" w:line="273" w:lineRule="auto"/>
        <w:tabs>
          <w:tab w:leader="none" w:pos="1498" w:val="left"/>
        </w:tabs>
        <w:numPr>
          <w:ilvl w:val="0"/>
          <w:numId w:val="4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60" w:lineRule="exact"/>
        <w:rPr>
          <w:rFonts w:ascii="Arial" w:cs="Arial" w:eastAsia="Arial" w:hAnsi="Arial"/>
          <w:sz w:val="19"/>
          <w:szCs w:val="19"/>
          <w:u w:val="single" w:color="auto"/>
          <w:color w:val="auto"/>
        </w:rPr>
      </w:pPr>
    </w:p>
    <w:p>
      <w:pPr>
        <w:ind w:right="80" w:firstLine="757"/>
        <w:spacing w:after="0" w:line="238" w:lineRule="auto"/>
        <w:tabs>
          <w:tab w:leader="none" w:pos="1498" w:val="left"/>
        </w:tabs>
        <w:numPr>
          <w:ilvl w:val="0"/>
          <w:numId w:val="4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84" w:lineRule="exact"/>
        <w:rPr>
          <w:rFonts w:ascii="Arial" w:cs="Arial" w:eastAsia="Arial" w:hAnsi="Arial"/>
          <w:sz w:val="22"/>
          <w:szCs w:val="22"/>
          <w:u w:val="single" w:color="auto"/>
          <w:color w:val="auto"/>
        </w:rPr>
      </w:pPr>
    </w:p>
    <w:p>
      <w:pPr>
        <w:ind w:right="80" w:firstLine="757"/>
        <w:spacing w:after="0" w:line="238" w:lineRule="auto"/>
        <w:tabs>
          <w:tab w:leader="none" w:pos="1498" w:val="left"/>
        </w:tabs>
        <w:numPr>
          <w:ilvl w:val="0"/>
          <w:numId w:val="4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u w:val="single" w:color="auto"/>
          <w:color w:val="auto"/>
        </w:rPr>
        <w:t>9.UNRESTRICTED STOCK AWARDS</w:t>
      </w:r>
    </w:p>
    <w:p>
      <w:pPr>
        <w:spacing w:after="0" w:line="206" w:lineRule="exact"/>
        <w:rPr>
          <w:sz w:val="20"/>
          <w:szCs w:val="20"/>
          <w:color w:val="auto"/>
        </w:rPr>
      </w:pPr>
    </w:p>
    <w:p>
      <w:pPr>
        <w:ind w:right="400" w:firstLine="749"/>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10.CASH-BASED AWARDS</w:t>
      </w:r>
    </w:p>
    <w:p>
      <w:pPr>
        <w:spacing w:after="0" w:line="206" w:lineRule="exact"/>
        <w:rPr>
          <w:sz w:val="20"/>
          <w:szCs w:val="20"/>
          <w:color w:val="auto"/>
        </w:rPr>
      </w:pPr>
    </w:p>
    <w:p>
      <w:pPr>
        <w:ind w:firstLine="749"/>
        <w:spacing w:after="0" w:line="246"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11.PERFORMANCE SHARE AWARDS</w:t>
      </w:r>
    </w:p>
    <w:p>
      <w:pPr>
        <w:spacing w:after="0" w:line="206" w:lineRule="exact"/>
        <w:rPr>
          <w:sz w:val="20"/>
          <w:szCs w:val="20"/>
          <w:color w:val="auto"/>
        </w:rPr>
      </w:pPr>
    </w:p>
    <w:p>
      <w:pPr>
        <w:ind w:right="40" w:firstLine="757"/>
        <w:spacing w:after="0" w:line="282" w:lineRule="auto"/>
        <w:tabs>
          <w:tab w:leader="none" w:pos="1498" w:val="left"/>
        </w:tabs>
        <w:numPr>
          <w:ilvl w:val="0"/>
          <w:numId w:val="4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Nature of Performance Share Awards</w:t>
      </w:r>
      <w:r>
        <w:rPr>
          <w:rFonts w:ascii="Arial" w:cs="Arial" w:eastAsia="Arial" w:hAnsi="Arial"/>
          <w:sz w:val="19"/>
          <w:szCs w:val="19"/>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47" w:lineRule="exact"/>
        <w:rPr>
          <w:rFonts w:ascii="Arial" w:cs="Arial" w:eastAsia="Arial" w:hAnsi="Arial"/>
          <w:sz w:val="19"/>
          <w:szCs w:val="19"/>
          <w:u w:val="single" w:color="auto"/>
          <w:color w:val="auto"/>
        </w:rPr>
      </w:pPr>
    </w:p>
    <w:p>
      <w:pPr>
        <w:ind w:right="100" w:firstLine="757"/>
        <w:spacing w:after="0" w:line="236" w:lineRule="auto"/>
        <w:tabs>
          <w:tab w:leader="none" w:pos="1498" w:val="left"/>
        </w:tabs>
        <w:numPr>
          <w:ilvl w:val="0"/>
          <w:numId w:val="4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7" w:lineRule="exact"/>
        <w:rPr>
          <w:rFonts w:ascii="Arial" w:cs="Arial" w:eastAsia="Arial" w:hAnsi="Arial"/>
          <w:sz w:val="22"/>
          <w:szCs w:val="22"/>
          <w:u w:val="single" w:color="auto"/>
          <w:color w:val="auto"/>
        </w:rPr>
      </w:pPr>
    </w:p>
    <w:p>
      <w:pPr>
        <w:ind w:right="260" w:firstLine="757"/>
        <w:spacing w:after="0" w:line="238" w:lineRule="auto"/>
        <w:tabs>
          <w:tab w:leader="none" w:pos="1498" w:val="left"/>
        </w:tabs>
        <w:numPr>
          <w:ilvl w:val="0"/>
          <w:numId w:val="4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u w:val="single" w:color="auto"/>
          <w:color w:val="auto"/>
        </w:rPr>
        <w:t>12.PERFORMANCE-BASED AWARDS TO COVERED EMPLOYEES</w:t>
      </w:r>
    </w:p>
    <w:p>
      <w:pPr>
        <w:spacing w:after="0" w:line="193" w:lineRule="exact"/>
        <w:rPr>
          <w:sz w:val="20"/>
          <w:szCs w:val="20"/>
          <w:color w:val="auto"/>
        </w:rPr>
      </w:pPr>
    </w:p>
    <w:p>
      <w:pPr>
        <w:ind w:right="20" w:firstLine="757"/>
        <w:spacing w:after="0" w:line="246" w:lineRule="auto"/>
        <w:tabs>
          <w:tab w:leader="none" w:pos="1498" w:val="left"/>
        </w:tabs>
        <w:numPr>
          <w:ilvl w:val="0"/>
          <w:numId w:val="4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Performance-Based Awards</w:t>
      </w:r>
      <w:r>
        <w:rPr>
          <w:rFonts w:ascii="Arial" w:cs="Arial" w:eastAsia="Arial" w:hAnsi="Arial"/>
          <w:sz w:val="19"/>
          <w:szCs w:val="19"/>
          <w:color w:val="auto"/>
        </w:rPr>
        <w:t>. The Administrator may grant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165" w:lineRule="exact"/>
        <w:rPr>
          <w:rFonts w:ascii="Arial" w:cs="Arial" w:eastAsia="Arial" w:hAnsi="Arial"/>
          <w:sz w:val="19"/>
          <w:szCs w:val="19"/>
          <w:u w:val="single" w:color="auto"/>
          <w:color w:val="auto"/>
        </w:rPr>
      </w:pPr>
    </w:p>
    <w:p>
      <w:pPr>
        <w:ind w:right="140" w:firstLine="757"/>
        <w:spacing w:after="0" w:line="274" w:lineRule="auto"/>
        <w:tabs>
          <w:tab w:leader="none" w:pos="1498" w:val="left"/>
        </w:tabs>
        <w:numPr>
          <w:ilvl w:val="0"/>
          <w:numId w:val="4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Grant of Performance-Based Awards</w:t>
      </w:r>
      <w:r>
        <w:rPr>
          <w:rFonts w:ascii="Arial" w:cs="Arial" w:eastAsia="Arial" w:hAnsi="Arial"/>
          <w:sz w:val="19"/>
          <w:szCs w:val="19"/>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58" w:lineRule="exact"/>
        <w:rPr>
          <w:rFonts w:ascii="Arial" w:cs="Arial" w:eastAsia="Arial" w:hAnsi="Arial"/>
          <w:sz w:val="19"/>
          <w:szCs w:val="19"/>
          <w:u w:val="single" w:color="auto"/>
          <w:color w:val="auto"/>
        </w:rPr>
      </w:pPr>
    </w:p>
    <w:p>
      <w:pPr>
        <w:ind w:right="100" w:firstLine="757"/>
        <w:spacing w:after="0" w:line="248" w:lineRule="auto"/>
        <w:tabs>
          <w:tab w:leader="none" w:pos="1498" w:val="left"/>
        </w:tabs>
        <w:numPr>
          <w:ilvl w:val="0"/>
          <w:numId w:val="4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Payment of Performance-Based Awards</w:t>
      </w:r>
      <w:r>
        <w:rPr>
          <w:rFonts w:ascii="Arial" w:cs="Arial" w:eastAsia="Arial" w:hAnsi="Arial"/>
          <w:sz w:val="21"/>
          <w:szCs w:val="21"/>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76" w:lineRule="exact"/>
        <w:rPr>
          <w:rFonts w:ascii="Arial" w:cs="Arial" w:eastAsia="Arial" w:hAnsi="Arial"/>
          <w:sz w:val="21"/>
          <w:szCs w:val="21"/>
          <w:u w:val="single" w:color="auto"/>
          <w:color w:val="auto"/>
        </w:rPr>
      </w:pPr>
    </w:p>
    <w:p>
      <w:pPr>
        <w:ind w:right="20" w:firstLine="757"/>
        <w:spacing w:after="0"/>
        <w:tabs>
          <w:tab w:leader="none" w:pos="1498" w:val="left"/>
        </w:tabs>
        <w:numPr>
          <w:ilvl w:val="0"/>
          <w:numId w:val="4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Maximum Award Payable</w:t>
      </w:r>
      <w:r>
        <w:rPr>
          <w:rFonts w:ascii="Arial" w:cs="Arial" w:eastAsia="Arial" w:hAnsi="Arial"/>
          <w:sz w:val="22"/>
          <w:szCs w:val="22"/>
          <w:color w:val="auto"/>
        </w:rPr>
        <w:t>. The maximum Performance-Based Award payable to any one Covered Employee under the Plan for a Performance Cycle is 1,000,000 shares of Stock (subject to adjustment as provided in Section 3(c) hereof) or $2,000,000 in the case of a Performance-Based Award that is a Cash-Based Award.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13.DIVIDEND EQUIVALENT RIGHTS</w:t>
      </w:r>
    </w:p>
    <w:p>
      <w:pPr>
        <w:spacing w:after="0" w:line="206" w:lineRule="exact"/>
        <w:rPr>
          <w:sz w:val="20"/>
          <w:szCs w:val="20"/>
          <w:color w:val="auto"/>
        </w:rPr>
      </w:pPr>
    </w:p>
    <w:p>
      <w:pPr>
        <w:ind w:firstLine="757"/>
        <w:spacing w:after="0" w:line="236" w:lineRule="auto"/>
        <w:tabs>
          <w:tab w:leader="none" w:pos="1498" w:val="left"/>
        </w:tabs>
        <w:numPr>
          <w:ilvl w:val="0"/>
          <w:numId w:val="5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Restricted Stock Award or Performance Share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8" w:name="page119"/>
    <w:bookmarkEnd w:id="118"/>
    <w:p>
      <w:pPr>
        <w:ind w:right="40"/>
        <w:spacing w:after="0" w:line="274" w:lineRule="auto"/>
        <w:rPr>
          <w:sz w:val="20"/>
          <w:szCs w:val="20"/>
          <w:color w:val="auto"/>
        </w:rPr>
      </w:pPr>
      <w:r>
        <w:rPr>
          <w:rFonts w:ascii="Arial" w:cs="Arial" w:eastAsia="Arial" w:hAnsi="Arial"/>
          <w:sz w:val="19"/>
          <w:szCs w:val="19"/>
          <w:color w:val="auto"/>
        </w:rPr>
        <w:t>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58" w:lineRule="exact"/>
        <w:rPr>
          <w:sz w:val="20"/>
          <w:szCs w:val="20"/>
          <w:color w:val="auto"/>
        </w:rPr>
      </w:pPr>
    </w:p>
    <w:p>
      <w:pPr>
        <w:ind w:right="260" w:firstLine="757"/>
        <w:spacing w:after="0" w:line="238" w:lineRule="auto"/>
        <w:tabs>
          <w:tab w:leader="none" w:pos="1552" w:val="left"/>
        </w:tabs>
        <w:numPr>
          <w:ilvl w:val="0"/>
          <w:numId w:val="5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14.TRANSFERABILITY OF AWARDS</w:t>
      </w:r>
    </w:p>
    <w:p>
      <w:pPr>
        <w:spacing w:after="0" w:line="206" w:lineRule="exact"/>
        <w:rPr>
          <w:sz w:val="20"/>
          <w:szCs w:val="20"/>
          <w:color w:val="auto"/>
        </w:rPr>
      </w:pPr>
    </w:p>
    <w:p>
      <w:pPr>
        <w:ind w:right="140" w:firstLine="757"/>
        <w:spacing w:after="0" w:line="282" w:lineRule="auto"/>
        <w:tabs>
          <w:tab w:leader="none" w:pos="1498" w:val="left"/>
        </w:tabs>
        <w:numPr>
          <w:ilvl w:val="0"/>
          <w:numId w:val="5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u w:val="single" w:color="auto"/>
          <w:color w:val="auto"/>
        </w:rPr>
      </w:pPr>
    </w:p>
    <w:p>
      <w:pPr>
        <w:ind w:right="20" w:firstLine="757"/>
        <w:spacing w:after="0" w:line="235" w:lineRule="auto"/>
        <w:tabs>
          <w:tab w:leader="none" w:pos="1498" w:val="left"/>
        </w:tabs>
        <w:numPr>
          <w:ilvl w:val="0"/>
          <w:numId w:val="5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7" w:lineRule="exact"/>
        <w:rPr>
          <w:rFonts w:ascii="Arial" w:cs="Arial" w:eastAsia="Arial" w:hAnsi="Arial"/>
          <w:sz w:val="22"/>
          <w:szCs w:val="22"/>
          <w:u w:val="single" w:color="auto"/>
          <w:color w:val="auto"/>
        </w:rPr>
      </w:pPr>
    </w:p>
    <w:p>
      <w:pPr>
        <w:ind w:firstLine="757"/>
        <w:spacing w:after="0" w:line="248" w:lineRule="auto"/>
        <w:tabs>
          <w:tab w:leader="none" w:pos="1498" w:val="left"/>
        </w:tabs>
        <w:numPr>
          <w:ilvl w:val="0"/>
          <w:numId w:val="5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Family Member</w:t>
      </w:r>
      <w:r>
        <w:rPr>
          <w:rFonts w:ascii="Arial" w:cs="Arial" w:eastAsia="Arial" w:hAnsi="Arial"/>
          <w:sz w:val="21"/>
          <w:szCs w:val="21"/>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9" w:name="page120"/>
    <w:bookmarkEnd w:id="119"/>
    <w:p>
      <w:pPr>
        <w:jc w:val="both"/>
        <w:ind w:right="20" w:firstLine="757"/>
        <w:spacing w:after="0" w:line="282" w:lineRule="auto"/>
        <w:tabs>
          <w:tab w:leader="none" w:pos="1498" w:val="left"/>
        </w:tabs>
        <w:numPr>
          <w:ilvl w:val="0"/>
          <w:numId w:val="5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15.TAX WITHHOLDING</w:t>
      </w:r>
    </w:p>
    <w:p>
      <w:pPr>
        <w:spacing w:after="0" w:line="206" w:lineRule="exact"/>
        <w:rPr>
          <w:sz w:val="20"/>
          <w:szCs w:val="20"/>
          <w:color w:val="auto"/>
        </w:rPr>
      </w:pPr>
    </w:p>
    <w:p>
      <w:pPr>
        <w:ind w:firstLine="757"/>
        <w:spacing w:after="0" w:line="277" w:lineRule="auto"/>
        <w:tabs>
          <w:tab w:leader="none" w:pos="1498"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rFonts w:ascii="Arial" w:cs="Arial" w:eastAsia="Arial" w:hAnsi="Arial"/>
          <w:sz w:val="19"/>
          <w:szCs w:val="19"/>
          <w:u w:val="single" w:color="auto"/>
          <w:color w:val="auto"/>
        </w:rPr>
      </w:pPr>
    </w:p>
    <w:p>
      <w:pPr>
        <w:ind w:right="20" w:firstLine="757"/>
        <w:spacing w:after="0" w:line="279" w:lineRule="auto"/>
        <w:tabs>
          <w:tab w:leader="none" w:pos="1498"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grantee.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16.SECTION 409A AWARDS</w:t>
      </w:r>
    </w:p>
    <w:p>
      <w:pPr>
        <w:spacing w:after="0" w:line="206" w:lineRule="exact"/>
        <w:rPr>
          <w:sz w:val="20"/>
          <w:szCs w:val="20"/>
          <w:color w:val="auto"/>
        </w:rPr>
      </w:pPr>
    </w:p>
    <w:p>
      <w:pPr>
        <w:ind w:right="120" w:firstLine="749"/>
        <w:spacing w:after="0" w:line="275"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17.TERMINATION OF EMPLOYMENT. TRANSFER, LEAVE OF ABSENCE, ETC.</w:t>
      </w:r>
    </w:p>
    <w:p>
      <w:pPr>
        <w:spacing w:after="0" w:line="206" w:lineRule="exact"/>
        <w:rPr>
          <w:sz w:val="20"/>
          <w:szCs w:val="20"/>
          <w:color w:val="auto"/>
        </w:rPr>
      </w:pPr>
    </w:p>
    <w:p>
      <w:pPr>
        <w:ind w:right="20" w:firstLine="757"/>
        <w:spacing w:after="0" w:line="250" w:lineRule="auto"/>
        <w:tabs>
          <w:tab w:leader="none" w:pos="1498" w:val="left"/>
        </w:tabs>
        <w:numPr>
          <w:ilvl w:val="0"/>
          <w:numId w:val="5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employer ceases to be a Subsidiary, the grantee shall be deemed to have terminated employment for the purposes of the Plan.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ind w:left="760"/>
        <w:spacing w:after="0"/>
        <w:rPr>
          <w:sz w:val="20"/>
          <w:szCs w:val="20"/>
          <w:color w:val="auto"/>
        </w:rPr>
      </w:pPr>
      <w:r>
        <w:rPr>
          <w:rFonts w:ascii="Arial" w:cs="Arial" w:eastAsia="Arial" w:hAnsi="Arial"/>
          <w:sz w:val="22"/>
          <w:szCs w:val="22"/>
          <w:color w:val="auto"/>
        </w:rPr>
        <w:t>For purposes of the Plan, the following events shall not be deemed a termination of employment:</w:t>
      </w:r>
    </w:p>
    <w:p>
      <w:pPr>
        <w:spacing w:after="0" w:line="206" w:lineRule="exact"/>
        <w:rPr>
          <w:sz w:val="20"/>
          <w:szCs w:val="20"/>
          <w:color w:val="auto"/>
        </w:rPr>
      </w:pPr>
    </w:p>
    <w:p>
      <w:pPr>
        <w:ind w:right="180" w:firstLine="757"/>
        <w:spacing w:after="0" w:line="250" w:lineRule="auto"/>
        <w:tabs>
          <w:tab w:leader="none" w:pos="149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4" w:lineRule="exact"/>
        <w:rPr>
          <w:rFonts w:ascii="Arial" w:cs="Arial" w:eastAsia="Arial" w:hAnsi="Arial"/>
          <w:sz w:val="22"/>
          <w:szCs w:val="22"/>
          <w:color w:val="auto"/>
        </w:rPr>
      </w:pPr>
    </w:p>
    <w:p>
      <w:pPr>
        <w:ind w:firstLine="757"/>
        <w:spacing w:after="0"/>
        <w:tabs>
          <w:tab w:leader="none" w:pos="149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6" w:lineRule="exact"/>
        <w:rPr>
          <w:sz w:val="20"/>
          <w:szCs w:val="20"/>
          <w:color w:val="auto"/>
        </w:rPr>
      </w:pPr>
    </w:p>
    <w:p>
      <w:pPr>
        <w:ind w:right="740" w:firstLine="749"/>
        <w:spacing w:after="0" w:line="274" w:lineRule="auto"/>
        <w:rPr>
          <w:sz w:val="20"/>
          <w:szCs w:val="20"/>
          <w:color w:val="auto"/>
        </w:rPr>
      </w:pPr>
      <w:r>
        <w:rPr>
          <w:rFonts w:ascii="Arial" w:cs="Arial" w:eastAsia="Arial" w:hAnsi="Arial"/>
          <w:sz w:val="21"/>
          <w:szCs w:val="21"/>
          <w:color w:val="auto"/>
        </w:rPr>
        <w:t>Unless the Administrator provides otherwise or as required by law, vesting of Awards granted hereunder shall be suspended during any unpaid leave of absence of such grantee that exceeds a period of seven (7) days.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18.AMENDMENTS AND TERMINATION</w:t>
      </w:r>
    </w:p>
    <w:p>
      <w:pPr>
        <w:spacing w:after="0" w:line="206" w:lineRule="exact"/>
        <w:rPr>
          <w:sz w:val="20"/>
          <w:szCs w:val="20"/>
          <w:color w:val="auto"/>
        </w:rPr>
      </w:pPr>
    </w:p>
    <w:p>
      <w:pPr>
        <w:ind w:right="40" w:firstLine="749"/>
        <w:spacing w:after="0" w:line="273"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19.STATUS OF PLAN</w:t>
      </w:r>
    </w:p>
    <w:p>
      <w:pPr>
        <w:spacing w:after="0" w:line="206" w:lineRule="exact"/>
        <w:rPr>
          <w:sz w:val="20"/>
          <w:szCs w:val="20"/>
          <w:color w:val="auto"/>
        </w:rPr>
      </w:pPr>
    </w:p>
    <w:p>
      <w:pPr>
        <w:ind w:right="100" w:firstLine="749"/>
        <w:spacing w:after="0" w:line="248"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u w:val="single" w:color="auto"/>
          <w:color w:val="auto"/>
        </w:rPr>
        <w:t>20.GENERAL PROVISIONS</w:t>
      </w:r>
    </w:p>
    <w:p>
      <w:pPr>
        <w:spacing w:after="0" w:line="206" w:lineRule="exact"/>
        <w:rPr>
          <w:sz w:val="20"/>
          <w:szCs w:val="20"/>
          <w:color w:val="auto"/>
        </w:rPr>
      </w:pPr>
    </w:p>
    <w:p>
      <w:pPr>
        <w:ind w:right="60" w:firstLine="757"/>
        <w:spacing w:after="0" w:line="328" w:lineRule="auto"/>
        <w:tabs>
          <w:tab w:leader="none" w:pos="1498" w:val="left"/>
        </w:tabs>
        <w:numPr>
          <w:ilvl w:val="0"/>
          <w:numId w:val="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4" w:lineRule="exact"/>
        <w:rPr>
          <w:rFonts w:ascii="Arial" w:cs="Arial" w:eastAsia="Arial" w:hAnsi="Arial"/>
          <w:sz w:val="19"/>
          <w:szCs w:val="19"/>
          <w:u w:val="single" w:color="auto"/>
          <w:color w:val="auto"/>
        </w:rPr>
      </w:pPr>
    </w:p>
    <w:p>
      <w:pPr>
        <w:ind w:firstLine="757"/>
        <w:spacing w:after="0" w:line="270" w:lineRule="auto"/>
        <w:tabs>
          <w:tab w:leader="none" w:pos="1498" w:val="left"/>
        </w:tabs>
        <w:numPr>
          <w:ilvl w:val="0"/>
          <w:numId w:val="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62" w:lineRule="exact"/>
        <w:rPr>
          <w:rFonts w:ascii="Arial" w:cs="Arial" w:eastAsia="Arial" w:hAnsi="Arial"/>
          <w:sz w:val="19"/>
          <w:szCs w:val="19"/>
          <w:u w:val="single" w:color="auto"/>
          <w:color w:val="auto"/>
        </w:rPr>
      </w:pPr>
    </w:p>
    <w:p>
      <w:pPr>
        <w:ind w:right="80" w:firstLine="757"/>
        <w:spacing w:after="0" w:line="297" w:lineRule="auto"/>
        <w:tabs>
          <w:tab w:leader="none" w:pos="1498" w:val="left"/>
        </w:tabs>
        <w:numPr>
          <w:ilvl w:val="0"/>
          <w:numId w:val="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3" w:lineRule="exact"/>
        <w:rPr>
          <w:rFonts w:ascii="Arial" w:cs="Arial" w:eastAsia="Arial" w:hAnsi="Arial"/>
          <w:sz w:val="19"/>
          <w:szCs w:val="19"/>
          <w:u w:val="single" w:color="auto"/>
          <w:color w:val="auto"/>
        </w:rPr>
      </w:pPr>
    </w:p>
    <w:p>
      <w:pPr>
        <w:ind w:right="220" w:firstLine="757"/>
        <w:spacing w:after="0" w:line="287" w:lineRule="auto"/>
        <w:tabs>
          <w:tab w:leader="none" w:pos="1498" w:val="left"/>
        </w:tabs>
        <w:numPr>
          <w:ilvl w:val="0"/>
          <w:numId w:val="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ind w:right="940" w:firstLine="757"/>
        <w:spacing w:after="0" w:line="250" w:lineRule="auto"/>
        <w:tabs>
          <w:tab w:leader="none" w:pos="1498" w:val="left"/>
        </w:tabs>
        <w:numPr>
          <w:ilvl w:val="0"/>
          <w:numId w:val="5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4" w:lineRule="exact"/>
        <w:rPr>
          <w:rFonts w:ascii="Arial" w:cs="Arial" w:eastAsia="Arial" w:hAnsi="Arial"/>
          <w:sz w:val="22"/>
          <w:szCs w:val="22"/>
          <w:u w:val="single" w:color="auto"/>
          <w:color w:val="auto"/>
        </w:rPr>
      </w:pPr>
    </w:p>
    <w:p>
      <w:pPr>
        <w:ind w:firstLine="757"/>
        <w:spacing w:after="0" w:line="250" w:lineRule="auto"/>
        <w:tabs>
          <w:tab w:leader="none" w:pos="1498" w:val="left"/>
        </w:tabs>
        <w:numPr>
          <w:ilvl w:val="0"/>
          <w:numId w:val="5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under the Plan shall be subject to the Company’s clawback policy, as may be adopted and as in effect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21.EFFECTIVE DATE OF PLAN</w:t>
      </w:r>
    </w:p>
    <w:p>
      <w:pPr>
        <w:spacing w:after="0" w:line="206" w:lineRule="exact"/>
        <w:rPr>
          <w:sz w:val="20"/>
          <w:szCs w:val="20"/>
          <w:color w:val="auto"/>
        </w:rPr>
      </w:pPr>
    </w:p>
    <w:p>
      <w:pPr>
        <w:ind w:right="100" w:firstLine="749"/>
        <w:spacing w:after="0" w:line="236" w:lineRule="auto"/>
        <w:rPr>
          <w:sz w:val="20"/>
          <w:szCs w:val="20"/>
          <w:color w:val="auto"/>
        </w:rPr>
      </w:pPr>
      <w:r>
        <w:rPr>
          <w:rFonts w:ascii="Arial" w:cs="Arial" w:eastAsia="Arial" w:hAnsi="Arial"/>
          <w:sz w:val="22"/>
          <w:szCs w:val="22"/>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22.GOVERNING LAW</w:t>
      </w:r>
    </w:p>
    <w:p>
      <w:pPr>
        <w:spacing w:after="0" w:line="206"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laws of the State of Delaware, applied without regard to conflict of law principles.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DATE APPROVED BY BOARD OF DIRECTORS: September 25, 2014</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DATE APPROVED BY STOCKHOLDERS: September 25, 2014</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23" w:name="page124"/>
    <w:bookmarkEnd w:id="123"/>
    <w:p>
      <w:pPr>
        <w:ind w:left="4680"/>
        <w:spacing w:after="0"/>
        <w:rPr>
          <w:sz w:val="20"/>
          <w:szCs w:val="20"/>
          <w:color w:val="auto"/>
        </w:rPr>
      </w:pPr>
      <w:r>
        <w:rPr>
          <w:rFonts w:ascii="Arial" w:cs="Arial" w:eastAsia="Arial" w:hAnsi="Arial"/>
          <w:sz w:val="20"/>
          <w:szCs w:val="20"/>
          <w:b w:val="1"/>
          <w:bCs w:val="1"/>
          <w:color w:val="auto"/>
        </w:rPr>
        <w:t>AMENDMENT NO. 1</w:t>
      </w:r>
    </w:p>
    <w:p>
      <w:pPr>
        <w:ind w:left="5220"/>
        <w:spacing w:after="0" w:line="233" w:lineRule="auto"/>
        <w:rPr>
          <w:sz w:val="20"/>
          <w:szCs w:val="20"/>
          <w:color w:val="auto"/>
        </w:rPr>
      </w:pPr>
      <w:r>
        <w:rPr>
          <w:rFonts w:ascii="Arial" w:cs="Arial" w:eastAsia="Arial" w:hAnsi="Arial"/>
          <w:sz w:val="20"/>
          <w:szCs w:val="20"/>
          <w:b w:val="1"/>
          <w:bCs w:val="1"/>
          <w:color w:val="auto"/>
        </w:rPr>
        <w:t>TO THE</w:t>
      </w:r>
    </w:p>
    <w:p>
      <w:pPr>
        <w:ind w:left="4900"/>
        <w:spacing w:after="0" w:line="226" w:lineRule="auto"/>
        <w:rPr>
          <w:sz w:val="20"/>
          <w:szCs w:val="20"/>
          <w:color w:val="auto"/>
        </w:rPr>
      </w:pPr>
      <w:r>
        <w:rPr>
          <w:rFonts w:ascii="Arial" w:cs="Arial" w:eastAsia="Arial" w:hAnsi="Arial"/>
          <w:sz w:val="20"/>
          <w:szCs w:val="20"/>
          <w:b w:val="1"/>
          <w:bCs w:val="1"/>
          <w:color w:val="auto"/>
        </w:rPr>
        <w:t>HUBSPOT, INC.</w:t>
      </w:r>
    </w:p>
    <w:p>
      <w:pPr>
        <w:ind w:left="3520"/>
        <w:spacing w:after="0"/>
        <w:rPr>
          <w:sz w:val="20"/>
          <w:szCs w:val="20"/>
          <w:color w:val="auto"/>
        </w:rPr>
      </w:pPr>
      <w:r>
        <w:rPr>
          <w:rFonts w:ascii="Arial" w:cs="Arial" w:eastAsia="Arial" w:hAnsi="Arial"/>
          <w:sz w:val="20"/>
          <w:szCs w:val="20"/>
          <w:b w:val="1"/>
          <w:bCs w:val="1"/>
          <w:color w:val="auto"/>
        </w:rPr>
        <w:t>2014 STOCK OPTION AND INCENTIVE PLAN</w:t>
      </w:r>
    </w:p>
    <w:p>
      <w:pPr>
        <w:spacing w:after="0" w:line="200" w:lineRule="exact"/>
        <w:rPr>
          <w:sz w:val="20"/>
          <w:szCs w:val="20"/>
          <w:color w:val="auto"/>
        </w:rPr>
      </w:pPr>
    </w:p>
    <w:p>
      <w:pPr>
        <w:spacing w:after="0" w:line="250" w:lineRule="exact"/>
        <w:rPr>
          <w:sz w:val="20"/>
          <w:szCs w:val="20"/>
          <w:color w:val="auto"/>
        </w:rPr>
      </w:pPr>
    </w:p>
    <w:p>
      <w:pPr>
        <w:ind w:right="280"/>
        <w:spacing w:after="0" w:line="30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HubSpot, Inc. (the “Company”) maintains the HubSpot, Inc. 2014 Stock Option and Incentive Plan (the “Plan”),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adopted by the Board of Directors of the Company (the “Board”) and approved by the stockholders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desires to amend the Plan to eliminate the “evergreen” feature on a prospective basis; 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18 of the Plan provides that the Board may amend the Plan at any time, subject to certain conditions set forth therein.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w:t>
      </w:r>
    </w:p>
    <w:p>
      <w:pPr>
        <w:spacing w:after="0" w:line="208" w:lineRule="exact"/>
        <w:rPr>
          <w:sz w:val="20"/>
          <w:szCs w:val="20"/>
          <w:color w:val="auto"/>
        </w:rPr>
      </w:pPr>
    </w:p>
    <w:p>
      <w:pPr>
        <w:ind w:left="600" w:hanging="592"/>
        <w:spacing w:after="0"/>
        <w:tabs>
          <w:tab w:leader="none" w:pos="6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Section 3(a) of the Plan is hereby deleted it in its entirety and replaced with the following:</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1,973,551 shares (the “Initial Limit”), subject to adjustment as provided in Section 3(c), plus on January 1, 2015 and each January 1 thereafter through January 1, 2022,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For the avoidance of doubt, no Annual Increases shall occur after January 1, 2022. Subject to such overall limitation, the maximum aggregate number of shares of Stock that may be issued in the form of Incentive Stock Options shall not exceed the Initial Limit cumulatively increased on January 1, 2015 and on each January 1 thereafter through January 1, 2022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79" w:lineRule="exact"/>
        <w:rPr>
          <w:sz w:val="20"/>
          <w:szCs w:val="20"/>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Effective Date of Amendment</w:t>
      </w:r>
      <w:r>
        <w:rPr>
          <w:rFonts w:ascii="Arial" w:cs="Arial" w:eastAsia="Arial" w:hAnsi="Arial"/>
          <w:sz w:val="18"/>
          <w:szCs w:val="18"/>
          <w:color w:val="auto"/>
        </w:rPr>
        <w:t>. This Amendment to the Plan shall become effective upon the date that it is approved by the Board.</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Other Provisions.</w:t>
      </w:r>
      <w:r>
        <w:rPr>
          <w:rFonts w:ascii="Arial" w:cs="Arial" w:eastAsia="Arial" w:hAnsi="Arial"/>
          <w:sz w:val="20"/>
          <w:szCs w:val="20"/>
          <w:color w:val="auto"/>
        </w:rPr>
        <w:t xml:space="preserve"> Except as set forth above, all other provisions of the Plan shall remain unchanged.</w:t>
      </w:r>
    </w:p>
    <w:p>
      <w:pPr>
        <w:spacing w:after="0" w:line="202" w:lineRule="exact"/>
        <w:rPr>
          <w:sz w:val="20"/>
          <w:szCs w:val="20"/>
          <w:color w:val="auto"/>
        </w:rPr>
      </w:pPr>
    </w:p>
    <w:p>
      <w:pPr>
        <w:ind w:right="240"/>
        <w:spacing w:after="0" w:line="211" w:lineRule="auto"/>
        <w:rPr>
          <w:sz w:val="20"/>
          <w:szCs w:val="20"/>
          <w:color w:val="auto"/>
        </w:rPr>
      </w:pPr>
      <w:r>
        <w:rPr>
          <w:rFonts w:ascii="Arial" w:cs="Arial" w:eastAsia="Arial" w:hAnsi="Arial"/>
          <w:sz w:val="20"/>
          <w:szCs w:val="20"/>
          <w:color w:val="auto"/>
        </w:rPr>
        <w:t>IN WITNESS WHEREOF, this Amendment No. 1 to the Plan has been adopted by the Board of Directors of the Company this 26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January 2022.</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24" w:name="page125"/>
    <w:bookmarkEnd w:id="124"/>
    <w:p>
      <w:pPr>
        <w:jc w:val="center"/>
        <w:ind w:left="2800"/>
        <w:spacing w:after="0" w:line="253" w:lineRule="auto"/>
        <w:rPr>
          <w:sz w:val="20"/>
          <w:szCs w:val="20"/>
          <w:color w:val="auto"/>
        </w:rPr>
      </w:pPr>
      <w:r>
        <w:rPr>
          <w:rFonts w:ascii="Arial" w:cs="Arial" w:eastAsia="Arial" w:hAnsi="Arial"/>
          <w:sz w:val="25"/>
          <w:szCs w:val="25"/>
          <w:b w:val="1"/>
          <w:bCs w:val="1"/>
          <w:color w:val="auto"/>
        </w:rPr>
        <w:t>GLOBAL INCENTIVE STOCK OPTION AGREEMENT UNDER THE HUBSPOT, INC. 2014 STOCK OPTION AND INCENTIVE PLAN</w:t>
      </w:r>
    </w:p>
    <w:p>
      <w:pPr>
        <w:spacing w:after="0" w:line="375"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Name of Optionee:</w:t>
      </w:r>
      <w:r>
        <w:rPr>
          <w:sz w:val="20"/>
          <w:szCs w:val="20"/>
          <w:color w:val="auto"/>
        </w:rPr>
        <w:tab/>
      </w:r>
      <w:r>
        <w:rPr>
          <w:rFonts w:ascii="Arial" w:cs="Arial" w:eastAsia="Arial" w:hAnsi="Arial"/>
          <w:sz w:val="19"/>
          <w:szCs w:val="19"/>
          <w:color w:val="auto"/>
        </w:rPr>
        <w:t>&lt;Participant Name&gt;</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No. of Option Shares:</w:t>
      </w:r>
      <w:r>
        <w:rPr>
          <w:sz w:val="20"/>
          <w:szCs w:val="20"/>
          <w:color w:val="auto"/>
        </w:rPr>
        <w:tab/>
      </w:r>
      <w:r>
        <w:rPr>
          <w:rFonts w:ascii="Arial" w:cs="Arial" w:eastAsia="Arial" w:hAnsi="Arial"/>
          <w:sz w:val="19"/>
          <w:szCs w:val="19"/>
          <w:color w:val="auto"/>
        </w:rPr>
        <w:t>&lt;Number of Awards Granted&gt;</w:t>
      </w:r>
    </w:p>
    <w:p>
      <w:pPr>
        <w:spacing w:after="0" w:line="20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9"/>
          <w:szCs w:val="19"/>
          <w:color w:val="auto"/>
        </w:rPr>
        <w:t>$ &lt;Grant Date FMV&gt;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[FMV on Grant Date (110% of FMV if a 10% owner)]</w:t>
      </w:r>
    </w:p>
    <w:p>
      <w:pPr>
        <w:sectPr>
          <w:pgSz w:w="11900" w:h="16838" w:orient="portrait"/>
          <w:cols w:equalWidth="0" w:num="1">
            <w:col w:w="11240"/>
          </w:cols>
          <w:pgMar w:left="320" w:top="360"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1020" w:space="280"/>
            <w:col w:w="9940"/>
          </w:cols>
          <w:pgMar w:left="320" w:top="36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2640" w:space="400"/>
            <w:col w:w="8200"/>
          </w:cols>
          <w:pgMar w:left="320" w:top="360" w:right="339" w:bottom="1440" w:gutter="0" w:footer="0" w:header="0"/>
          <w:type w:val="continuous"/>
        </w:sectPr>
      </w:pPr>
    </w:p>
    <w:p>
      <w:pPr>
        <w:spacing w:after="0" w:line="41"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&lt;Expiration Date&gt;</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[up to 10 years (5 if a 10% owner)]</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Pursuant to the HubSpot, Inc. 2014 Stock Option and Incentive Plan as amended through the date hereof (the “Plan”), and this Global Incentive Stock Option Award Agreement, including any additional terms and conditions for the Optionee’s country set forth in the appendix attached hereto (the “Appendix” and together with the Global Incentive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400" w:lineRule="exact"/>
        <w:rPr>
          <w:sz w:val="20"/>
          <w:szCs w:val="20"/>
          <w:color w:val="auto"/>
        </w:rPr>
      </w:pPr>
    </w:p>
    <w:p>
      <w:pPr>
        <w:jc w:val="both"/>
        <w:ind w:firstLine="757"/>
        <w:spacing w:after="0" w:line="273" w:lineRule="auto"/>
        <w:tabs>
          <w:tab w:leader="none" w:pos="1194"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w:t>
      </w:r>
      <w:r>
        <w:rPr>
          <w:rFonts w:ascii="Arial" w:cs="Arial" w:eastAsia="Arial" w:hAnsi="Arial"/>
          <w:sz w:val="13"/>
          <w:szCs w:val="13"/>
          <w:color w:val="auto"/>
        </w:rPr>
        <w:t>1</w:t>
      </w:r>
      <w:r>
        <w:rPr>
          <w:rFonts w:ascii="Arial" w:cs="Arial" w:eastAsia="Arial" w:hAnsi="Arial"/>
          <w:sz w:val="19"/>
          <w:szCs w:val="19"/>
          <w:color w:val="auto"/>
        </w:rPr>
        <w:t xml:space="preserve"> following the Vesting Commencement Date; provided that the Optionee remains an employee of the Company or a Subsidiary on such date. For the avoidance of doubt, employment during only a period prior to a vesting date (but where employment has terminated prior to the vesting date) does not entitle the Optionee to vest in a pro-rata portion of the Stock Option on such date or entitle the Optionee to compensation for lost vesting.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 of the Plan. This Agreement is subject to the terms and conditions of any policies of the Company regarding vesting during leaves of absence.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5" w:name="page126"/>
    <w:bookmarkEnd w:id="125"/>
    <w:p>
      <w:pPr>
        <w:jc w:val="both"/>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43" w:lineRule="auto"/>
        <w:tabs>
          <w:tab w:leader="none" w:pos="358"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or her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7" w:lineRule="exact"/>
        <w:rPr>
          <w:sz w:val="20"/>
          <w:szCs w:val="20"/>
          <w:color w:val="auto"/>
        </w:rPr>
      </w:pPr>
    </w:p>
    <w:p>
      <w:pPr>
        <w:ind w:left="1180" w:hanging="423"/>
        <w:spacing w:after="0"/>
        <w:tabs>
          <w:tab w:leader="none" w:pos="118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056"/>
        <w:spacing w:after="0" w:line="238" w:lineRule="auto"/>
        <w:tabs>
          <w:tab w:leader="none" w:pos="2096"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jc w:val="both"/>
        <w:spacing w:after="0" w:line="275" w:lineRule="auto"/>
        <w:rPr>
          <w:sz w:val="20"/>
          <w:szCs w:val="20"/>
          <w:color w:val="auto"/>
        </w:rPr>
      </w:pPr>
      <w:r>
        <w:rPr>
          <w:rFonts w:ascii="Arial" w:cs="Arial" w:eastAsia="Arial" w:hAnsi="Arial"/>
          <w:sz w:val="19"/>
          <w:szCs w:val="19"/>
          <w:color w:val="auto"/>
        </w:rPr>
        <w:t>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jc w:val="both"/>
        <w:ind w:firstLine="1056"/>
        <w:spacing w:after="0" w:line="245" w:lineRule="auto"/>
        <w:tabs>
          <w:tab w:leader="none" w:pos="2096" w:val="left"/>
        </w:tabs>
        <w:numPr>
          <w:ilvl w:val="1"/>
          <w:numId w:val="64"/>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6" w:lineRule="exact"/>
        <w:rPr>
          <w:rFonts w:ascii="Arial" w:cs="Arial" w:eastAsia="Arial" w:hAnsi="Arial"/>
          <w:sz w:val="21"/>
          <w:szCs w:val="21"/>
          <w:color w:val="auto"/>
        </w:rPr>
      </w:pPr>
    </w:p>
    <w:p>
      <w:pPr>
        <w:jc w:val="both"/>
        <w:ind w:firstLine="1056"/>
        <w:spacing w:after="0"/>
        <w:tabs>
          <w:tab w:leader="none" w:pos="2096"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8" w:lineRule="exact"/>
        <w:rPr>
          <w:rFonts w:ascii="Arial" w:cs="Arial" w:eastAsia="Arial" w:hAnsi="Arial"/>
          <w:sz w:val="22"/>
          <w:szCs w:val="22"/>
          <w:color w:val="auto"/>
        </w:rPr>
      </w:pPr>
    </w:p>
    <w:p>
      <w:pPr>
        <w:ind w:firstLine="1056"/>
        <w:spacing w:after="0" w:line="250" w:lineRule="auto"/>
        <w:tabs>
          <w:tab w:leader="none" w:pos="2096" w:val="left"/>
        </w:tabs>
        <w:numPr>
          <w:ilvl w:val="1"/>
          <w:numId w:val="64"/>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02" w:lineRule="exact"/>
        <w:rPr>
          <w:sz w:val="20"/>
          <w:szCs w:val="20"/>
          <w:color w:val="auto"/>
        </w:rPr>
      </w:pPr>
    </w:p>
    <w:p>
      <w:pPr>
        <w:ind w:right="500" w:firstLine="757"/>
        <w:spacing w:after="0" w:line="328" w:lineRule="auto"/>
        <w:tabs>
          <w:tab w:leader="none" w:pos="118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Optionee’s employment by the Company or a Subsidiary is terminated, the period within which to exercise the Stock Option may be subject to earlier termination as set forth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jc w:val="both"/>
        <w:ind w:firstLine="1056"/>
        <w:spacing w:after="0" w:line="238" w:lineRule="auto"/>
        <w:tabs>
          <w:tab w:leader="none" w:pos="2096" w:val="left"/>
        </w:tabs>
        <w:numPr>
          <w:ilvl w:val="0"/>
          <w:numId w:val="6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76" w:lineRule="exact"/>
        <w:rPr>
          <w:rFonts w:ascii="Arial" w:cs="Arial" w:eastAsia="Arial" w:hAnsi="Arial"/>
          <w:sz w:val="22"/>
          <w:szCs w:val="22"/>
          <w:u w:val="single" w:color="auto"/>
          <w:color w:val="auto"/>
        </w:rPr>
      </w:pPr>
    </w:p>
    <w:p>
      <w:pPr>
        <w:jc w:val="both"/>
        <w:ind w:firstLine="1056"/>
        <w:spacing w:after="0" w:line="249" w:lineRule="auto"/>
        <w:tabs>
          <w:tab w:leader="none" w:pos="2096" w:val="left"/>
        </w:tabs>
        <w:numPr>
          <w:ilvl w:val="0"/>
          <w:numId w:val="6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70" w:lineRule="exact"/>
        <w:rPr>
          <w:rFonts w:ascii="Arial" w:cs="Arial" w:eastAsia="Arial" w:hAnsi="Arial"/>
          <w:sz w:val="21"/>
          <w:szCs w:val="21"/>
          <w:u w:val="single" w:color="auto"/>
          <w:color w:val="auto"/>
        </w:rPr>
      </w:pPr>
    </w:p>
    <w:p>
      <w:pPr>
        <w:jc w:val="both"/>
        <w:ind w:firstLine="1056"/>
        <w:spacing w:after="0" w:line="277" w:lineRule="auto"/>
        <w:tabs>
          <w:tab w:leader="none" w:pos="2096" w:val="left"/>
        </w:tabs>
        <w:numPr>
          <w:ilvl w:val="0"/>
          <w:numId w:val="6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43" w:lineRule="exact"/>
        <w:rPr>
          <w:rFonts w:ascii="Arial" w:cs="Arial" w:eastAsia="Arial" w:hAnsi="Arial"/>
          <w:sz w:val="19"/>
          <w:szCs w:val="19"/>
          <w:u w:val="single" w:color="auto"/>
          <w:color w:val="auto"/>
        </w:rPr>
      </w:pPr>
    </w:p>
    <w:p>
      <w:pPr>
        <w:jc w:val="both"/>
        <w:ind w:firstLine="1056"/>
        <w:spacing w:after="0" w:line="248" w:lineRule="auto"/>
        <w:tabs>
          <w:tab w:leader="none" w:pos="2096" w:val="left"/>
        </w:tabs>
        <w:numPr>
          <w:ilvl w:val="0"/>
          <w:numId w:val="6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20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Administrator’s determination of the reason for termination and the date of termination of the Optionee’s employment shall be conclusive and binding on the Optionee and his or her representatives or legatees.</w:t>
      </w:r>
    </w:p>
    <w:p>
      <w:pPr>
        <w:spacing w:after="0" w:line="175" w:lineRule="exact"/>
        <w:rPr>
          <w:sz w:val="20"/>
          <w:szCs w:val="20"/>
          <w:color w:val="auto"/>
        </w:rPr>
      </w:pPr>
    </w:p>
    <w:p>
      <w:pPr>
        <w:jc w:val="both"/>
        <w:ind w:right="300" w:firstLine="757"/>
        <w:spacing w:after="0" w:line="238" w:lineRule="auto"/>
        <w:tabs>
          <w:tab w:leader="none" w:pos="118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jc w:val="both"/>
        <w:ind w:right="300" w:firstLine="757"/>
        <w:spacing w:after="0" w:line="238" w:lineRule="auto"/>
        <w:tabs>
          <w:tab w:leader="none" w:pos="118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jc w:val="both"/>
        <w:ind w:firstLine="757"/>
        <w:spacing w:after="0"/>
        <w:tabs>
          <w:tab w:leader="none" w:pos="119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Status of the Stock Option</w:t>
      </w:r>
      <w:r>
        <w:rPr>
          <w:rFonts w:ascii="Arial" w:cs="Arial" w:eastAsia="Arial" w:hAnsi="Arial"/>
          <w:sz w:val="22"/>
          <w:szCs w:val="22"/>
          <w:color w:val="auto"/>
        </w:rPr>
        <w:t>. This Stock Option is intended to qualify as an “incentive stock option” under Section 422 of the Internal Revenue Code of 1986, as amended (the “Code”), but the Company does not represent or warrant that this Stock Option qualifies as such.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28" w:name="page129"/>
    <w:bookmarkEnd w:id="128"/>
    <w:p>
      <w:pPr>
        <w:jc w:val="both"/>
        <w:spacing w:after="0" w:line="246" w:lineRule="auto"/>
        <w:rPr>
          <w:sz w:val="20"/>
          <w:szCs w:val="20"/>
          <w:color w:val="auto"/>
        </w:rPr>
      </w:pPr>
      <w:r>
        <w:rPr>
          <w:rFonts w:ascii="Arial" w:cs="Arial" w:eastAsia="Arial" w:hAnsi="Arial"/>
          <w:sz w:val="21"/>
          <w:szCs w:val="21"/>
          <w:color w:val="auto"/>
        </w:rPr>
        <w:t>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4" w:lineRule="exact"/>
        <w:rPr>
          <w:sz w:val="20"/>
          <w:szCs w:val="20"/>
          <w:color w:val="auto"/>
        </w:rPr>
      </w:pPr>
    </w:p>
    <w:p>
      <w:pPr>
        <w:ind w:left="1180" w:hanging="423"/>
        <w:spacing w:after="0"/>
        <w:tabs>
          <w:tab w:leader="none" w:pos="11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45" w:lineRule="exact"/>
        <w:tabs>
          <w:tab w:leader="none" w:pos="2995"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or deemed by the Company or the Employer in its discretion to be an appropriate charge to the Optionee even if legally applicable to the Company or the Employer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91" w:lineRule="exact"/>
        <w:rPr>
          <w:rFonts w:ascii="Arial" w:cs="Arial" w:eastAsia="Arial" w:hAnsi="Arial"/>
          <w:sz w:val="19"/>
          <w:szCs w:val="19"/>
          <w:color w:val="auto"/>
        </w:rPr>
      </w:pPr>
    </w:p>
    <w:p>
      <w:pPr>
        <w:jc w:val="both"/>
        <w:ind w:firstLine="1505"/>
        <w:spacing w:after="0" w:line="272" w:lineRule="auto"/>
        <w:tabs>
          <w:tab w:leader="none" w:pos="2995"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payable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jc w:val="both"/>
        <w:ind w:firstLine="1505"/>
        <w:spacing w:after="0" w:line="245" w:lineRule="auto"/>
        <w:tabs>
          <w:tab w:leader="none" w:pos="2995"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Optionee may be required to pay additional Tax-Related Items directly to the applicable tax authority or to the Company and/or the 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84" w:lineRule="exact"/>
        <w:rPr>
          <w:rFonts w:ascii="Arial" w:cs="Arial" w:eastAsia="Arial" w:hAnsi="Arial"/>
          <w:sz w:val="21"/>
          <w:szCs w:val="21"/>
          <w:color w:val="auto"/>
        </w:rPr>
      </w:pPr>
    </w:p>
    <w:p>
      <w:pPr>
        <w:jc w:val="both"/>
        <w:ind w:firstLine="1505"/>
        <w:spacing w:after="0" w:line="236" w:lineRule="auto"/>
        <w:tabs>
          <w:tab w:leader="none" w:pos="2995"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jc w:val="both"/>
        <w:ind w:firstLine="757"/>
        <w:spacing w:after="0" w:line="287" w:lineRule="auto"/>
        <w:tabs>
          <w:tab w:leader="none" w:pos="122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42" w:lineRule="exact"/>
        <w:rPr>
          <w:rFonts w:ascii="Arial" w:cs="Arial" w:eastAsia="Arial" w:hAnsi="Arial"/>
          <w:sz w:val="19"/>
          <w:szCs w:val="19"/>
          <w:color w:val="auto"/>
        </w:rPr>
      </w:pPr>
    </w:p>
    <w:p>
      <w:pPr>
        <w:ind w:firstLine="757"/>
        <w:spacing w:after="0" w:line="274" w:lineRule="auto"/>
        <w:tabs>
          <w:tab w:leader="none" w:pos="1194"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Stock Option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left="1180" w:hanging="423"/>
        <w:spacing w:after="0"/>
        <w:tabs>
          <w:tab w:leader="none" w:pos="118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By accepting this Stock Option, the Optionee acknowledges, understands and agrees that:</w:t>
      </w:r>
    </w:p>
    <w:p>
      <w:pPr>
        <w:spacing w:after="0" w:line="217" w:lineRule="exact"/>
        <w:rPr>
          <w:rFonts w:ascii="Arial" w:cs="Arial" w:eastAsia="Arial" w:hAnsi="Arial"/>
          <w:sz w:val="21"/>
          <w:szCs w:val="21"/>
          <w:color w:val="auto"/>
        </w:rPr>
      </w:pPr>
    </w:p>
    <w:p>
      <w:pPr>
        <w:ind w:firstLine="1505"/>
        <w:spacing w:after="0" w:line="274" w:lineRule="auto"/>
        <w:tabs>
          <w:tab w:leader="none" w:pos="2995"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modified, amended, suspended or terminated by the Company at any time, to the extent permitted by the Plan;</w:t>
      </w:r>
    </w:p>
    <w:p>
      <w:pPr>
        <w:spacing w:after="0" w:line="150" w:lineRule="exact"/>
        <w:rPr>
          <w:rFonts w:ascii="Arial" w:cs="Arial" w:eastAsia="Arial" w:hAnsi="Arial"/>
          <w:sz w:val="21"/>
          <w:szCs w:val="21"/>
          <w:color w:val="auto"/>
        </w:rPr>
      </w:pPr>
    </w:p>
    <w:p>
      <w:pPr>
        <w:jc w:val="both"/>
        <w:ind w:firstLine="1505"/>
        <w:spacing w:after="0"/>
        <w:tabs>
          <w:tab w:leader="none" w:pos="2995"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3000" w:hanging="1495"/>
        <w:spacing w:after="0"/>
        <w:tabs>
          <w:tab w:leader="none" w:pos="3000" w:val="left"/>
        </w:tabs>
        <w:numPr>
          <w:ilvl w:val="1"/>
          <w:numId w:val="70"/>
        </w:numPr>
        <w:rPr>
          <w:rFonts w:ascii="Arial" w:cs="Arial" w:eastAsia="Arial" w:hAnsi="Arial"/>
          <w:sz w:val="21"/>
          <w:szCs w:val="21"/>
          <w:color w:val="auto"/>
        </w:rPr>
      </w:pPr>
      <w:r>
        <w:rPr>
          <w:rFonts w:ascii="Arial" w:cs="Arial" w:eastAsia="Arial" w:hAnsi="Arial"/>
          <w:sz w:val="21"/>
          <w:szCs w:val="21"/>
          <w:color w:val="auto"/>
        </w:rPr>
        <w:t>all decisions with respect to future stock option or other grants, if any, will be at the sole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21"/>
          <w:szCs w:val="21"/>
          <w:color w:val="auto"/>
        </w:rPr>
      </w:pPr>
    </w:p>
    <w:p>
      <w:pPr>
        <w:ind w:left="3000" w:hanging="1495"/>
        <w:spacing w:after="0"/>
        <w:tabs>
          <w:tab w:leader="none" w:pos="30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rFonts w:ascii="Arial" w:cs="Arial" w:eastAsia="Arial" w:hAnsi="Arial"/>
          <w:sz w:val="22"/>
          <w:szCs w:val="22"/>
          <w:color w:val="auto"/>
        </w:rPr>
      </w:pPr>
    </w:p>
    <w:p>
      <w:pPr>
        <w:ind w:firstLine="1505"/>
        <w:spacing w:after="0" w:line="250" w:lineRule="auto"/>
        <w:tabs>
          <w:tab w:leader="none" w:pos="2995"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this Stock Option and the Option Shares subject to this Stock Option, and the income from and value of same, are not intended to replace any pension rights or compensation;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jc w:val="both"/>
        <w:ind w:firstLine="1505"/>
        <w:spacing w:after="0"/>
        <w:tabs>
          <w:tab w:leader="none" w:pos="2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Option Shares subject to this Stock Option, and the income from and value of same, are not granted as consideration for, or in connection with, the service the Optionee may provide as a director of a Subsidiary or Affiliate;</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2995"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73" w:lineRule="exact"/>
        <w:rPr>
          <w:rFonts w:ascii="Arial" w:cs="Arial" w:eastAsia="Arial" w:hAnsi="Arial"/>
          <w:sz w:val="21"/>
          <w:szCs w:val="21"/>
          <w:color w:val="auto"/>
        </w:rPr>
      </w:pPr>
    </w:p>
    <w:p>
      <w:pPr>
        <w:ind w:right="20" w:firstLine="1505"/>
        <w:spacing w:after="0" w:line="250" w:lineRule="auto"/>
        <w:tabs>
          <w:tab w:leader="none" w:pos="2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future value of the Option Shares subject to this Stock Option is unknown, indeterminable, and cannot be predicted with certainty;</w:t>
      </w:r>
    </w:p>
    <w:p>
      <w:pPr>
        <w:spacing w:after="0" w:line="174" w:lineRule="exact"/>
        <w:rPr>
          <w:rFonts w:ascii="Arial" w:cs="Arial" w:eastAsia="Arial" w:hAnsi="Arial"/>
          <w:sz w:val="22"/>
          <w:szCs w:val="22"/>
          <w:color w:val="auto"/>
        </w:rPr>
      </w:pPr>
    </w:p>
    <w:p>
      <w:pPr>
        <w:ind w:left="3000" w:hanging="1495"/>
        <w:spacing w:after="0"/>
        <w:tabs>
          <w:tab w:leader="none" w:pos="3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the Option Shares subject to this Stock Option do not increase in value, this Stock Option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will have no value;</w:t>
      </w:r>
    </w:p>
    <w:p>
      <w:pPr>
        <w:spacing w:after="0" w:line="188" w:lineRule="exact"/>
        <w:rPr>
          <w:rFonts w:ascii="Arial" w:cs="Arial" w:eastAsia="Arial" w:hAnsi="Arial"/>
          <w:sz w:val="19"/>
          <w:szCs w:val="19"/>
          <w:color w:val="auto"/>
        </w:rPr>
      </w:pPr>
    </w:p>
    <w:p>
      <w:pPr>
        <w:ind w:firstLine="1505"/>
        <w:spacing w:after="0" w:line="250" w:lineRule="auto"/>
        <w:tabs>
          <w:tab w:leader="none" w:pos="2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the Optionee exercises this Stock Option and acquires shares of Stock, the value of such shares may increase or decrease in value, even below the Option Exercise Price;</w:t>
      </w:r>
    </w:p>
    <w:p>
      <w:pPr>
        <w:spacing w:after="0" w:line="174"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applicable employment or other laws in the jurisdiction where the Optionee is employed or the terms of the Optionee’s employment agreement, if any);</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4" w:lineRule="exact"/>
        <w:rPr>
          <w:rFonts w:ascii="Arial" w:cs="Arial" w:eastAsia="Arial" w:hAnsi="Arial"/>
          <w:sz w:val="22"/>
          <w:szCs w:val="22"/>
          <w:color w:val="auto"/>
        </w:rPr>
      </w:pPr>
    </w:p>
    <w:p>
      <w:pPr>
        <w:ind w:left="3000" w:hanging="1495"/>
        <w:spacing w:after="0"/>
        <w:tabs>
          <w:tab w:leader="none" w:pos="30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apply:</w:t>
      </w:r>
    </w:p>
    <w:p>
      <w:pPr>
        <w:spacing w:after="0" w:line="188" w:lineRule="exact"/>
        <w:rPr>
          <w:rFonts w:ascii="Arial" w:cs="Arial" w:eastAsia="Arial" w:hAnsi="Arial"/>
          <w:sz w:val="19"/>
          <w:szCs w:val="19"/>
          <w:color w:val="auto"/>
        </w:rPr>
      </w:pPr>
    </w:p>
    <w:p>
      <w:pPr>
        <w:ind w:left="3760" w:hanging="1506"/>
        <w:spacing w:after="0"/>
        <w:tabs>
          <w:tab w:leader="none" w:pos="37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this Stock Option and any Option Shares subject to this Stock Option, and the income</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from and value of same, are not part of normal or expected compensation for any purpose;</w:t>
      </w:r>
    </w:p>
    <w:p>
      <w:pPr>
        <w:spacing w:after="0" w:line="188"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1"/>
          <w:numId w:val="71"/>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5" w:lineRule="exact"/>
        <w:rPr>
          <w:sz w:val="20"/>
          <w:szCs w:val="20"/>
          <w:color w:val="auto"/>
        </w:rPr>
      </w:pPr>
    </w:p>
    <w:p>
      <w:pPr>
        <w:jc w:val="both"/>
        <w:ind w:firstLine="757"/>
        <w:spacing w:after="0"/>
        <w:tabs>
          <w:tab w:leader="none" w:pos="1221"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Incentive Stock Option Agreement, if the Optionee resides in a country outside the United States or is otherwise subject to the laws of a country other than the United States, this Stock Option shall be subject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spacing w:after="0" w:line="252" w:lineRule="auto"/>
        <w:rPr>
          <w:sz w:val="20"/>
          <w:szCs w:val="20"/>
          <w:color w:val="auto"/>
        </w:rPr>
      </w:pPr>
      <w:r>
        <w:rPr>
          <w:rFonts w:ascii="Arial" w:cs="Arial" w:eastAsia="Arial" w:hAnsi="Arial"/>
          <w:sz w:val="21"/>
          <w:szCs w:val="21"/>
          <w:color w:val="auto"/>
        </w:rPr>
        <w:t>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p>
    <w:p>
      <w:pPr>
        <w:spacing w:after="0" w:line="174" w:lineRule="exact"/>
        <w:rPr>
          <w:sz w:val="20"/>
          <w:szCs w:val="20"/>
          <w:color w:val="auto"/>
        </w:rPr>
      </w:pPr>
    </w:p>
    <w:p>
      <w:pPr>
        <w:jc w:val="both"/>
        <w:ind w:firstLine="757"/>
        <w:spacing w:after="0" w:line="236" w:lineRule="auto"/>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jc w:val="both"/>
        <w:ind w:firstLine="757"/>
        <w:spacing w:after="0"/>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jc w:val="both"/>
        <w:ind w:firstLine="757"/>
        <w:spacing w:after="0"/>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20" w:firstLine="757"/>
        <w:spacing w:after="0" w:line="250" w:lineRule="auto"/>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jc w:val="both"/>
        <w:ind w:firstLine="757"/>
        <w:spacing w:after="0" w:line="287" w:lineRule="auto"/>
        <w:tabs>
          <w:tab w:leader="none" w:pos="119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jc w:val="both"/>
        <w:ind w:firstLine="757"/>
        <w:spacing w:after="0" w:line="328" w:lineRule="auto"/>
        <w:tabs>
          <w:tab w:leader="none" w:pos="1181"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jc w:val="both"/>
        <w:ind w:firstLine="757"/>
        <w:spacing w:after="0" w:line="238" w:lineRule="auto"/>
        <w:tabs>
          <w:tab w:leader="none" w:pos="119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84" w:lineRule="exact"/>
        <w:rPr>
          <w:rFonts w:ascii="Arial" w:cs="Arial" w:eastAsia="Arial" w:hAnsi="Arial"/>
          <w:sz w:val="22"/>
          <w:szCs w:val="22"/>
          <w:color w:val="auto"/>
        </w:rPr>
      </w:pPr>
    </w:p>
    <w:p>
      <w:pPr>
        <w:jc w:val="both"/>
        <w:ind w:firstLine="757"/>
        <w:spacing w:after="0" w:line="252" w:lineRule="auto"/>
        <w:tabs>
          <w:tab w:leader="none" w:pos="1181"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ind w:firstLine="757"/>
        <w:spacing w:after="0" w:line="272" w:lineRule="auto"/>
        <w:tabs>
          <w:tab w:leader="none" w:pos="120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60" w:lineRule="exact"/>
        <w:rPr>
          <w:rFonts w:ascii="Arial" w:cs="Arial" w:eastAsia="Arial" w:hAnsi="Arial"/>
          <w:sz w:val="19"/>
          <w:szCs w:val="19"/>
          <w:color w:val="auto"/>
        </w:rPr>
      </w:pPr>
    </w:p>
    <w:p>
      <w:pPr>
        <w:jc w:val="both"/>
        <w:ind w:firstLine="757"/>
        <w:spacing w:after="0" w:line="271" w:lineRule="auto"/>
        <w:tabs>
          <w:tab w:leader="none" w:pos="119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757"/>
        <w:spacing w:after="0" w:line="275" w:lineRule="auto"/>
        <w:tabs>
          <w:tab w:leader="none" w:pos="118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requirements and should consult his or her personal legal advisor to ensure compliance with applicable laws.</w:t>
      </w:r>
    </w:p>
    <w:p>
      <w:pPr>
        <w:spacing w:after="0" w:line="206" w:lineRule="exact"/>
        <w:rPr>
          <w:sz w:val="20"/>
          <w:szCs w:val="20"/>
          <w:color w:val="auto"/>
        </w:rPr>
      </w:pPr>
    </w:p>
    <w:p>
      <w:pPr>
        <w:ind w:right="160" w:firstLine="757"/>
        <w:spacing w:after="0" w:line="297" w:lineRule="auto"/>
        <w:tabs>
          <w:tab w:leader="none" w:pos="1181"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173990</wp:posOffset>
            </wp:positionV>
            <wp:extent cx="2005965" cy="8655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0">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-635</wp:posOffset>
            </wp:positionV>
            <wp:extent cx="30943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13" w:lineRule="exact"/>
        <w:rPr>
          <w:sz w:val="20"/>
          <w:szCs w:val="20"/>
          <w:color w:val="auto"/>
        </w:rPr>
      </w:pPr>
    </w:p>
    <w:p>
      <w:pPr>
        <w:ind w:left="5640"/>
        <w:spacing w:after="0"/>
        <w:tabs>
          <w:tab w:leader="none" w:pos="6360" w:val="left"/>
        </w:tabs>
        <w:rPr>
          <w:sz w:val="20"/>
          <w:szCs w:val="20"/>
          <w:color w:val="auto"/>
        </w:rPr>
      </w:pPr>
      <w:r>
        <w:rPr>
          <w:rFonts w:ascii="Arial" w:cs="Arial" w:eastAsia="Arial" w:hAnsi="Arial"/>
          <w:sz w:val="22"/>
          <w:szCs w:val="22"/>
          <w:color w:val="auto"/>
        </w:rPr>
        <w:t>Title:</w:t>
        <w:tab/>
        <w:t>Chief Financial Officer</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 w:leader="none" w:pos="344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&lt;Participant Name&gt;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INCENTIVE STOCK OPTION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jc w:val="center"/>
        <w:spacing w:after="0" w:line="236" w:lineRule="auto"/>
        <w:rPr>
          <w:sz w:val="20"/>
          <w:szCs w:val="20"/>
          <w:color w:val="auto"/>
        </w:rPr>
      </w:pPr>
      <w:r>
        <w:rPr>
          <w:rFonts w:ascii="Arial" w:cs="Arial" w:eastAsia="Arial" w:hAnsi="Arial"/>
          <w:sz w:val="25"/>
          <w:szCs w:val="25"/>
          <w:b w:val="1"/>
          <w:bCs w:val="1"/>
          <w:color w:val="auto"/>
        </w:rPr>
        <w:t>UNDER THE HUBSPOT,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Incentive Stock Option Agreement (the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December 2021.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200" w:lineRule="exact"/>
        <w:rPr>
          <w:sz w:val="20"/>
          <w:szCs w:val="20"/>
          <w:color w:val="auto"/>
        </w:rPr>
      </w:pPr>
    </w:p>
    <w:p>
      <w:pPr>
        <w:spacing w:after="0" w:line="222" w:lineRule="exact"/>
        <w:rPr>
          <w:sz w:val="20"/>
          <w:szCs w:val="20"/>
          <w:color w:val="auto"/>
        </w:rPr>
      </w:pPr>
    </w:p>
    <w:p>
      <w:pPr>
        <w:jc w:val="center"/>
        <w:ind w:right="6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(a)By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and Affiliates for the exclusive purpose of implementing, administering and managing the Optionee’s participation in the Plan.</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(b)The Optionee understands that the Company, the Employer and other Subsidiaries and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(c)The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 more information on the consequences of the Optionee’s refusal to consent or withdrawal of consent, the Optionee understands that he or she may contact his or her local human resources representative.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jc w:val="both"/>
        <w:spacing w:after="0" w:line="279" w:lineRule="auto"/>
        <w:rPr>
          <w:sz w:val="20"/>
          <w:szCs w:val="20"/>
          <w:color w:val="auto"/>
        </w:rPr>
      </w:pPr>
      <w:r>
        <w:rPr>
          <w:rFonts w:ascii="Arial" w:cs="Arial" w:eastAsia="Arial" w:hAnsi="Arial"/>
          <w:sz w:val="19"/>
          <w:szCs w:val="19"/>
          <w:b w:val="1"/>
          <w:bCs w:val="1"/>
          <w:i w:val="1"/>
          <w:iCs w:val="1"/>
          <w:color w:val="auto"/>
        </w:rPr>
        <w:t>(d)Upon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or Affiliate and the Administrator to disclose and discuss the Plan with their advisors and to record all relevant information and keep such information in the Optionee’s employee file.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or Affiliate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jc w:val="both"/>
        <w:ind w:firstLine="8"/>
        <w:spacing w:after="0" w:line="235" w:lineRule="auto"/>
        <w:tabs>
          <w:tab w:leader="none" w:pos="223" w:val="left"/>
        </w:tabs>
        <w:numPr>
          <w:ilvl w:val="0"/>
          <w:numId w:val="76"/>
        </w:numPr>
        <w:rPr>
          <w:rFonts w:ascii="Arial" w:cs="Arial" w:eastAsia="Arial" w:hAnsi="Arial"/>
          <w:sz w:val="14"/>
          <w:szCs w:val="14"/>
          <w:color w:val="auto"/>
        </w:rPr>
      </w:pPr>
      <w:r>
        <w:rPr>
          <w:rFonts w:ascii="Arial" w:cs="Arial" w:eastAsia="Arial" w:hAnsi="Arial"/>
          <w:sz w:val="22"/>
          <w:szCs w:val="22"/>
          <w:i w:val="1"/>
          <w:iCs w:val="1"/>
          <w:color w:val="auto"/>
        </w:rPr>
        <w:t>The following language to be used for grants to Section 16 officers</w:t>
      </w:r>
      <w:r>
        <w:rPr>
          <w:rFonts w:ascii="Arial" w:cs="Arial" w:eastAsia="Arial" w:hAnsi="Arial"/>
          <w:sz w:val="22"/>
          <w:szCs w:val="22"/>
          <w:color w:val="auto"/>
        </w:rPr>
        <w:t>: Except as set forth below, and subject to the discretion of</w:t>
      </w:r>
      <w:r>
        <w:rPr>
          <w:rFonts w:ascii="Arial" w:cs="Arial" w:eastAsia="Arial" w:hAnsi="Arial"/>
          <w:sz w:val="22"/>
          <w:szCs w:val="22"/>
          <w:i w:val="1"/>
          <w:iCs w:val="1"/>
          <w:color w:val="auto"/>
        </w:rPr>
        <w:t xml:space="preserve"> </w:t>
      </w:r>
      <w:r>
        <w:rPr>
          <w:rFonts w:ascii="Arial" w:cs="Arial" w:eastAsia="Arial" w:hAnsi="Arial"/>
          <w:sz w:val="22"/>
          <w:szCs w:val="22"/>
          <w:color w:val="auto"/>
        </w:rPr>
        <w:t>the Administrator (as defined in Section 2 of the Plan) to accelerate the vesting schedule hereunder, the Option Shares shall vest and become exercisable in sixteen (16) equal installments of 6.25% starting on the three-month anniversary of the Vesting Commencement Date and every three months thereafter, such that the Stock Options are fully vested and exercisable on the fourth (4th) anniversary of the Vesting Commencement Date, provided that the Optionee remains an employee of the Company or a Subsidiary on each such date.</w:t>
      </w:r>
    </w:p>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i w:val="1"/>
          <w:iCs w:val="1"/>
          <w:color w:val="auto"/>
        </w:rPr>
        <w:t xml:space="preserve">The following language to be used for grants to new hires: </w:t>
      </w:r>
      <w:r>
        <w:rPr>
          <w:rFonts w:ascii="Arial" w:cs="Arial" w:eastAsia="Arial" w:hAnsi="Arial"/>
          <w:sz w:val="19"/>
          <w:szCs w:val="19"/>
          <w:color w:val="auto"/>
        </w:rPr>
        <w:t>Except as set forth below, and subject to the discretion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(as defined in Section 2 of the Plan) to accelerate the vesting schedule hereunder, 16.67% of the Option Shares shall vest and become exercisable on the six-month anniversary of the Vesting Commencement Date; provided that the Optionee remains an employee of the Company or a Subsidiary on such date. Thereafter, the restrictions and conditions of Paragraph 1 of this Agreement shall lapse as to the remaining 83.33% of the Option Shares and such Option Shares shall vest and become exercisable in ten (10) equal installments of 8.33% every three (3) months following the six-month anniversary of the Vesting Commencement Date, such that the Option Shares are fully vested and exercisable on the third (3rd) anniversary of the Vesting Commencement Date, provided that the Optionee remains an employee of the Company or a Subsidiary on such dates.</w:t>
      </w:r>
    </w:p>
    <w:p>
      <w:pPr>
        <w:spacing w:after="0" w:line="184"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i w:val="1"/>
          <w:iCs w:val="1"/>
          <w:color w:val="auto"/>
        </w:rPr>
        <w:t>The following language to be used for all other grants</w:t>
      </w:r>
      <w:r>
        <w:rPr>
          <w:rFonts w:ascii="Arial" w:cs="Arial" w:eastAsia="Arial" w:hAnsi="Arial"/>
          <w:sz w:val="22"/>
          <w:szCs w:val="22"/>
          <w:color w:val="auto"/>
        </w:rPr>
        <w:t>: Except as set forth below, and subject to the discretion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(as defined in Section 2 of the Plan) to accelerate the vesting schedule hereunder, the Option Shares shall vest and become exercisable in twelve (12) equal installments of 8.33% starting on the three-month anniversary of the Vesting Commencement Date and every three months thereafter, such that the Stock Options are fully vested and exercisable on the third (3rd) anniversary of the Vesting Commencement Date, provided that the Optionee remains an employee of the Company or a Subsidiary on each such date.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jc w:val="center"/>
        <w:spacing w:after="0" w:line="236" w:lineRule="auto"/>
        <w:rPr>
          <w:sz w:val="20"/>
          <w:szCs w:val="20"/>
          <w:color w:val="auto"/>
        </w:rPr>
      </w:pPr>
      <w:r>
        <w:rPr>
          <w:rFonts w:ascii="Arial" w:cs="Arial" w:eastAsia="Arial" w:hAnsi="Arial"/>
          <w:sz w:val="25"/>
          <w:szCs w:val="25"/>
          <w:b w:val="1"/>
          <w:bCs w:val="1"/>
          <w:color w:val="auto"/>
        </w:rPr>
        <w:t>UNDER THE HUBSPOT,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 &lt;Participant Name&gt;</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No. of Option Shares:</w:t>
      </w:r>
      <w:r>
        <w:rPr>
          <w:sz w:val="20"/>
          <w:szCs w:val="20"/>
          <w:color w:val="auto"/>
        </w:rPr>
        <w:tab/>
      </w:r>
      <w:r>
        <w:rPr>
          <w:rFonts w:ascii="Arial" w:cs="Arial" w:eastAsia="Arial" w:hAnsi="Arial"/>
          <w:sz w:val="19"/>
          <w:szCs w:val="19"/>
          <w:color w:val="auto"/>
        </w:rPr>
        <w:t>&lt;Number of Awards Granted&gt;</w:t>
      </w:r>
    </w:p>
    <w:p>
      <w:pPr>
        <w:spacing w:after="0" w:line="20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9"/>
          <w:szCs w:val="19"/>
          <w:color w:val="auto"/>
        </w:rPr>
        <w:t>$ &lt;Grant Date FMV&gt;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[FMV on Grant Date]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Grant Date:</w:t>
      </w:r>
      <w:r>
        <w:rPr>
          <w:sz w:val="20"/>
          <w:szCs w:val="20"/>
          <w:color w:val="auto"/>
        </w:rPr>
        <w:tab/>
      </w:r>
      <w:r>
        <w:rPr>
          <w:rFonts w:ascii="Arial" w:cs="Arial" w:eastAsia="Arial" w:hAnsi="Arial"/>
          <w:sz w:val="19"/>
          <w:szCs w:val="19"/>
          <w:color w:val="auto"/>
        </w:rPr>
        <w:t>&lt;Grant Date&gt;</w:t>
      </w:r>
    </w:p>
    <w:p>
      <w:pPr>
        <w:spacing w:after="0" w:line="20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&lt;Vest from Hire Date&gt;, &lt;Vesting Schedule (Dates &amp; Quantities)&gt;</w:t>
      </w:r>
    </w:p>
    <w:p>
      <w:pPr>
        <w:spacing w:after="0" w:line="206"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&lt;Expiration Date&gt;</w:t>
      </w:r>
    </w:p>
    <w:p>
      <w:pPr>
        <w:spacing w:after="0" w:line="200" w:lineRule="exact"/>
        <w:rPr>
          <w:sz w:val="20"/>
          <w:szCs w:val="20"/>
          <w:color w:val="auto"/>
        </w:rPr>
      </w:pPr>
    </w:p>
    <w:p>
      <w:pPr>
        <w:spacing w:after="0" w:line="22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and this Global Non-Qualified Stock Option Award Agreement, including any additional terms and conditions for the Optionee’s country set forth in the appendix attached hereto (the “Appendix” and together with the Global Non-Qualified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373" w:lineRule="exact"/>
        <w:rPr>
          <w:sz w:val="20"/>
          <w:szCs w:val="20"/>
          <w:color w:val="auto"/>
        </w:rPr>
      </w:pPr>
    </w:p>
    <w:p>
      <w:pPr>
        <w:jc w:val="both"/>
        <w:ind w:firstLine="757"/>
        <w:spacing w:after="0" w:line="273" w:lineRule="auto"/>
        <w:tabs>
          <w:tab w:leader="none" w:pos="119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w:t>
      </w:r>
      <w:r>
        <w:rPr>
          <w:rFonts w:ascii="Arial" w:cs="Arial" w:eastAsia="Arial" w:hAnsi="Arial"/>
          <w:sz w:val="13"/>
          <w:szCs w:val="13"/>
          <w:color w:val="auto"/>
        </w:rPr>
        <w:t>1</w:t>
      </w:r>
      <w:r>
        <w:rPr>
          <w:rFonts w:ascii="Arial" w:cs="Arial" w:eastAsia="Arial" w:hAnsi="Arial"/>
          <w:sz w:val="19"/>
          <w:szCs w:val="19"/>
          <w:color w:val="auto"/>
        </w:rPr>
        <w:t xml:space="preserve"> following the Vesting Commencement Date; provided that the Optionee remains an employee of the Company or a Subsidiary on such date. For the avoidance of doubt, employment during only a period prior to a vesting date (but where employment has terminated prior to the vesting date) does not entitle the Optionee to vest in a pro-rata portion of the Stock Option on such date or entitle the Optionee to compensation for lost vesting.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2"/>
          <w:szCs w:val="22"/>
          <w:color w:val="auto"/>
        </w:rPr>
        <w:t>of the Plan. This Agreement is subject to the terms and conditions of any policies of the Company regarding vesting during leaves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-191770</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43" w:lineRule="auto"/>
        <w:tabs>
          <w:tab w:leader="none" w:pos="358"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or her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7" w:lineRule="exact"/>
        <w:rPr>
          <w:sz w:val="20"/>
          <w:szCs w:val="20"/>
          <w:color w:val="auto"/>
        </w:rPr>
      </w:pPr>
    </w:p>
    <w:p>
      <w:pPr>
        <w:ind w:left="1180" w:hanging="423"/>
        <w:spacing w:after="0"/>
        <w:tabs>
          <w:tab w:leader="none" w:pos="11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056"/>
        <w:spacing w:after="0" w:line="238" w:lineRule="auto"/>
        <w:tabs>
          <w:tab w:leader="none" w:pos="2096"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41" w:name="page142"/>
    <w:bookmarkEnd w:id="141"/>
    <w:p>
      <w:pPr>
        <w:jc w:val="both"/>
        <w:spacing w:after="0" w:line="273" w:lineRule="auto"/>
        <w:rPr>
          <w:sz w:val="20"/>
          <w:szCs w:val="20"/>
          <w:color w:val="auto"/>
        </w:rPr>
      </w:pPr>
      <w:r>
        <w:rPr>
          <w:rFonts w:ascii="Arial" w:cs="Arial" w:eastAsia="Arial" w:hAnsi="Arial"/>
          <w:sz w:val="19"/>
          <w:szCs w:val="19"/>
          <w:color w:val="auto"/>
        </w:rPr>
        <w:t>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jc w:val="both"/>
        <w:ind w:firstLine="1056"/>
        <w:spacing w:after="0" w:line="245" w:lineRule="auto"/>
        <w:tabs>
          <w:tab w:leader="none" w:pos="2096"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6" w:lineRule="exact"/>
        <w:rPr>
          <w:rFonts w:ascii="Arial" w:cs="Arial" w:eastAsia="Arial" w:hAnsi="Arial"/>
          <w:sz w:val="21"/>
          <w:szCs w:val="21"/>
          <w:color w:val="auto"/>
        </w:rPr>
      </w:pPr>
    </w:p>
    <w:p>
      <w:pPr>
        <w:jc w:val="both"/>
        <w:ind w:firstLine="1056"/>
        <w:spacing w:after="0"/>
        <w:tabs>
          <w:tab w:leader="none" w:pos="2096"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8" w:lineRule="exact"/>
        <w:rPr>
          <w:rFonts w:ascii="Arial" w:cs="Arial" w:eastAsia="Arial" w:hAnsi="Arial"/>
          <w:sz w:val="22"/>
          <w:szCs w:val="22"/>
          <w:color w:val="auto"/>
        </w:rPr>
      </w:pPr>
    </w:p>
    <w:p>
      <w:pPr>
        <w:ind w:firstLine="1056"/>
        <w:spacing w:after="0" w:line="250" w:lineRule="auto"/>
        <w:tabs>
          <w:tab w:leader="none" w:pos="2096"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ind w:right="20" w:firstLine="757"/>
        <w:spacing w:after="0" w:line="274" w:lineRule="auto"/>
        <w:tabs>
          <w:tab w:leader="none" w:pos="1221"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Optionee’s employment by the Company or a Subsidiary is terminated, the period within which to exercise the Stock Option may be subject to earlier termination as set forth below.</w:t>
      </w:r>
    </w:p>
    <w:p>
      <w:pPr>
        <w:spacing w:after="0" w:line="150" w:lineRule="exact"/>
        <w:rPr>
          <w:rFonts w:ascii="Arial" w:cs="Arial" w:eastAsia="Arial" w:hAnsi="Arial"/>
          <w:sz w:val="21"/>
          <w:szCs w:val="21"/>
          <w:color w:val="auto"/>
        </w:rPr>
      </w:pPr>
    </w:p>
    <w:p>
      <w:pPr>
        <w:jc w:val="both"/>
        <w:ind w:firstLine="1505"/>
        <w:spacing w:after="0" w:line="238" w:lineRule="auto"/>
        <w:tabs>
          <w:tab w:leader="none" w:pos="2995"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4" w:lineRule="exact"/>
        <w:rPr>
          <w:rFonts w:ascii="Arial" w:cs="Arial" w:eastAsia="Arial" w:hAnsi="Arial"/>
          <w:sz w:val="22"/>
          <w:szCs w:val="22"/>
          <w:color w:val="auto"/>
        </w:rPr>
      </w:pPr>
    </w:p>
    <w:p>
      <w:pPr>
        <w:jc w:val="both"/>
        <w:ind w:firstLine="1505"/>
        <w:spacing w:after="0" w:line="249" w:lineRule="auto"/>
        <w:tabs>
          <w:tab w:leader="none" w:pos="2995"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8" w:lineRule="exact"/>
        <w:rPr>
          <w:rFonts w:ascii="Arial" w:cs="Arial" w:eastAsia="Arial" w:hAnsi="Arial"/>
          <w:sz w:val="21"/>
          <w:szCs w:val="21"/>
          <w:color w:val="auto"/>
        </w:rPr>
      </w:pPr>
    </w:p>
    <w:p>
      <w:pPr>
        <w:jc w:val="both"/>
        <w:ind w:firstLine="1505"/>
        <w:spacing w:after="0" w:line="277" w:lineRule="auto"/>
        <w:tabs>
          <w:tab w:leader="none" w:pos="2995"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51" w:lineRule="exact"/>
        <w:rPr>
          <w:rFonts w:ascii="Arial" w:cs="Arial" w:eastAsia="Arial" w:hAnsi="Arial"/>
          <w:sz w:val="19"/>
          <w:szCs w:val="19"/>
          <w:color w:val="auto"/>
        </w:rPr>
      </w:pPr>
    </w:p>
    <w:p>
      <w:pPr>
        <w:jc w:val="both"/>
        <w:ind w:firstLine="1505"/>
        <w:spacing w:after="0" w:line="248" w:lineRule="auto"/>
        <w:tabs>
          <w:tab w:leader="none" w:pos="2995"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77"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Administrator’s determination of the reason for termination and the date of termination of the Optionee’s employment shall be conclusive and binding on the Optionee and his or her representatives or legatees.</w:t>
      </w:r>
    </w:p>
    <w:p>
      <w:pPr>
        <w:spacing w:after="0" w:line="175" w:lineRule="exact"/>
        <w:rPr>
          <w:sz w:val="20"/>
          <w:szCs w:val="20"/>
          <w:color w:val="auto"/>
        </w:rPr>
      </w:pPr>
    </w:p>
    <w:p>
      <w:pPr>
        <w:jc w:val="both"/>
        <w:ind w:firstLine="757"/>
        <w:spacing w:after="0" w:line="238" w:lineRule="auto"/>
        <w:tabs>
          <w:tab w:leader="none" w:pos="119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jc w:val="both"/>
        <w:ind w:right="300" w:firstLine="757"/>
        <w:spacing w:after="0" w:line="238" w:lineRule="auto"/>
        <w:tabs>
          <w:tab w:leader="none" w:pos="1181"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left="1180" w:hanging="423"/>
        <w:spacing w:after="0"/>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056"/>
        <w:spacing w:after="0" w:line="245" w:lineRule="exact"/>
        <w:tabs>
          <w:tab w:leader="none" w:pos="2096"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or deemed by the Company or the Employee in its discretion to be an appropriate charge to the Optionee even if legally applicable to the Company or the Employer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83" w:lineRule="exact"/>
        <w:rPr>
          <w:rFonts w:ascii="Arial" w:cs="Arial" w:eastAsia="Arial" w:hAnsi="Arial"/>
          <w:sz w:val="19"/>
          <w:szCs w:val="19"/>
          <w:color w:val="auto"/>
        </w:rPr>
      </w:pPr>
    </w:p>
    <w:p>
      <w:pPr>
        <w:jc w:val="both"/>
        <w:ind w:firstLine="1056"/>
        <w:spacing w:after="0" w:line="272" w:lineRule="auto"/>
        <w:tabs>
          <w:tab w:leader="none" w:pos="2096"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payable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52" w:lineRule="exact"/>
        <w:rPr>
          <w:rFonts w:ascii="Arial" w:cs="Arial" w:eastAsia="Arial" w:hAnsi="Arial"/>
          <w:sz w:val="19"/>
          <w:szCs w:val="19"/>
          <w:color w:val="auto"/>
        </w:rPr>
      </w:pPr>
    </w:p>
    <w:p>
      <w:pPr>
        <w:jc w:val="both"/>
        <w:ind w:firstLine="1056"/>
        <w:spacing w:after="0" w:line="235" w:lineRule="auto"/>
        <w:tabs>
          <w:tab w:leader="none" w:pos="2096"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Optionee may be required to pay additional Tax-Related Items directly to the applicable tax authority or to the Company and/or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4" w:name="page145"/>
    <w:bookmarkEnd w:id="144"/>
    <w:p>
      <w:pPr>
        <w:jc w:val="both"/>
        <w:spacing w:after="0" w:line="257" w:lineRule="auto"/>
        <w:rPr>
          <w:sz w:val="20"/>
          <w:szCs w:val="20"/>
          <w:color w:val="auto"/>
        </w:rPr>
      </w:pPr>
      <w:r>
        <w:rPr>
          <w:rFonts w:ascii="Arial" w:cs="Arial" w:eastAsia="Arial" w:hAnsi="Arial"/>
          <w:sz w:val="21"/>
          <w:szCs w:val="21"/>
          <w:color w:val="auto"/>
        </w:rPr>
        <w:t>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61" w:lineRule="exact"/>
        <w:rPr>
          <w:sz w:val="20"/>
          <w:szCs w:val="20"/>
          <w:color w:val="auto"/>
        </w:rPr>
      </w:pPr>
    </w:p>
    <w:p>
      <w:pPr>
        <w:jc w:val="both"/>
        <w:ind w:firstLine="1056"/>
        <w:spacing w:after="0" w:line="236" w:lineRule="auto"/>
        <w:tabs>
          <w:tab w:leader="none" w:pos="2096"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214" w:lineRule="exact"/>
        <w:rPr>
          <w:rFonts w:ascii="Arial" w:cs="Arial" w:eastAsia="Arial" w:hAnsi="Arial"/>
          <w:sz w:val="22"/>
          <w:szCs w:val="22"/>
          <w:color w:val="auto"/>
        </w:rPr>
      </w:pPr>
    </w:p>
    <w:p>
      <w:pPr>
        <w:ind w:right="60" w:firstLine="757"/>
        <w:spacing w:after="0" w:line="287" w:lineRule="auto"/>
        <w:tabs>
          <w:tab w:leader="none" w:pos="1181"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42" w:lineRule="exact"/>
        <w:rPr>
          <w:rFonts w:ascii="Arial" w:cs="Arial" w:eastAsia="Arial" w:hAnsi="Arial"/>
          <w:sz w:val="19"/>
          <w:szCs w:val="19"/>
          <w:color w:val="auto"/>
        </w:rPr>
      </w:pPr>
    </w:p>
    <w:p>
      <w:pPr>
        <w:ind w:right="140" w:firstLine="757"/>
        <w:spacing w:after="0" w:line="328" w:lineRule="auto"/>
        <w:tabs>
          <w:tab w:leader="none" w:pos="1181"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4" w:lineRule="exact"/>
        <w:rPr>
          <w:rFonts w:ascii="Arial" w:cs="Arial" w:eastAsia="Arial" w:hAnsi="Arial"/>
          <w:sz w:val="19"/>
          <w:szCs w:val="19"/>
          <w:color w:val="auto"/>
        </w:rPr>
      </w:pPr>
    </w:p>
    <w:p>
      <w:pPr>
        <w:ind w:left="1180" w:hanging="423"/>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By accepting this Stock Option, the Optionee acknowledges, understands and agrees that:</w:t>
      </w:r>
    </w:p>
    <w:p>
      <w:pPr>
        <w:spacing w:after="0" w:line="217" w:lineRule="exact"/>
        <w:rPr>
          <w:rFonts w:ascii="Arial" w:cs="Arial" w:eastAsia="Arial" w:hAnsi="Arial"/>
          <w:sz w:val="21"/>
          <w:szCs w:val="21"/>
          <w:color w:val="auto"/>
        </w:rPr>
      </w:pPr>
    </w:p>
    <w:p>
      <w:pPr>
        <w:ind w:firstLine="1505"/>
        <w:spacing w:after="0" w:line="274" w:lineRule="auto"/>
        <w:tabs>
          <w:tab w:leader="none" w:pos="2995" w:val="left"/>
        </w:tabs>
        <w:numPr>
          <w:ilvl w:val="2"/>
          <w:numId w:val="85"/>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modified, amended, suspended or terminated by the Company at any time, to the extent permitted by the Plan;</w:t>
      </w:r>
    </w:p>
    <w:p>
      <w:pPr>
        <w:spacing w:after="0" w:line="150" w:lineRule="exact"/>
        <w:rPr>
          <w:rFonts w:ascii="Arial" w:cs="Arial" w:eastAsia="Arial" w:hAnsi="Arial"/>
          <w:sz w:val="21"/>
          <w:szCs w:val="21"/>
          <w:color w:val="auto"/>
        </w:rPr>
      </w:pPr>
    </w:p>
    <w:p>
      <w:pPr>
        <w:jc w:val="both"/>
        <w:ind w:firstLine="1505"/>
        <w:spacing w:after="0"/>
        <w:tabs>
          <w:tab w:leader="none" w:pos="2995"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3000" w:hanging="1495"/>
        <w:spacing w:after="0"/>
        <w:tabs>
          <w:tab w:leader="none" w:pos="3000" w:val="left"/>
        </w:tabs>
        <w:numPr>
          <w:ilvl w:val="2"/>
          <w:numId w:val="85"/>
        </w:numPr>
        <w:rPr>
          <w:rFonts w:ascii="Arial" w:cs="Arial" w:eastAsia="Arial" w:hAnsi="Arial"/>
          <w:sz w:val="21"/>
          <w:szCs w:val="21"/>
          <w:color w:val="auto"/>
        </w:rPr>
      </w:pPr>
      <w:r>
        <w:rPr>
          <w:rFonts w:ascii="Arial" w:cs="Arial" w:eastAsia="Arial" w:hAnsi="Arial"/>
          <w:sz w:val="21"/>
          <w:szCs w:val="21"/>
          <w:color w:val="auto"/>
        </w:rPr>
        <w:t>all decisions with respect to future stock option or other grants, if any, will be at the sole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21"/>
          <w:szCs w:val="21"/>
          <w:color w:val="auto"/>
        </w:rPr>
      </w:pPr>
    </w:p>
    <w:p>
      <w:pPr>
        <w:ind w:left="3000" w:hanging="1495"/>
        <w:spacing w:after="0"/>
        <w:tabs>
          <w:tab w:leader="none" w:pos="3000"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rFonts w:ascii="Arial" w:cs="Arial" w:eastAsia="Arial" w:hAnsi="Arial"/>
          <w:sz w:val="22"/>
          <w:szCs w:val="22"/>
          <w:color w:val="auto"/>
        </w:rPr>
      </w:pPr>
    </w:p>
    <w:p>
      <w:pPr>
        <w:ind w:firstLine="1505"/>
        <w:spacing w:after="0" w:line="250" w:lineRule="auto"/>
        <w:tabs>
          <w:tab w:leader="none" w:pos="2995"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this Stock Option and the Option Shares subject to this Stock Option,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1505"/>
        <w:spacing w:after="0"/>
        <w:tabs>
          <w:tab w:leader="none" w:pos="2995" w:val="left"/>
        </w:tabs>
        <w:numPr>
          <w:ilvl w:val="2"/>
          <w:numId w:val="85"/>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Option Shares subject to this Stock Option, and the income from and value of same, are not granted as consideration for, or in connection with, the service the Optionee may provide as a director of a Subsidiary or Affiliate;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45" w:name="page146"/>
    <w:bookmarkEnd w:id="145"/>
    <w:p>
      <w:pPr>
        <w:jc w:val="both"/>
        <w:ind w:firstLine="1505"/>
        <w:spacing w:after="0" w:line="252" w:lineRule="auto"/>
        <w:tabs>
          <w:tab w:leader="none" w:pos="2995"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73" w:lineRule="exact"/>
        <w:rPr>
          <w:rFonts w:ascii="Arial" w:cs="Arial" w:eastAsia="Arial" w:hAnsi="Arial"/>
          <w:sz w:val="21"/>
          <w:szCs w:val="21"/>
          <w:color w:val="auto"/>
        </w:rPr>
      </w:pPr>
    </w:p>
    <w:p>
      <w:pPr>
        <w:ind w:right="20" w:firstLine="1505"/>
        <w:spacing w:after="0" w:line="250" w:lineRule="auto"/>
        <w:tabs>
          <w:tab w:leader="none" w:pos="29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future value of the Option Shares subject to this Stock Option is unknown, indeterminable, and cannot be predicted with certainty;</w:t>
      </w:r>
    </w:p>
    <w:p>
      <w:pPr>
        <w:spacing w:after="0" w:line="174" w:lineRule="exact"/>
        <w:rPr>
          <w:rFonts w:ascii="Arial" w:cs="Arial" w:eastAsia="Arial" w:hAnsi="Arial"/>
          <w:sz w:val="22"/>
          <w:szCs w:val="22"/>
          <w:color w:val="auto"/>
        </w:rPr>
      </w:pPr>
    </w:p>
    <w:p>
      <w:pPr>
        <w:ind w:left="3000" w:hanging="1495"/>
        <w:spacing w:after="0"/>
        <w:tabs>
          <w:tab w:leader="none" w:pos="30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the Option Shares subject to this Stock Option do not increase in value, this Stock Option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will have no value;</w:t>
      </w:r>
    </w:p>
    <w:p>
      <w:pPr>
        <w:spacing w:after="0" w:line="188" w:lineRule="exact"/>
        <w:rPr>
          <w:rFonts w:ascii="Arial" w:cs="Arial" w:eastAsia="Arial" w:hAnsi="Arial"/>
          <w:sz w:val="19"/>
          <w:szCs w:val="19"/>
          <w:color w:val="auto"/>
        </w:rPr>
      </w:pPr>
    </w:p>
    <w:p>
      <w:pPr>
        <w:ind w:firstLine="1505"/>
        <w:spacing w:after="0" w:line="250" w:lineRule="auto"/>
        <w:tabs>
          <w:tab w:leader="none" w:pos="29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the Optionee exercises this Stock Option and acquires shares of Stock, the value of such shares may increase or decrease in value, even below the Option Exercise Price;</w:t>
      </w:r>
    </w:p>
    <w:p>
      <w:pPr>
        <w:spacing w:after="0" w:line="174"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applicable employment or other laws in the jurisdiction where the Optionee is employed or the terms of the Optionee’s employment agreement, if any);</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4" w:lineRule="exact"/>
        <w:rPr>
          <w:rFonts w:ascii="Arial" w:cs="Arial" w:eastAsia="Arial" w:hAnsi="Arial"/>
          <w:sz w:val="22"/>
          <w:szCs w:val="22"/>
          <w:color w:val="auto"/>
        </w:rPr>
      </w:pPr>
    </w:p>
    <w:p>
      <w:pPr>
        <w:ind w:left="3000" w:hanging="1495"/>
        <w:spacing w:after="0"/>
        <w:tabs>
          <w:tab w:leader="none" w:pos="30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apply:</w:t>
      </w:r>
    </w:p>
    <w:p>
      <w:pPr>
        <w:spacing w:after="0" w:line="188" w:lineRule="exact"/>
        <w:rPr>
          <w:rFonts w:ascii="Arial" w:cs="Arial" w:eastAsia="Arial" w:hAnsi="Arial"/>
          <w:sz w:val="19"/>
          <w:szCs w:val="19"/>
          <w:color w:val="auto"/>
        </w:rPr>
      </w:pPr>
    </w:p>
    <w:p>
      <w:pPr>
        <w:ind w:left="3760" w:hanging="1506"/>
        <w:spacing w:after="0"/>
        <w:tabs>
          <w:tab w:leader="none" w:pos="37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this Stock Option and any Option Shares subject to this Stock Option, and the income</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from and value of same, are not part of normal or expected compensation for any purpose;</w:t>
      </w:r>
    </w:p>
    <w:p>
      <w:pPr>
        <w:spacing w:after="0" w:line="188" w:lineRule="exact"/>
        <w:rPr>
          <w:rFonts w:ascii="Arial" w:cs="Arial" w:eastAsia="Arial" w:hAnsi="Arial"/>
          <w:sz w:val="19"/>
          <w:szCs w:val="19"/>
          <w:color w:val="auto"/>
        </w:rPr>
      </w:pPr>
    </w:p>
    <w:p>
      <w:pPr>
        <w:jc w:val="both"/>
        <w:ind w:left="760" w:firstLine="1494"/>
        <w:spacing w:after="0" w:line="238" w:lineRule="auto"/>
        <w:tabs>
          <w:tab w:leader="none" w:pos="3755" w:val="left"/>
        </w:tabs>
        <w:numPr>
          <w:ilvl w:val="1"/>
          <w:numId w:val="86"/>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5" w:lineRule="exact"/>
        <w:rPr>
          <w:sz w:val="20"/>
          <w:szCs w:val="20"/>
          <w:color w:val="auto"/>
        </w:rPr>
      </w:pPr>
    </w:p>
    <w:p>
      <w:pPr>
        <w:ind w:right="180" w:firstLine="757"/>
        <w:spacing w:after="0" w:line="235" w:lineRule="auto"/>
        <w:tabs>
          <w:tab w:leader="none" w:pos="1181"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Non-Qualified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necessary or advisable for legal or administrative reasons. The Appendix forms part of this Agreement.</w:t>
      </w:r>
    </w:p>
    <w:p>
      <w:pPr>
        <w:spacing w:after="0" w:line="206" w:lineRule="exact"/>
        <w:rPr>
          <w:sz w:val="20"/>
          <w:szCs w:val="20"/>
          <w:color w:val="auto"/>
        </w:rPr>
      </w:pPr>
    </w:p>
    <w:p>
      <w:pPr>
        <w:ind w:firstLine="757"/>
        <w:spacing w:after="0" w:line="236" w:lineRule="auto"/>
        <w:tabs>
          <w:tab w:leader="none" w:pos="118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ind w:right="80" w:firstLine="757"/>
        <w:spacing w:after="0"/>
        <w:tabs>
          <w:tab w:leader="none" w:pos="118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80" w:firstLine="757"/>
        <w:spacing w:after="0"/>
        <w:tabs>
          <w:tab w:leader="none" w:pos="118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240" w:firstLine="757"/>
        <w:spacing w:after="0" w:line="250" w:lineRule="auto"/>
        <w:tabs>
          <w:tab w:leader="none" w:pos="118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ind w:right="40" w:firstLine="757"/>
        <w:spacing w:after="0" w:line="287" w:lineRule="auto"/>
        <w:tabs>
          <w:tab w:leader="none" w:pos="118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firstLine="757"/>
        <w:spacing w:after="0" w:line="328" w:lineRule="auto"/>
        <w:tabs>
          <w:tab w:leader="none" w:pos="118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ind w:right="40" w:firstLine="757"/>
        <w:spacing w:after="0" w:line="238" w:lineRule="auto"/>
        <w:tabs>
          <w:tab w:leader="none" w:pos="118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84" w:lineRule="exact"/>
        <w:rPr>
          <w:rFonts w:ascii="Arial" w:cs="Arial" w:eastAsia="Arial" w:hAnsi="Arial"/>
          <w:sz w:val="22"/>
          <w:szCs w:val="22"/>
          <w:color w:val="auto"/>
        </w:rPr>
      </w:pPr>
    </w:p>
    <w:p>
      <w:pPr>
        <w:ind w:firstLine="757"/>
        <w:spacing w:after="0" w:line="252" w:lineRule="auto"/>
        <w:tabs>
          <w:tab w:leader="none" w:pos="1181"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73" w:lineRule="exact"/>
        <w:rPr>
          <w:rFonts w:ascii="Arial" w:cs="Arial" w:eastAsia="Arial" w:hAnsi="Arial"/>
          <w:sz w:val="21"/>
          <w:szCs w:val="21"/>
          <w:color w:val="auto"/>
        </w:rPr>
      </w:pPr>
    </w:p>
    <w:p>
      <w:pPr>
        <w:ind w:right="560" w:firstLine="757"/>
        <w:spacing w:after="0" w:line="250" w:lineRule="auto"/>
        <w:tabs>
          <w:tab w:leader="none" w:pos="1181"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Notwithstanding any other provision of the Plan or this Agreement, unless there is an available exemption from any registration, qualification or other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47" w:name="page148"/>
    <w:bookmarkEnd w:id="147"/>
    <w:p>
      <w:pPr>
        <w:ind w:right="80"/>
        <w:spacing w:after="0" w:line="244" w:lineRule="auto"/>
        <w:rPr>
          <w:sz w:val="20"/>
          <w:szCs w:val="20"/>
          <w:color w:val="auto"/>
        </w:rPr>
      </w:pPr>
      <w:r>
        <w:rPr>
          <w:rFonts w:ascii="Arial" w:cs="Arial" w:eastAsia="Arial" w:hAnsi="Arial"/>
          <w:sz w:val="21"/>
          <w:szCs w:val="21"/>
          <w:color w:val="auto"/>
        </w:rPr>
        <w:t>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88" w:lineRule="exact"/>
        <w:rPr>
          <w:sz w:val="20"/>
          <w:szCs w:val="20"/>
          <w:color w:val="auto"/>
        </w:rPr>
      </w:pPr>
    </w:p>
    <w:p>
      <w:pPr>
        <w:ind w:firstLine="757"/>
        <w:spacing w:after="0" w:line="271" w:lineRule="auto"/>
        <w:tabs>
          <w:tab w:leader="none" w:pos="1181"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120" w:firstLine="757"/>
        <w:spacing w:after="0" w:line="274" w:lineRule="auto"/>
        <w:tabs>
          <w:tab w:leader="none" w:pos="1181"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ind w:right="160" w:firstLine="757"/>
        <w:spacing w:after="0" w:line="297" w:lineRule="auto"/>
        <w:tabs>
          <w:tab w:leader="none" w:pos="118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173990</wp:posOffset>
            </wp:positionV>
            <wp:extent cx="2005965" cy="8655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8">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wp:posOffset>
            </wp:positionV>
            <wp:extent cx="30689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3"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22"/>
          <w:szCs w:val="22"/>
          <w:color w:val="auto"/>
        </w:rPr>
        <w:t>Title:</w:t>
        <w:tab/>
        <w:t>Chief Financial Officer</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 w:leader="none" w:pos="344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&lt;Participant Name&gt;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5"/>
          <w:szCs w:val="25"/>
          <w:b w:val="1"/>
          <w:bCs w:val="1"/>
          <w:u w:val="single" w:color="auto"/>
          <w:color w:val="auto"/>
        </w:rPr>
        <w:t>APPENDIX</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jc w:val="center"/>
        <w:spacing w:after="0" w:line="236" w:lineRule="auto"/>
        <w:rPr>
          <w:sz w:val="20"/>
          <w:szCs w:val="20"/>
          <w:color w:val="auto"/>
        </w:rPr>
      </w:pPr>
      <w:r>
        <w:rPr>
          <w:rFonts w:ascii="Arial" w:cs="Arial" w:eastAsia="Arial" w:hAnsi="Arial"/>
          <w:sz w:val="25"/>
          <w:szCs w:val="25"/>
          <w:b w:val="1"/>
          <w:bCs w:val="1"/>
          <w:color w:val="auto"/>
        </w:rPr>
        <w:t>UNDER THE HUBSPOT,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Non-Qualified Stock Option Agreement (the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December 2021.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0" w:name="page151"/>
    <w:bookmarkEnd w:id="150"/>
    <w:p>
      <w:pPr>
        <w:jc w:val="center"/>
        <w:ind w:right="6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52" w:lineRule="auto"/>
        <w:tabs>
          <w:tab w:leader="none" w:pos="432" w:val="left"/>
        </w:tabs>
        <w:numPr>
          <w:ilvl w:val="0"/>
          <w:numId w:val="9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and Affiliates for the exclusive purpose of implementing, administering and managing the Optionee’s participation in the Plan.</w:t>
      </w:r>
    </w:p>
    <w:p>
      <w:pPr>
        <w:spacing w:after="0" w:line="173" w:lineRule="exact"/>
        <w:rPr>
          <w:rFonts w:ascii="Arial" w:cs="Arial" w:eastAsia="Arial" w:hAnsi="Arial"/>
          <w:sz w:val="21"/>
          <w:szCs w:val="21"/>
          <w:b w:val="1"/>
          <w:bCs w:val="1"/>
          <w:i w:val="1"/>
          <w:iCs w:val="1"/>
          <w:color w:val="auto"/>
        </w:rPr>
      </w:pPr>
    </w:p>
    <w:p>
      <w:pPr>
        <w:jc w:val="both"/>
        <w:ind w:firstLine="8"/>
        <w:spacing w:after="0" w:line="279" w:lineRule="auto"/>
        <w:tabs>
          <w:tab w:leader="none" w:pos="432" w:val="left"/>
        </w:tabs>
        <w:numPr>
          <w:ilvl w:val="0"/>
          <w:numId w:val="9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and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70" w:lineRule="auto"/>
        <w:tabs>
          <w:tab w:leader="none" w:pos="432" w:val="left"/>
        </w:tabs>
        <w:numPr>
          <w:ilvl w:val="0"/>
          <w:numId w:val="9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1" w:name="page152"/>
    <w:bookmarkEnd w:id="151"/>
    <w:p>
      <w:pPr>
        <w:spacing w:after="0" w:line="250" w:lineRule="auto"/>
        <w:rPr>
          <w:sz w:val="20"/>
          <w:szCs w:val="20"/>
          <w:color w:val="auto"/>
        </w:rPr>
      </w:pPr>
      <w:r>
        <w:rPr>
          <w:rFonts w:ascii="Arial" w:cs="Arial" w:eastAsia="Arial" w:hAnsi="Arial"/>
          <w:sz w:val="22"/>
          <w:szCs w:val="22"/>
          <w:b w:val="1"/>
          <w:bCs w:val="1"/>
          <w:i w:val="1"/>
          <w:iCs w:val="1"/>
          <w:color w:val="auto"/>
        </w:rPr>
        <w:t>more information on the consequences of the Optionee’s refusal to consent or withdrawal of consent, the Optionee understands that he or she may contact his or her local human resources representative.</w:t>
      </w:r>
    </w:p>
    <w:p>
      <w:pPr>
        <w:spacing w:after="0" w:line="175" w:lineRule="exact"/>
        <w:rPr>
          <w:sz w:val="20"/>
          <w:szCs w:val="20"/>
          <w:color w:val="auto"/>
        </w:rPr>
      </w:pPr>
    </w:p>
    <w:p>
      <w:pPr>
        <w:jc w:val="both"/>
        <w:ind w:firstLine="8"/>
        <w:spacing w:after="0" w:line="279" w:lineRule="auto"/>
        <w:tabs>
          <w:tab w:leader="none" w:pos="432" w:val="left"/>
        </w:tabs>
        <w:numPr>
          <w:ilvl w:val="0"/>
          <w:numId w:val="9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and (iv)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or Affiliate and the Administrator to disclose and discuss the Plan with their advisors and to record all relevant information and keep such information in the Optionee’s employee file.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ind w:right="20"/>
        <w:spacing w:after="0"/>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2" w:name="page153"/>
    <w:bookmarkEnd w:id="152"/>
    <w:p>
      <w:pPr>
        <w:jc w:val="both"/>
        <w:ind w:right="20"/>
        <w:spacing w:after="0" w:line="250" w:lineRule="auto"/>
        <w:rPr>
          <w:sz w:val="20"/>
          <w:szCs w:val="20"/>
          <w:color w:val="auto"/>
        </w:rPr>
      </w:pPr>
      <w:r>
        <w:rPr>
          <w:rFonts w:ascii="Arial" w:cs="Arial" w:eastAsia="Arial" w:hAnsi="Arial"/>
          <w:sz w:val="22"/>
          <w:szCs w:val="22"/>
          <w:color w:val="auto"/>
        </w:rPr>
        <w:t>exchange on which the shares of Stock are listed. The shares of Stock are currently listed on the New York Stock Exchange under the symbol “HUBS.”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or Affiliate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3" w:name="page154"/>
    <w:bookmarkEnd w:id="153"/>
    <w:p>
      <w:pPr>
        <w:jc w:val="both"/>
        <w:ind w:firstLine="8"/>
        <w:spacing w:after="0" w:line="235" w:lineRule="auto"/>
        <w:tabs>
          <w:tab w:leader="none" w:pos="223" w:val="left"/>
        </w:tabs>
        <w:numPr>
          <w:ilvl w:val="0"/>
          <w:numId w:val="93"/>
        </w:numPr>
        <w:rPr>
          <w:rFonts w:ascii="Arial" w:cs="Arial" w:eastAsia="Arial" w:hAnsi="Arial"/>
          <w:sz w:val="14"/>
          <w:szCs w:val="14"/>
          <w:color w:val="auto"/>
        </w:rPr>
      </w:pPr>
      <w:r>
        <w:rPr>
          <w:rFonts w:ascii="Arial" w:cs="Arial" w:eastAsia="Arial" w:hAnsi="Arial"/>
          <w:sz w:val="22"/>
          <w:szCs w:val="22"/>
          <w:i w:val="1"/>
          <w:iCs w:val="1"/>
          <w:color w:val="auto"/>
        </w:rPr>
        <w:t>The following language to be used for grants to Section 16 officers</w:t>
      </w:r>
      <w:r>
        <w:rPr>
          <w:rFonts w:ascii="Arial" w:cs="Arial" w:eastAsia="Arial" w:hAnsi="Arial"/>
          <w:sz w:val="22"/>
          <w:szCs w:val="22"/>
          <w:color w:val="auto"/>
        </w:rPr>
        <w:t>: Except as set forth below, and subject to the discretion of</w:t>
      </w:r>
      <w:r>
        <w:rPr>
          <w:rFonts w:ascii="Arial" w:cs="Arial" w:eastAsia="Arial" w:hAnsi="Arial"/>
          <w:sz w:val="22"/>
          <w:szCs w:val="22"/>
          <w:i w:val="1"/>
          <w:iCs w:val="1"/>
          <w:color w:val="auto"/>
        </w:rPr>
        <w:t xml:space="preserve"> </w:t>
      </w:r>
      <w:r>
        <w:rPr>
          <w:rFonts w:ascii="Arial" w:cs="Arial" w:eastAsia="Arial" w:hAnsi="Arial"/>
          <w:sz w:val="22"/>
          <w:szCs w:val="22"/>
          <w:color w:val="auto"/>
        </w:rPr>
        <w:t>the Administrator (as defined in Section 2 of the Plan) to accelerate the vesting schedule hereunder, the Option Shares shall vest and become exercisable in sixteen (16) equal installments of 6.25% starting on the three-month anniversary of the Vesting Commencement Date and every three months thereafter, such that the Stock Options are fully vested and exercisable on the fourth (4th) anniversary of the Vesting Commencement Date, provided that the Optionee remains an employee of the Company or a Subsidiary on each such date.</w:t>
      </w:r>
    </w:p>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i w:val="1"/>
          <w:iCs w:val="1"/>
          <w:color w:val="auto"/>
        </w:rPr>
        <w:t xml:space="preserve">The following language to be used for grants to new hires: </w:t>
      </w:r>
      <w:r>
        <w:rPr>
          <w:rFonts w:ascii="Arial" w:cs="Arial" w:eastAsia="Arial" w:hAnsi="Arial"/>
          <w:sz w:val="19"/>
          <w:szCs w:val="19"/>
          <w:color w:val="auto"/>
        </w:rPr>
        <w:t>Except as set forth below, and subject to the discretion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(as defined in Section 2 of the Plan) to accelerate the vesting schedule hereunder, 16.67% of the Option Shares shall vest and become exercisable on the six-month anniversary of the Vesting Commencement Date; provided that the Optionee remains an employee of the Company or a Subsidiary on such date. Thereafter, the restrictions and conditions of Paragraph 1 of this Agreement shall lapse as to the remaining 83.33% of the Option Shares and such Option Shares shall vest and become exercisable in ten (10) equal installments of 8.33% every three (3) months following the six-month anniversary of the Vesting Commencement Date, such that the Option Shares are fully vested and exercisable on the third (3rd) anniversary of the Vesting Commencement Date, provided that the Optionee remains an employee of the Company or a Subsidiary on such dates.</w:t>
      </w:r>
    </w:p>
    <w:p>
      <w:pPr>
        <w:spacing w:after="0" w:line="184"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i w:val="1"/>
          <w:iCs w:val="1"/>
          <w:color w:val="auto"/>
        </w:rPr>
        <w:t>The following language to be used for all other grants</w:t>
      </w:r>
      <w:r>
        <w:rPr>
          <w:rFonts w:ascii="Arial" w:cs="Arial" w:eastAsia="Arial" w:hAnsi="Arial"/>
          <w:sz w:val="22"/>
          <w:szCs w:val="22"/>
          <w:color w:val="auto"/>
        </w:rPr>
        <w:t>: Except as set forth below, and subject to the discretion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(as defined in Section 2 of the Plan) to accelerate the vesting schedule hereunder, the Option Shares shall vest and become exercisable in twelve (12) equal installments of 8.33% starting on the three-month anniversary of the Vesting Commencement Date and every three months thereafter, such that the Stock Options are fully vested and exercisable on the third (3rd) anniversary of the Vesting Commencement Date, provided that the Optionee remains an employee of the Company or a Subsidiary on each such date.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jc w:val="center"/>
        <w:spacing w:after="0" w:line="236" w:lineRule="auto"/>
        <w:rPr>
          <w:sz w:val="20"/>
          <w:szCs w:val="20"/>
          <w:color w:val="auto"/>
        </w:rPr>
      </w:pPr>
      <w:r>
        <w:rPr>
          <w:rFonts w:ascii="Arial" w:cs="Arial" w:eastAsia="Arial" w:hAnsi="Arial"/>
          <w:sz w:val="25"/>
          <w:szCs w:val="25"/>
          <w:b w:val="1"/>
          <w:bCs w:val="1"/>
          <w:color w:val="auto"/>
        </w:rPr>
        <w:t>UNDER THE HUBSPOT,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Name of Grantee:</w:t>
      </w:r>
      <w:r>
        <w:rPr>
          <w:sz w:val="20"/>
          <w:szCs w:val="20"/>
          <w:color w:val="auto"/>
        </w:rPr>
        <w:tab/>
      </w:r>
      <w:r>
        <w:rPr>
          <w:rFonts w:ascii="Arial" w:cs="Arial" w:eastAsia="Arial" w:hAnsi="Arial"/>
          <w:sz w:val="19"/>
          <w:szCs w:val="19"/>
          <w:color w:val="auto"/>
        </w:rPr>
        <w:t>&lt;Participant Name&gt;</w:t>
      </w:r>
    </w:p>
    <w:p>
      <w:pPr>
        <w:sectPr>
          <w:pgSz w:w="11900" w:h="16838" w:orient="portrait"/>
          <w:cols w:equalWidth="0" w:num="1">
            <w:col w:w="11240"/>
          </w:cols>
          <w:pgMar w:left="320" w:top="360"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 of Restricted Stock Units: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2620" w:space="420"/>
            <w:col w:w="8200"/>
          </w:cols>
          <w:pgMar w:left="320" w:top="36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1020" w:space="280"/>
            <w:col w:w="9940"/>
          </w:cols>
          <w:pgMar w:left="320" w:top="36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2640" w:space="400"/>
            <w:col w:w="8200"/>
          </w:cols>
          <w:pgMar w:left="320" w:top="360" w:right="339" w:bottom="1440" w:gutter="0" w:footer="0" w:header="0"/>
          <w:type w:val="continuous"/>
        </w:sectPr>
      </w:pPr>
    </w:p>
    <w:p>
      <w:pPr>
        <w:spacing w:after="0" w:line="25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and this Global Restricted Stock Unit Award Agreement, including any additional terms and conditions for the Grantee's country set forth in the appendix attached hereto (the "Appendix" and together with the Global Restricted Stock Unit Award Agreement, the “Agreement”),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8" w:lineRule="exact"/>
        <w:rPr>
          <w:sz w:val="20"/>
          <w:szCs w:val="20"/>
          <w:color w:val="auto"/>
        </w:rPr>
      </w:pPr>
    </w:p>
    <w:p>
      <w:pPr>
        <w:ind w:right="140" w:firstLine="757"/>
        <w:spacing w:after="0" w:line="236" w:lineRule="auto"/>
        <w:tabs>
          <w:tab w:leader="none" w:pos="118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right="20" w:firstLine="757"/>
        <w:spacing w:after="0" w:line="261" w:lineRule="auto"/>
        <w:tabs>
          <w:tab w:leader="none" w:pos="1181"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 The restrictions and conditions of Paragraph 1 of this Agreement shall lapse and such Restricted Stock Units shall vest [in [ ] installments]</w:t>
      </w:r>
      <w:r>
        <w:rPr>
          <w:rFonts w:ascii="Arial" w:cs="Arial" w:eastAsia="Arial" w:hAnsi="Arial"/>
          <w:sz w:val="13"/>
          <w:szCs w:val="13"/>
          <w:color w:val="auto"/>
        </w:rPr>
        <w:t>1</w:t>
      </w:r>
      <w:r>
        <w:rPr>
          <w:rFonts w:ascii="Arial" w:cs="Arial" w:eastAsia="Arial" w:hAnsi="Arial"/>
          <w:sz w:val="20"/>
          <w:szCs w:val="20"/>
          <w:color w:val="auto"/>
        </w:rPr>
        <w:t xml:space="preserve"> following the Vesting Commencement Date; provided that the Grantee remains an employee of the Company or a Subsidiary on such date. For the avoidance of doubt, employment during only a period prior to a vesting date (but where employment has terminated prior to the vesting date) does not entitle the Grantee to vest in a pro-rata portion of the Restricted Stock Units on such date or entitle the Grantee to compensation for lost vesting. The Administrator may at any time accelerate the vesting schedule specified in this Paragraph 2. This Agreement is subject to the terms and conditions of any policies of the Company regarding vesting during leaves of absence.</w:t>
      </w:r>
    </w:p>
    <w:p>
      <w:pPr>
        <w:spacing w:after="0" w:line="166" w:lineRule="exact"/>
        <w:rPr>
          <w:sz w:val="20"/>
          <w:szCs w:val="20"/>
          <w:color w:val="auto"/>
        </w:rPr>
      </w:pPr>
    </w:p>
    <w:p>
      <w:pPr>
        <w:ind w:right="80" w:firstLine="749"/>
        <w:spacing w:after="0" w:line="250" w:lineRule="auto"/>
        <w:rPr>
          <w:sz w:val="20"/>
          <w:szCs w:val="20"/>
          <w:color w:val="auto"/>
        </w:rPr>
      </w:pPr>
      <w:r>
        <w:rPr>
          <w:rFonts w:ascii="Arial" w:cs="Arial" w:eastAsia="Arial" w:hAnsi="Arial"/>
          <w:sz w:val="22"/>
          <w:szCs w:val="22"/>
          <w:color w:val="auto"/>
        </w:rPr>
        <w:t>In the event that the Grantee’s employment with the Company and any Subsidiary terminates due to the Grantee’s death, then the Restricted Stock Units shall be deemed vested upon the date of the Grantee’s death.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5" w:name="page156"/>
    <w:bookmarkEnd w:id="155"/>
    <w:p>
      <w:pPr>
        <w:jc w:val="both"/>
        <w:ind w:right="80" w:firstLine="749"/>
        <w:spacing w:after="0" w:line="273"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Units shall be deemed vested upon the date on which the Grantee’s employment with the Company and any Subsidiary or successor entity, as the case may be, terminates if such termination occurs</w:t>
      </w:r>
    </w:p>
    <w:p>
      <w:pPr>
        <w:spacing w:after="0" w:line="1" w:lineRule="exact"/>
        <w:rPr>
          <w:sz w:val="20"/>
          <w:szCs w:val="20"/>
          <w:color w:val="auto"/>
        </w:rPr>
      </w:pPr>
    </w:p>
    <w:p>
      <w:pPr>
        <w:ind w:right="340" w:firstLine="8"/>
        <w:spacing w:after="0" w:line="236" w:lineRule="auto"/>
        <w:tabs>
          <w:tab w:leader="none" w:pos="258" w:val="left"/>
        </w:tabs>
        <w:numPr>
          <w:ilvl w:val="0"/>
          <w:numId w:val="95"/>
        </w:numPr>
        <w:rPr>
          <w:rFonts w:ascii="Arial" w:cs="Arial" w:eastAsia="Arial" w:hAnsi="Arial"/>
          <w:sz w:val="22"/>
          <w:szCs w:val="22"/>
          <w:color w:val="auto"/>
        </w:rPr>
      </w:pPr>
      <w:r>
        <w:rPr>
          <w:rFonts w:ascii="Arial" w:cs="Arial" w:eastAsia="Arial" w:hAnsi="Arial"/>
          <w:sz w:val="22"/>
          <w:szCs w:val="22"/>
          <w:color w:val="auto"/>
        </w:rPr>
        <w:t>within 12 months after such Sale Event or 90 days prior to such Sale Event, and (ii) such termination is by the Company or any Subsidiary or successor entity without Cause or by the Grantee for Good Reason.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60"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Subsidiary, or any current or prospective customers, suppliers vendors or other third parties with which such entity does business; (ii) the Grantee’s commission of (A) a felony (or crime of similar magnitude under non-U.S. laws, as determined by the Administrator) or (B) any misdemeanor involving moral turpitude, deceit, dishonesty or fraud; (iii) the Grantee’s failure to perform his or her assigned duties and responsibilities to the reasonable satisfaction of the Company which failure continues, in the reasonable judgment of the Company, after written notice given to the Grantee by the Company or a Subsidiary; (iv) the Grantee’s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Grantee’s material violation of any provision of any agreement(s) between the Grantee and the Company or any Subsidiary relating to noncompetition, nonsolicitation, nondisclosure and/or assignment of inventions.</w:t>
      </w:r>
    </w:p>
    <w:p>
      <w:pPr>
        <w:spacing w:after="0" w:line="161" w:lineRule="exact"/>
        <w:rPr>
          <w:sz w:val="20"/>
          <w:szCs w:val="20"/>
          <w:color w:val="auto"/>
        </w:rPr>
      </w:pPr>
    </w:p>
    <w:p>
      <w:pPr>
        <w:ind w:right="140" w:firstLine="749"/>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Grantee’s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any Subsidiary or (ii) a change of more than 50 miles in the geographic location at which the Grantee provides services to the Company or a Subsidiary, so long as the Grantee provides notice to the Company or a Subsidiary within at least 90 days following the initial occurrence of any such event and the Company or a Subsidiary fails to cure such event within 30 days of such notice.</w:t>
      </w:r>
    </w:p>
    <w:p>
      <w:pPr>
        <w:spacing w:after="0" w:line="147" w:lineRule="exact"/>
        <w:rPr>
          <w:sz w:val="20"/>
          <w:szCs w:val="20"/>
          <w:color w:val="auto"/>
        </w:rPr>
      </w:pPr>
    </w:p>
    <w:p>
      <w:pPr>
        <w:ind w:firstLine="757"/>
        <w:spacing w:after="0" w:line="249" w:lineRule="auto"/>
        <w:tabs>
          <w:tab w:leader="none" w:pos="1181"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Grantee’s employment with the Company and its Subsidiaries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rFonts w:ascii="Arial" w:cs="Arial" w:eastAsia="Arial" w:hAnsi="Arial"/>
          <w:sz w:val="21"/>
          <w:szCs w:val="21"/>
          <w:color w:val="auto"/>
        </w:rPr>
      </w:pPr>
    </w:p>
    <w:p>
      <w:pPr>
        <w:ind w:firstLine="757"/>
        <w:spacing w:after="0" w:line="236" w:lineRule="auto"/>
        <w:tabs>
          <w:tab w:leader="none" w:pos="118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specified in Paragraph 2 (each such date, a “Vesting Date”) (but in no event later than two and one-half months after the end of the year in which the Vesting Date occurs), the Company shall issue to the Grantee (or in the event of the Grantee’s death, his or her designated beneficiary or his or her estate or legal heirs if the Grantee has not designated a beneficiary) the number of shares of Stock equal to the aggregate number of Restricted Stock Units that have vested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6" w:name="page157"/>
    <w:bookmarkEnd w:id="156"/>
    <w:p>
      <w:pPr>
        <w:ind w:right="60"/>
        <w:spacing w:after="0"/>
        <w:rPr>
          <w:sz w:val="20"/>
          <w:szCs w:val="20"/>
          <w:color w:val="auto"/>
        </w:rPr>
      </w:pPr>
      <w:r>
        <w:rPr>
          <w:rFonts w:ascii="Arial" w:cs="Arial" w:eastAsia="Arial" w:hAnsi="Arial"/>
          <w:sz w:val="22"/>
          <w:szCs w:val="22"/>
          <w:color w:val="auto"/>
        </w:rPr>
        <w:t>pursuant to Paragraph 2 of this Agreement on such date, rounded down to the nearest whole share, and the Grantee (or the Grantee’s designated beneficiary or estate, as applicable) shall thereafter have all the rights of a stockholder of the Company with respect to such shares. No fractional shares of Stock shall be issued.</w:t>
      </w:r>
    </w:p>
    <w:p>
      <w:pPr>
        <w:spacing w:after="0" w:line="186" w:lineRule="exact"/>
        <w:rPr>
          <w:sz w:val="20"/>
          <w:szCs w:val="20"/>
          <w:color w:val="auto"/>
        </w:rPr>
      </w:pPr>
    </w:p>
    <w:p>
      <w:pPr>
        <w:ind w:right="300" w:firstLine="757"/>
        <w:spacing w:after="0" w:line="238" w:lineRule="auto"/>
        <w:tabs>
          <w:tab w:leader="none" w:pos="118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left="1180" w:hanging="423"/>
        <w:spacing w:after="0"/>
        <w:tabs>
          <w:tab w:leader="none" w:pos="118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p>
    <w:p>
      <w:pPr>
        <w:spacing w:after="0" w:line="206" w:lineRule="exact"/>
        <w:rPr>
          <w:rFonts w:ascii="Arial" w:cs="Arial" w:eastAsia="Arial" w:hAnsi="Arial"/>
          <w:sz w:val="22"/>
          <w:szCs w:val="22"/>
          <w:color w:val="auto"/>
        </w:rPr>
      </w:pPr>
    </w:p>
    <w:p>
      <w:pPr>
        <w:jc w:val="both"/>
        <w:ind w:firstLine="1056"/>
        <w:spacing w:after="0" w:line="247" w:lineRule="exact"/>
        <w:tabs>
          <w:tab w:leader="none" w:pos="2096"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Grantee acknowledges that, regardless of any action taken by the Company or, if different, the Subsidiary employing or otherwise retaining the Grantee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Grantee’s participation in the Plan and legally applicable to the Grantee or deemed by the Company or the Employee in its discretion to be an appropriate charge to the Grantee even if legally applicable to the Company or the Employer (“Tax-Related Items”) is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302" w:lineRule="exact"/>
        <w:rPr>
          <w:rFonts w:ascii="Arial" w:cs="Arial" w:eastAsia="Arial" w:hAnsi="Arial"/>
          <w:sz w:val="19"/>
          <w:szCs w:val="19"/>
          <w:color w:val="auto"/>
        </w:rPr>
      </w:pPr>
    </w:p>
    <w:p>
      <w:pPr>
        <w:jc w:val="both"/>
        <w:ind w:firstLine="1056"/>
        <w:spacing w:after="0" w:line="244" w:lineRule="auto"/>
        <w:tabs>
          <w:tab w:leader="none" w:pos="2096" w:val="left"/>
        </w:tabs>
        <w:numPr>
          <w:ilvl w:val="1"/>
          <w:numId w:val="97"/>
        </w:numPr>
        <w:rPr>
          <w:rFonts w:ascii="Arial" w:cs="Arial" w:eastAsia="Arial" w:hAnsi="Arial"/>
          <w:sz w:val="21"/>
          <w:szCs w:val="21"/>
          <w:color w:val="auto"/>
        </w:rPr>
      </w:pPr>
      <w:r>
        <w:rPr>
          <w:rFonts w:ascii="Arial" w:cs="Arial" w:eastAsia="Arial" w:hAnsi="Arial"/>
          <w:sz w:val="21"/>
          <w:szCs w:val="21"/>
          <w:color w:val="auto"/>
        </w:rPr>
        <w:t>In connection with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Employer; (ii) withholding from proceeds of the sale of shares of Stock acquired upon settlement of the Restricted Stock Units either through a voluntary sale or through a 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7" w:name="page158"/>
    <w:bookmarkEnd w:id="157"/>
    <w:p>
      <w:pPr>
        <w:jc w:val="both"/>
        <w:ind w:firstLine="1056"/>
        <w:spacing w:after="0" w:line="245" w:lineRule="auto"/>
        <w:tabs>
          <w:tab w:leader="none" w:pos="2096" w:val="left"/>
        </w:tabs>
        <w:numPr>
          <w:ilvl w:val="1"/>
          <w:numId w:val="98"/>
        </w:numPr>
        <w:rPr>
          <w:rFonts w:ascii="Arial" w:cs="Arial" w:eastAsia="Arial" w:hAnsi="Arial"/>
          <w:sz w:val="21"/>
          <w:szCs w:val="21"/>
          <w:color w:val="auto"/>
        </w:rPr>
      </w:pPr>
      <w:r>
        <w:rPr>
          <w:rFonts w:ascii="Arial" w:cs="Arial" w:eastAsia="Arial" w:hAnsi="Arial"/>
          <w:sz w:val="21"/>
          <w:szCs w:val="21"/>
          <w:color w:val="auto"/>
        </w:rPr>
        <w:t>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76" w:lineRule="exact"/>
        <w:rPr>
          <w:rFonts w:ascii="Arial" w:cs="Arial" w:eastAsia="Arial" w:hAnsi="Arial"/>
          <w:sz w:val="21"/>
          <w:szCs w:val="21"/>
          <w:color w:val="auto"/>
        </w:rPr>
      </w:pPr>
    </w:p>
    <w:p>
      <w:pPr>
        <w:jc w:val="both"/>
        <w:ind w:firstLine="1056"/>
        <w:spacing w:after="0" w:line="236" w:lineRule="auto"/>
        <w:tabs>
          <w:tab w:leader="none" w:pos="2096"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214" w:lineRule="exact"/>
        <w:rPr>
          <w:rFonts w:ascii="Arial" w:cs="Arial" w:eastAsia="Arial" w:hAnsi="Arial"/>
          <w:sz w:val="22"/>
          <w:szCs w:val="22"/>
          <w:color w:val="auto"/>
        </w:rPr>
      </w:pPr>
    </w:p>
    <w:p>
      <w:pPr>
        <w:jc w:val="both"/>
        <w:ind w:right="140" w:firstLine="757"/>
        <w:spacing w:after="0"/>
        <w:tabs>
          <w:tab w:leader="none" w:pos="1181"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firstLine="757"/>
        <w:spacing w:after="0" w:line="287" w:lineRule="auto"/>
        <w:tabs>
          <w:tab w:leader="none" w:pos="118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the Restricted Stock Units shall not be interpreted as forming or amending an employment contract with the Company or any Subsidiary (including the Employer), and shall not be construed as giving the Grantee the right to be retained in the employ of, the Employer. Neither the Plan nor this Agreement shall interfere in any way with the right of the Employer to terminate the employment of the Grantee at any time.</w:t>
      </w:r>
    </w:p>
    <w:p>
      <w:pPr>
        <w:spacing w:after="0" w:line="142" w:lineRule="exact"/>
        <w:rPr>
          <w:rFonts w:ascii="Arial" w:cs="Arial" w:eastAsia="Arial" w:hAnsi="Arial"/>
          <w:sz w:val="19"/>
          <w:szCs w:val="19"/>
          <w:color w:val="auto"/>
        </w:rPr>
      </w:pPr>
    </w:p>
    <w:p>
      <w:pPr>
        <w:ind w:right="340" w:firstLine="757"/>
        <w:spacing w:after="0" w:line="274" w:lineRule="auto"/>
        <w:tabs>
          <w:tab w:leader="none" w:pos="1181"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left="1180" w:hanging="423"/>
        <w:spacing w:after="0"/>
        <w:tabs>
          <w:tab w:leader="none" w:pos="118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By accepting the Award, the Grantee acknowledges, understands and agrees that:</w:t>
      </w:r>
    </w:p>
    <w:p>
      <w:pPr>
        <w:spacing w:after="0" w:line="206" w:lineRule="exact"/>
        <w:rPr>
          <w:rFonts w:ascii="Arial" w:cs="Arial" w:eastAsia="Arial" w:hAnsi="Arial"/>
          <w:sz w:val="22"/>
          <w:szCs w:val="22"/>
          <w:color w:val="auto"/>
        </w:rPr>
      </w:pPr>
    </w:p>
    <w:p>
      <w:pPr>
        <w:ind w:firstLine="1056"/>
        <w:spacing w:after="0" w:line="250" w:lineRule="auto"/>
        <w:tabs>
          <w:tab w:leader="none" w:pos="209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amended, suspended or terminated by the Company at any time, to the extent permitted by the Plan;</w:t>
      </w:r>
    </w:p>
    <w:p>
      <w:pPr>
        <w:spacing w:after="0" w:line="66" w:lineRule="exact"/>
        <w:rPr>
          <w:rFonts w:ascii="Arial" w:cs="Arial" w:eastAsia="Arial" w:hAnsi="Arial"/>
          <w:sz w:val="22"/>
          <w:szCs w:val="22"/>
          <w:color w:val="auto"/>
        </w:rPr>
      </w:pPr>
    </w:p>
    <w:p>
      <w:pPr>
        <w:jc w:val="both"/>
        <w:ind w:firstLine="1056"/>
        <w:spacing w:after="0"/>
        <w:tabs>
          <w:tab w:leader="none" w:pos="209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78" w:lineRule="exact"/>
        <w:rPr>
          <w:rFonts w:ascii="Arial" w:cs="Arial" w:eastAsia="Arial" w:hAnsi="Arial"/>
          <w:sz w:val="22"/>
          <w:szCs w:val="22"/>
          <w:color w:val="auto"/>
        </w:rPr>
      </w:pPr>
    </w:p>
    <w:p>
      <w:pPr>
        <w:ind w:right="20" w:firstLine="1056"/>
        <w:spacing w:after="0" w:line="250" w:lineRule="auto"/>
        <w:tabs>
          <w:tab w:leader="none" w:pos="2096" w:val="left"/>
        </w:tabs>
        <w:numPr>
          <w:ilvl w:val="1"/>
          <w:numId w:val="99"/>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Units or other grants, if any, will be at the sole discretion of the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58" w:name="page159"/>
    <w:bookmarkEnd w:id="158"/>
    <w:p>
      <w:pPr>
        <w:ind w:left="2100" w:hanging="1044"/>
        <w:spacing w:after="0"/>
        <w:tabs>
          <w:tab w:leader="none" w:pos="210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Grantee is voluntarily participating in the Plan;</w:t>
      </w:r>
    </w:p>
    <w:p>
      <w:pPr>
        <w:spacing w:after="0" w:line="98" w:lineRule="exact"/>
        <w:rPr>
          <w:rFonts w:ascii="Arial" w:cs="Arial" w:eastAsia="Arial" w:hAnsi="Arial"/>
          <w:sz w:val="22"/>
          <w:szCs w:val="22"/>
          <w:color w:val="auto"/>
        </w:rPr>
      </w:pPr>
    </w:p>
    <w:p>
      <w:pPr>
        <w:ind w:firstLine="1056"/>
        <w:spacing w:after="0" w:line="250" w:lineRule="auto"/>
        <w:tabs>
          <w:tab w:leader="none" w:pos="2096"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Restricted Stock Units and any shares of Stock subject to the Restricted Stock Units, and the income from and value of same, are not intended to replace any pension rights or compensation;</w:t>
      </w:r>
    </w:p>
    <w:p>
      <w:pPr>
        <w:spacing w:after="0" w:line="66" w:lineRule="exact"/>
        <w:rPr>
          <w:rFonts w:ascii="Arial" w:cs="Arial" w:eastAsia="Arial" w:hAnsi="Arial"/>
          <w:sz w:val="22"/>
          <w:szCs w:val="22"/>
          <w:color w:val="auto"/>
        </w:rPr>
      </w:pPr>
    </w:p>
    <w:p>
      <w:pPr>
        <w:jc w:val="both"/>
        <w:ind w:firstLine="1056"/>
        <w:spacing w:after="0" w:line="257" w:lineRule="auto"/>
        <w:tabs>
          <w:tab w:leader="none" w:pos="2096" w:val="left"/>
        </w:tabs>
        <w:numPr>
          <w:ilvl w:val="1"/>
          <w:numId w:val="100"/>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Stock Units and the shares of Stock subject to the Restricted Stock Units, and the income from and value of same, are not granted as consideration for, or in connection with, the service the Grantee may provide as a director of a Subsidiary or Affiliate;</w:t>
      </w:r>
    </w:p>
    <w:p>
      <w:pPr>
        <w:spacing w:after="0" w:line="61" w:lineRule="exact"/>
        <w:rPr>
          <w:rFonts w:ascii="Arial" w:cs="Arial" w:eastAsia="Arial" w:hAnsi="Arial"/>
          <w:sz w:val="21"/>
          <w:szCs w:val="21"/>
          <w:color w:val="auto"/>
        </w:rPr>
      </w:pPr>
    </w:p>
    <w:p>
      <w:pPr>
        <w:jc w:val="both"/>
        <w:ind w:firstLine="1056"/>
        <w:spacing w:after="0" w:line="252" w:lineRule="auto"/>
        <w:tabs>
          <w:tab w:leader="none" w:pos="2096"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the Restricted Stock Units and any shares of Stock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spacing w:after="0" w:line="65" w:lineRule="exact"/>
        <w:rPr>
          <w:rFonts w:ascii="Arial" w:cs="Arial" w:eastAsia="Arial" w:hAnsi="Arial"/>
          <w:sz w:val="21"/>
          <w:szCs w:val="21"/>
          <w:color w:val="auto"/>
        </w:rPr>
      </w:pPr>
    </w:p>
    <w:p>
      <w:pPr>
        <w:ind w:firstLine="1056"/>
        <w:spacing w:after="0" w:line="250" w:lineRule="auto"/>
        <w:tabs>
          <w:tab w:leader="none" w:pos="2096"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future value of the shares of Stock underlying the Restricted Stock Units is unknown, indeterminable, and cannot be predicted with certainty;</w:t>
      </w:r>
    </w:p>
    <w:p>
      <w:pPr>
        <w:spacing w:after="0" w:line="66" w:lineRule="exact"/>
        <w:rPr>
          <w:rFonts w:ascii="Arial" w:cs="Arial" w:eastAsia="Arial" w:hAnsi="Arial"/>
          <w:sz w:val="22"/>
          <w:szCs w:val="22"/>
          <w:color w:val="auto"/>
        </w:rPr>
      </w:pPr>
    </w:p>
    <w:p>
      <w:pPr>
        <w:jc w:val="both"/>
        <w:ind w:firstLine="1056"/>
        <w:spacing w:after="0" w:line="238" w:lineRule="auto"/>
        <w:tabs>
          <w:tab w:leader="none" w:pos="2096" w:val="left"/>
        </w:tabs>
        <w:numPr>
          <w:ilvl w:val="1"/>
          <w:numId w:val="10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Restricted Stock Units resulting from the termination of the Grantee’s employment (for any reason whatsoever, whether or not later found to be invalid or in breach of applicable labor laws in the jurisdiction where the Grantee is employed or the terms of the Grantee’s employment agreement, if any);</w:t>
      </w:r>
    </w:p>
    <w:p>
      <w:pPr>
        <w:spacing w:after="0" w:line="76" w:lineRule="exact"/>
        <w:rPr>
          <w:rFonts w:ascii="Arial" w:cs="Arial" w:eastAsia="Arial" w:hAnsi="Arial"/>
          <w:sz w:val="22"/>
          <w:szCs w:val="22"/>
          <w:color w:val="auto"/>
        </w:rPr>
      </w:pPr>
    </w:p>
    <w:p>
      <w:pPr>
        <w:jc w:val="both"/>
        <w:ind w:firstLine="1056"/>
        <w:spacing w:after="0" w:line="238" w:lineRule="auto"/>
        <w:tabs>
          <w:tab w:leader="none" w:pos="2096" w:val="left"/>
        </w:tabs>
        <w:numPr>
          <w:ilvl w:val="1"/>
          <w:numId w:val="10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76" w:lineRule="exact"/>
        <w:rPr>
          <w:rFonts w:ascii="Arial" w:cs="Arial" w:eastAsia="Arial" w:hAnsi="Arial"/>
          <w:sz w:val="22"/>
          <w:szCs w:val="22"/>
          <w:color w:val="auto"/>
        </w:rPr>
      </w:pPr>
    </w:p>
    <w:p>
      <w:pPr>
        <w:ind w:left="2100" w:hanging="1044"/>
        <w:spacing w:after="0"/>
        <w:tabs>
          <w:tab w:leader="none" w:pos="210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if the Grantee resides and/or works in a country outside the United States, the following shall apply:</w:t>
      </w:r>
    </w:p>
    <w:p>
      <w:pPr>
        <w:spacing w:after="0" w:line="42" w:lineRule="exact"/>
        <w:rPr>
          <w:rFonts w:ascii="Arial" w:cs="Arial" w:eastAsia="Arial" w:hAnsi="Arial"/>
          <w:sz w:val="19"/>
          <w:szCs w:val="19"/>
          <w:color w:val="auto"/>
        </w:rPr>
      </w:pPr>
    </w:p>
    <w:p>
      <w:pPr>
        <w:ind w:left="1500" w:right="20" w:firstLine="754"/>
        <w:spacing w:after="0" w:line="308" w:lineRule="auto"/>
        <w:tabs>
          <w:tab w:leader="none" w:pos="2681" w:val="left"/>
        </w:tabs>
        <w:numPr>
          <w:ilvl w:val="2"/>
          <w:numId w:val="100"/>
        </w:numPr>
        <w:rPr>
          <w:rFonts w:ascii="Arial" w:cs="Arial" w:eastAsia="Arial" w:hAnsi="Arial"/>
          <w:sz w:val="19"/>
          <w:szCs w:val="19"/>
          <w:color w:val="auto"/>
        </w:rPr>
      </w:pPr>
      <w:r>
        <w:rPr>
          <w:rFonts w:ascii="Arial" w:cs="Arial" w:eastAsia="Arial" w:hAnsi="Arial"/>
          <w:sz w:val="19"/>
          <w:szCs w:val="19"/>
          <w:color w:val="auto"/>
        </w:rPr>
        <w:t>the Restricted Stock Units and any shares of Stock subject to the Restricted Stock Units, and the income from and value of same, are not part of normal or expected compensation for any purpose;</w:t>
      </w:r>
    </w:p>
    <w:p>
      <w:pPr>
        <w:spacing w:after="0" w:line="123" w:lineRule="exact"/>
        <w:rPr>
          <w:rFonts w:ascii="Arial" w:cs="Arial" w:eastAsia="Arial" w:hAnsi="Arial"/>
          <w:sz w:val="19"/>
          <w:szCs w:val="19"/>
          <w:color w:val="auto"/>
        </w:rPr>
      </w:pPr>
    </w:p>
    <w:p>
      <w:pPr>
        <w:jc w:val="both"/>
        <w:ind w:left="1500" w:firstLine="754"/>
        <w:spacing w:after="0" w:line="287" w:lineRule="auto"/>
        <w:tabs>
          <w:tab w:leader="none" w:pos="2681" w:val="left"/>
        </w:tabs>
        <w:numPr>
          <w:ilvl w:val="2"/>
          <w:numId w:val="100"/>
        </w:numPr>
        <w:rPr>
          <w:rFonts w:ascii="Arial" w:cs="Arial" w:eastAsia="Arial" w:hAnsi="Arial"/>
          <w:sz w:val="19"/>
          <w:szCs w:val="19"/>
          <w:color w:val="auto"/>
        </w:rPr>
      </w:pPr>
      <w:r>
        <w:rPr>
          <w:rFonts w:ascii="Arial" w:cs="Arial" w:eastAsia="Arial" w:hAnsi="Arial"/>
          <w:sz w:val="19"/>
          <w:szCs w:val="19"/>
          <w:color w:val="auto"/>
        </w:rPr>
        <w:t>neither the Company, the Employer nor any other Subsidiary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42" w:lineRule="exact"/>
        <w:rPr>
          <w:rFonts w:ascii="Arial" w:cs="Arial" w:eastAsia="Arial" w:hAnsi="Arial"/>
          <w:sz w:val="19"/>
          <w:szCs w:val="19"/>
          <w:color w:val="auto"/>
        </w:rPr>
      </w:pPr>
    </w:p>
    <w:p>
      <w:pPr>
        <w:ind w:right="120" w:firstLine="757"/>
        <w:spacing w:after="0" w:line="236" w:lineRule="auto"/>
        <w:tabs>
          <w:tab w:leader="none" w:pos="1181"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59" w:name="page160"/>
    <w:bookmarkEnd w:id="159"/>
    <w:p>
      <w:pPr>
        <w:ind w:right="480"/>
        <w:spacing w:after="0" w:line="250" w:lineRule="auto"/>
        <w:rPr>
          <w:sz w:val="20"/>
          <w:szCs w:val="20"/>
          <w:color w:val="auto"/>
        </w:rPr>
      </w:pPr>
      <w:r>
        <w:rPr>
          <w:rFonts w:ascii="Arial" w:cs="Arial" w:eastAsia="Arial" w:hAnsi="Arial"/>
          <w:sz w:val="22"/>
          <w:szCs w:val="22"/>
          <w:color w:val="auto"/>
        </w:rPr>
        <w:t>apply to the Grantee, to the extent the Company determines that the application of such terms and conditions is necessary or advisable for legal or administrative reasons. The Appendix forms part of this Agreement.</w:t>
      </w:r>
    </w:p>
    <w:p>
      <w:pPr>
        <w:spacing w:after="0" w:line="175" w:lineRule="exact"/>
        <w:rPr>
          <w:sz w:val="20"/>
          <w:szCs w:val="20"/>
          <w:color w:val="auto"/>
        </w:rPr>
      </w:pPr>
    </w:p>
    <w:p>
      <w:pPr>
        <w:ind w:right="100" w:firstLine="757"/>
        <w:spacing w:after="0" w:line="236" w:lineRule="auto"/>
        <w:tabs>
          <w:tab w:leader="none" w:pos="118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ind w:firstLine="757"/>
        <w:spacing w:after="0"/>
        <w:tabs>
          <w:tab w:leader="none" w:pos="118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00" w:firstLine="757"/>
        <w:spacing w:after="0"/>
        <w:tabs>
          <w:tab w:leader="none" w:pos="118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Arial" w:cs="Arial" w:eastAsia="Arial" w:hAnsi="Arial"/>
          <w:sz w:val="22"/>
          <w:szCs w:val="22"/>
          <w:b w:val="1"/>
          <w:bCs w:val="1"/>
          <w:color w:val="auto"/>
        </w:rPr>
        <w:t>.</w:t>
      </w:r>
    </w:p>
    <w:p>
      <w:pPr>
        <w:spacing w:after="0" w:line="186" w:lineRule="exact"/>
        <w:rPr>
          <w:rFonts w:ascii="Arial" w:cs="Arial" w:eastAsia="Arial" w:hAnsi="Arial"/>
          <w:sz w:val="22"/>
          <w:szCs w:val="22"/>
          <w:color w:val="auto"/>
        </w:rPr>
      </w:pPr>
    </w:p>
    <w:p>
      <w:pPr>
        <w:ind w:right="240" w:firstLine="757"/>
        <w:spacing w:after="0" w:line="250" w:lineRule="auto"/>
        <w:tabs>
          <w:tab w:leader="none" w:pos="118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ind w:right="60" w:firstLine="757"/>
        <w:spacing w:after="0" w:line="287" w:lineRule="auto"/>
        <w:tabs>
          <w:tab w:leader="none" w:pos="118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firstLine="757"/>
        <w:spacing w:after="0" w:line="328" w:lineRule="auto"/>
        <w:tabs>
          <w:tab w:leader="none" w:pos="118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ind w:right="20" w:firstLine="757"/>
        <w:spacing w:after="0" w:line="238" w:lineRule="auto"/>
        <w:tabs>
          <w:tab w:leader="none" w:pos="118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Restricted Stock Units and the shares of Stock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spacing w:after="0" w:line="184" w:lineRule="exact"/>
        <w:rPr>
          <w:rFonts w:ascii="Arial" w:cs="Arial" w:eastAsia="Arial" w:hAnsi="Arial"/>
          <w:sz w:val="22"/>
          <w:szCs w:val="22"/>
          <w:color w:val="auto"/>
        </w:rPr>
      </w:pPr>
    </w:p>
    <w:p>
      <w:pPr>
        <w:jc w:val="both"/>
        <w:ind w:firstLine="757"/>
        <w:spacing w:after="0" w:line="252" w:lineRule="auto"/>
        <w:tabs>
          <w:tab w:leader="none" w:pos="1181"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60" w:name="page161"/>
    <w:bookmarkEnd w:id="160"/>
    <w:p>
      <w:pPr>
        <w:ind w:firstLine="757"/>
        <w:spacing w:after="0" w:line="272" w:lineRule="auto"/>
        <w:tabs>
          <w:tab w:leader="none" w:pos="118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Stock, the Company shall not be required to permit the vesting of the Restricted Stock Units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Stock with the SEC or any state or non-U.S. securities commission or to seek approval or clearance from any governmental authority for the issuance or sale of the shares of Stock subject to the Restricted Stock Units. Further, the Grantee agrees that the Company shall have unilateral authority to amend this Agreement without the Grantee’s consent to the extent necessary to comply with securities or other laws applicable to issuance of the shares of Stock subject to the Restricted Stock Units.</w:t>
      </w:r>
    </w:p>
    <w:p>
      <w:pPr>
        <w:spacing w:after="0" w:line="160" w:lineRule="exact"/>
        <w:rPr>
          <w:rFonts w:ascii="Arial" w:cs="Arial" w:eastAsia="Arial" w:hAnsi="Arial"/>
          <w:sz w:val="19"/>
          <w:szCs w:val="19"/>
          <w:color w:val="auto"/>
        </w:rPr>
      </w:pPr>
    </w:p>
    <w:p>
      <w:pPr>
        <w:ind w:right="20" w:firstLine="757"/>
        <w:spacing w:after="0" w:line="271" w:lineRule="auto"/>
        <w:tabs>
          <w:tab w:leader="none" w:pos="118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the Restricted Stock Units, the Grantee acknowledges that he or she is bound by all the terms and conditions of any Company’s insider trading policy as may be in effect from time to time. The Grantee further acknowledges that, depending on the Grantee’s country, the broker's country or the country in which the shares of Stock are listed, the Grantee may be or may become subject to insider trading restrictions and/or market abuse laws which may affect the Grantee’s ability to accept, acquire, sell or otherwise dispose of shares of Stock, rights to shares of Stock (</w:t>
      </w:r>
      <w:r>
        <w:rPr>
          <w:rFonts w:ascii="Arial" w:cs="Arial" w:eastAsia="Arial" w:hAnsi="Arial"/>
          <w:sz w:val="19"/>
          <w:szCs w:val="19"/>
          <w:i w:val="1"/>
          <w:iCs w:val="1"/>
          <w:color w:val="auto"/>
        </w:rPr>
        <w:t>e.g.</w:t>
      </w:r>
      <w:r>
        <w:rPr>
          <w:rFonts w:ascii="Arial" w:cs="Arial" w:eastAsia="Arial" w:hAnsi="Arial"/>
          <w:sz w:val="19"/>
          <w:szCs w:val="19"/>
          <w:color w:val="auto"/>
        </w:rPr>
        <w:t>, Restricted Stock Units) or rights linked to the value of shares of Stock under the Plan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40" w:firstLine="757"/>
        <w:spacing w:after="0" w:line="246" w:lineRule="auto"/>
        <w:tabs>
          <w:tab w:leader="none" w:pos="118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Foreign Asset/Account, Exchange Control and Tax Reporting</w:t>
      </w:r>
      <w:r>
        <w:rPr>
          <w:rFonts w:ascii="Arial" w:cs="Arial" w:eastAsia="Arial" w:hAnsi="Arial"/>
          <w:sz w:val="21"/>
          <w:szCs w:val="21"/>
          <w:color w:val="auto"/>
        </w:rPr>
        <w:t>. Depending on the Grantee’s country, the Grantee may be subject to foreign asset/account, exchange control, tax reporting or other requirements which may affect the Grantee’s ability acquire or hold Restricted Stock Units or shares of Stock under the Plan or cash received from participating in the Plan (including dividends and the proceeds arising from the sale of shares of Stock) in a brokerage/bank account outside the Grantee’s country. The applicable laws of the Grantee’s country may require that he or she report such Restricted Stock Units, shares of Stock, accounts, assets or transactions to the applicable authorities in such country and/or repatriate funds received in connection with the Plan to the Grantee’s country within a certain time period or according to certain procedures. The Grantee acknowledges that he or she is responsible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61" w:name="page162"/>
    <w:bookmarkEnd w:id="161"/>
    <w:p>
      <w:pPr>
        <w:ind w:right="120"/>
        <w:spacing w:after="0" w:line="250" w:lineRule="auto"/>
        <w:rPr>
          <w:sz w:val="20"/>
          <w:szCs w:val="20"/>
          <w:color w:val="auto"/>
        </w:rPr>
      </w:pPr>
      <w:r>
        <w:rPr>
          <w:rFonts w:ascii="Arial" w:cs="Arial" w:eastAsia="Arial" w:hAnsi="Arial"/>
          <w:sz w:val="22"/>
          <w:szCs w:val="22"/>
          <w:color w:val="auto"/>
        </w:rPr>
        <w:t>ensuring compliance with any applicable requirements and should consult his or her personal legal advisor to ensure compliance with applicable laws.</w:t>
      </w:r>
    </w:p>
    <w:p>
      <w:pPr>
        <w:spacing w:after="0" w:line="175" w:lineRule="exact"/>
        <w:rPr>
          <w:sz w:val="20"/>
          <w:szCs w:val="20"/>
          <w:color w:val="auto"/>
        </w:rPr>
      </w:pPr>
    </w:p>
    <w:p>
      <w:pPr>
        <w:ind w:right="120" w:firstLine="757"/>
        <w:spacing w:after="0" w:line="238" w:lineRule="auto"/>
        <w:tabs>
          <w:tab w:leader="none" w:pos="1181"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Notwithstanding anything herein to the contrary, this Award of Restricted Stock Units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173990</wp:posOffset>
            </wp:positionV>
            <wp:extent cx="2005965" cy="8655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3">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wp:posOffset>
            </wp:positionV>
            <wp:extent cx="30689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3"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22"/>
          <w:szCs w:val="22"/>
          <w:color w:val="auto"/>
        </w:rPr>
        <w:t>Title:</w:t>
        <w:tab/>
        <w:t>Chief Financial Officer</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 w:leader="none" w:pos="344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jc w:val="center"/>
        <w:spacing w:after="0" w:line="236" w:lineRule="auto"/>
        <w:rPr>
          <w:sz w:val="20"/>
          <w:szCs w:val="20"/>
          <w:color w:val="auto"/>
        </w:rPr>
      </w:pPr>
      <w:r>
        <w:rPr>
          <w:rFonts w:ascii="Arial" w:cs="Arial" w:eastAsia="Arial" w:hAnsi="Arial"/>
          <w:sz w:val="25"/>
          <w:szCs w:val="25"/>
          <w:b w:val="1"/>
          <w:bCs w:val="1"/>
          <w:color w:val="auto"/>
        </w:rPr>
        <w:t>UNDER THE HUBSPOT,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Restricted Stock Unit Award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December 2021. Such laws are often complex and change frequently. As a result, the Company strongly recommends that the Grantee not rely on the information noted herein as the only source of information relating to the consequences of participation in the Plan because the information may be out-of-date at the time the Grantee vests in the Restricted Stock Units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Grantee’s particular situation. As a result, the Company is not in a position to assure the Grantee of any particular result. Accordingly, the Grantee is strongly advised to seek appropriate professional advice as to how the relevant laws in the Grantee’s country may apply to the Grantee’s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3" w:name="page164"/>
    <w:bookmarkEnd w:id="163"/>
    <w:p>
      <w:pPr>
        <w:jc w:val="center"/>
        <w:ind w:right="6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38" w:lineRule="auto"/>
        <w:tabs>
          <w:tab w:leader="none" w:pos="432" w:val="left"/>
        </w:tabs>
        <w:numPr>
          <w:ilvl w:val="0"/>
          <w:numId w:val="10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Award, the Grantee explicitly and unambiguously consents to the collection, use and transfer, in electronic or other form, of the Grantee's personal data as described in the Agreement by and among, as applicable, the Employer, the Company and its other Subsidiaries and Affiliates for the exclusive purpose of implementing, administering and managing the Grantee's participation in the Plan.</w:t>
      </w:r>
    </w:p>
    <w:p>
      <w:pPr>
        <w:spacing w:after="0" w:line="184" w:lineRule="exact"/>
        <w:rPr>
          <w:rFonts w:ascii="Arial" w:cs="Arial" w:eastAsia="Arial" w:hAnsi="Arial"/>
          <w:sz w:val="22"/>
          <w:szCs w:val="22"/>
          <w:b w:val="1"/>
          <w:bCs w:val="1"/>
          <w:i w:val="1"/>
          <w:iCs w:val="1"/>
          <w:color w:val="auto"/>
        </w:rPr>
      </w:pPr>
    </w:p>
    <w:p>
      <w:pPr>
        <w:jc w:val="both"/>
        <w:ind w:firstLine="8"/>
        <w:spacing w:after="0" w:line="279" w:lineRule="auto"/>
        <w:tabs>
          <w:tab w:leader="none" w:pos="432" w:val="left"/>
        </w:tabs>
        <w:numPr>
          <w:ilvl w:val="0"/>
          <w:numId w:val="10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the Company, the Employer and other Subsidiaries and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of Stock or directorships held in the Company, details of all Restricted Stock Units or any other entitlement to shares awarded, canceled, vested, unvested or outstanding in the Grantee's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70" w:lineRule="auto"/>
        <w:tabs>
          <w:tab w:leader="none" w:pos="432" w:val="left"/>
        </w:tabs>
        <w:numPr>
          <w:ilvl w:val="0"/>
          <w:numId w:val="10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Data will be transferred to Fidelity Stock Plan Services LLC, or such other stock plan service provider as may be selected by the Company in the future, which assist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understands that if he or she resides outside the United States, the Grantee may request a list with the names and addresses of any potential recipients of the Data by contacting the Grantee's local human resources representative. The Grantee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of Stock received upon vesting of the Restricted Stock Units may be deposited. The Grantee understands that Data will be held only as long as is necessary to implement, administer and manage the Grantee's participation in the Plan. The Grantee understands that if the Grantee resides outside the United States, he or she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his or her ability to participate in the Plan. For more information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4" w:name="page165"/>
    <w:bookmarkEnd w:id="164"/>
    <w:p>
      <w:pPr>
        <w:spacing w:after="0" w:line="250" w:lineRule="auto"/>
        <w:rPr>
          <w:sz w:val="20"/>
          <w:szCs w:val="20"/>
          <w:color w:val="auto"/>
        </w:rPr>
      </w:pPr>
      <w:r>
        <w:rPr>
          <w:rFonts w:ascii="Arial" w:cs="Arial" w:eastAsia="Arial" w:hAnsi="Arial"/>
          <w:sz w:val="22"/>
          <w:szCs w:val="22"/>
          <w:b w:val="1"/>
          <w:bCs w:val="1"/>
          <w:i w:val="1"/>
          <w:iCs w:val="1"/>
          <w:color w:val="auto"/>
        </w:rPr>
        <w:t>on the consequences of the Grantee's refusal to consent or withdrawal of consent, the Grantee understands that he or she may contact his or her local human resources representative.</w:t>
      </w:r>
    </w:p>
    <w:p>
      <w:pPr>
        <w:spacing w:after="0" w:line="175" w:lineRule="exact"/>
        <w:rPr>
          <w:sz w:val="20"/>
          <w:szCs w:val="20"/>
          <w:color w:val="auto"/>
        </w:rPr>
      </w:pPr>
    </w:p>
    <w:p>
      <w:pPr>
        <w:jc w:val="both"/>
        <w:ind w:firstLine="8"/>
        <w:spacing w:after="0" w:line="279" w:lineRule="auto"/>
        <w:tabs>
          <w:tab w:leader="none" w:pos="432" w:val="left"/>
        </w:tabs>
        <w:numPr>
          <w:ilvl w:val="0"/>
          <w:numId w:val="10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he or she will not be able to participate in the Plan if the Grantee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Australia Offer Document</w:t>
      </w:r>
      <w:r>
        <w:rPr>
          <w:rFonts w:ascii="Arial" w:cs="Arial" w:eastAsia="Arial" w:hAnsi="Arial"/>
          <w:sz w:val="22"/>
          <w:szCs w:val="22"/>
          <w:color w:val="auto"/>
        </w:rPr>
        <w:t>. The offer of the Restricted Stock Units is intended to comply with the provisions of the Corporations Act 2001, Australia Securities and Investments Commission (“ASIC”) Regulatory Guide 49 and ASIC Class Order CO 14/1000. Additional details are set forth in the Offer Document for the offer of the Restricted Stock Units to Australia resident employees, which will be provided to the Grantee with the Agreement.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Tax Notification</w:t>
      </w:r>
      <w:r>
        <w:rPr>
          <w:rFonts w:ascii="Arial" w:cs="Arial" w:eastAsia="Arial" w:hAnsi="Arial"/>
          <w:sz w:val="22"/>
          <w:szCs w:val="22"/>
          <w:color w:val="auto"/>
        </w:rPr>
        <w:t>. Subdivision 83A-C of the Income Tax Assessment Act, 1997 applies to the Restricted Stock Units granted under the Plan, such that the Restricted Stock Units are intended to be subject to deferred taxation.</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b w:val="1"/>
          <w:bCs w:val="1"/>
          <w:color w:val="auto"/>
        </w:rPr>
        <w:t>.</w:t>
      </w:r>
      <w:r>
        <w:rPr>
          <w:rFonts w:ascii="Arial" w:cs="Arial" w:eastAsia="Arial" w:hAnsi="Arial"/>
          <w:sz w:val="22"/>
          <w:szCs w:val="22"/>
          <w:color w:val="auto"/>
        </w:rPr>
        <w:t xml:space="preserve"> 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Award Payable Only in Shares</w:t>
      </w:r>
      <w:r>
        <w:rPr>
          <w:rFonts w:ascii="Arial" w:cs="Arial" w:eastAsia="Arial" w:hAnsi="Arial"/>
          <w:sz w:val="22"/>
          <w:szCs w:val="22"/>
          <w:color w:val="auto"/>
        </w:rPr>
        <w:t>. The Restricted Stock Units shall be paid in shares of Stock only and do not provide the Grantee with any right to receive a cash payment.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33" w:lineRule="exact"/>
        <w:rPr>
          <w:sz w:val="20"/>
          <w:szCs w:val="20"/>
          <w:color w:val="auto"/>
        </w:rPr>
      </w:pPr>
    </w:p>
    <w:p>
      <w:pPr>
        <w:jc w:val="both"/>
        <w:spacing w:after="0" w:line="326"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jc w:val="center"/>
        <w:spacing w:after="0"/>
        <w:rPr>
          <w:sz w:val="20"/>
          <w:szCs w:val="20"/>
          <w:color w:val="auto"/>
        </w:rPr>
      </w:pPr>
      <w:r>
        <w:rPr>
          <w:rFonts w:ascii="Arial" w:cs="Arial" w:eastAsia="Arial" w:hAnsi="Arial"/>
          <w:sz w:val="22"/>
          <w:szCs w:val="22"/>
          <w:color w:val="auto"/>
        </w:rPr>
        <w:t>61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5" w:name="page166"/>
    <w:bookmarkEnd w:id="165"/>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and any Subsidiary or Affiliate and the Administrator to disclose and discuss the Plan with their advisors and to record all relevant information and keep such information in the Grantee’s employee file.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The following provision supplements Paragraph 10 of the Global Restricted Stock Unit Award Agreement:</w:t>
      </w: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Grantee understands the grant of Restricted Stock Units is offered only to eligible employees of the Company and its Subsidiaries. The Grantee further understands that the Plan and other grant documents are not of a promotional nature, are not made available as part of a public announcement and are made available only to eligible employees of the Company and its Subsidiaries. The Grantee acknowledges that he or she did not receive any invitation, offer or enticement by the Company or any of its agents or representatives to participate in the Plan or acquire shares of Stock and that the Grantee's acceptance of the Restricted Stock Units is voluntary. Finally, the Grantee acknowledges and accepts that the Company is not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66" w:name="page167"/>
    <w:bookmarkEnd w:id="166"/>
    <w:p>
      <w:pPr>
        <w:jc w:val="both"/>
        <w:spacing w:after="0" w:line="250" w:lineRule="auto"/>
        <w:rPr>
          <w:sz w:val="20"/>
          <w:szCs w:val="20"/>
          <w:color w:val="auto"/>
        </w:rPr>
      </w:pPr>
      <w:r>
        <w:rPr>
          <w:rFonts w:ascii="Arial" w:cs="Arial" w:eastAsia="Arial" w:hAnsi="Arial"/>
          <w:sz w:val="22"/>
          <w:szCs w:val="22"/>
          <w:color w:val="auto"/>
        </w:rPr>
        <w:t>providing any tax, legal or other advice regarding the grant of Restricted Stock Units, the subsequent settlement/vesting or sale of shares of Stock under the Plan.</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Grantee is responsible for complying with any and all Colombian foreign exchange restrictions, approvals and reporting requirements in connection with the Restricted Stock Units and any shares of Stock acquired or funds received under the Plan. This may include reporting obligations to the Central Bank (</w:t>
      </w:r>
      <w:r>
        <w:rPr>
          <w:rFonts w:ascii="Arial" w:cs="Arial" w:eastAsia="Arial" w:hAnsi="Arial"/>
          <w:sz w:val="22"/>
          <w:szCs w:val="22"/>
          <w:i w:val="1"/>
          <w:iCs w:val="1"/>
          <w:color w:val="auto"/>
        </w:rPr>
        <w:t>Banco de la República</w:t>
      </w:r>
      <w:r>
        <w:rPr>
          <w:rFonts w:ascii="Arial" w:cs="Arial" w:eastAsia="Arial" w:hAnsi="Arial"/>
          <w:sz w:val="22"/>
          <w:szCs w:val="22"/>
          <w:color w:val="auto"/>
        </w:rPr>
        <w:t>). If applicable, the Grantee will be required to register his or her investment with the Central Bank, regardless of the value of his or her investment. The Grantee should consult with his or her personal legal advisor regarding any obligations in connection with this reporting requirement.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Type of Grant</w:t>
      </w:r>
      <w:r>
        <w:rPr>
          <w:rFonts w:ascii="Arial" w:cs="Arial" w:eastAsia="Arial" w:hAnsi="Arial"/>
          <w:sz w:val="22"/>
          <w:szCs w:val="22"/>
          <w:color w:val="auto"/>
        </w:rPr>
        <w:t>. The Restricted Stock Units are not granted as “French-qualified” awards and are not intended to qualify for the special tax and social security treatment applicable to shares granted for no consideration under Sections L. 225-197-1 to L. 225-197-6 of the French Commercial Code, as amended.</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By accepting the Restricted Stock Units, the Grantee confirms having read and understood the documents relating to the Restricted Stock Units which were provided to the Grantee in English.</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En acceptant l'attribution d’actions gratuites «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 le Grantee confirme avoir lu et compris les documents relatifs aux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qui ont été communiqués au Grantee en langue anglaise.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German residents must electronically report cross-border payments in excess of €12,500 to the German Federal Bank (</w:t>
      </w:r>
      <w:r>
        <w:rPr>
          <w:rFonts w:ascii="Arial" w:cs="Arial" w:eastAsia="Arial" w:hAnsi="Arial"/>
          <w:sz w:val="21"/>
          <w:szCs w:val="21"/>
          <w:i w:val="1"/>
          <w:iCs w:val="1"/>
          <w:color w:val="auto"/>
        </w:rPr>
        <w:t>Bundesbank</w:t>
      </w:r>
      <w:r>
        <w:rPr>
          <w:rFonts w:ascii="Arial" w:cs="Arial" w:eastAsia="Arial" w:hAnsi="Arial"/>
          <w:sz w:val="21"/>
          <w:szCs w:val="21"/>
          <w:color w:val="auto"/>
        </w:rPr>
        <w:t>) on a monthly basis. In case of payments in connection with securities (including any proceeds realized upon the sale of shares of Stock or the receipt of any dividends), the report must be made by the 5th day of the month following the month in which the payment was received.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xml:space="preserve">”) can be accessed via the Bundesbank’s website (www.bundesbank.de). </w:t>
      </w:r>
      <w:r>
        <w:rPr>
          <w:rFonts w:ascii="Arial" w:cs="Arial" w:eastAsia="Arial" w:hAnsi="Arial"/>
          <w:sz w:val="21"/>
          <w:szCs w:val="21"/>
          <w:i w:val="1"/>
          <w:iCs w:val="1"/>
          <w:color w:val="auto"/>
        </w:rPr>
        <w:t>The Grantee should consult his or her personal advisor to ensure</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applicable reporting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Grantee acknowledges that due to Indian exchange control regulations, the proceeds from the sale of shares of Stock acquired at vesting of the Restricted Stock Units and any cash dividends paid on shares of Stock acquired under the Plan must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7" w:name="page168"/>
    <w:bookmarkEnd w:id="167"/>
    <w:p>
      <w:pPr>
        <w:jc w:val="both"/>
        <w:spacing w:after="0" w:line="287" w:lineRule="auto"/>
        <w:rPr>
          <w:sz w:val="20"/>
          <w:szCs w:val="20"/>
          <w:color w:val="auto"/>
        </w:rPr>
      </w:pPr>
      <w:r>
        <w:rPr>
          <w:rFonts w:ascii="Arial" w:cs="Arial" w:eastAsia="Arial" w:hAnsi="Arial"/>
          <w:sz w:val="19"/>
          <w:szCs w:val="19"/>
          <w:color w:val="auto"/>
        </w:rPr>
        <w:t>repatriated to India within a certain period of time, as required under applicable regulations. The Grantee will receive a foreign inward remittance certificate (the “</w:t>
      </w:r>
      <w:r>
        <w:rPr>
          <w:rFonts w:ascii="Arial" w:cs="Arial" w:eastAsia="Arial" w:hAnsi="Arial"/>
          <w:sz w:val="19"/>
          <w:szCs w:val="19"/>
          <w:b w:val="1"/>
          <w:bCs w:val="1"/>
          <w:i w:val="1"/>
          <w:iCs w:val="1"/>
          <w:color w:val="auto"/>
        </w:rPr>
        <w:t>FIRC</w:t>
      </w:r>
      <w:r>
        <w:rPr>
          <w:rFonts w:ascii="Arial" w:cs="Arial" w:eastAsia="Arial" w:hAnsi="Arial"/>
          <w:sz w:val="19"/>
          <w:szCs w:val="19"/>
          <w:color w:val="auto"/>
        </w:rPr>
        <w:t>”) from the bank where the Grantee deposits the foreign currency. The Grantee should maintain the FIRC as evidence of the repatriation of fund in the event the Reserve Bank of India, the Company or the Employer requests proof of repatriation. The Grantee should consult with a personal advisor in this regard.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or Affiliate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Restricted Stock Units,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his or her personal legal advisor as to whether or not this notification requirement applies.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If the Grantee acquires shares of Stock valued at more than ¥100,000,000 in a single transaction, the Grantee must file a Securities Acquisition Report with the Ministry of Finance through the Bank of Japan within 20 days of the acquisition of the shares of Stock.</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Restrictions on Sale and Transferability</w:t>
      </w:r>
      <w:r>
        <w:rPr>
          <w:rFonts w:ascii="Arial" w:cs="Arial" w:eastAsia="Arial" w:hAnsi="Arial"/>
          <w:sz w:val="22"/>
          <w:szCs w:val="22"/>
          <w:color w:val="auto"/>
        </w:rPr>
        <w:t>. The Grantee hereby agrees that any shares of Stock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(“SFA”).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 of the Restricted Stock Units is being made pursuant to the “Qualifying Person” exemption under section 273(1)(f) of the SFA and is not made with a view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spacing w:after="0" w:line="250" w:lineRule="auto"/>
        <w:rPr>
          <w:sz w:val="20"/>
          <w:szCs w:val="20"/>
          <w:color w:val="auto"/>
        </w:rPr>
      </w:pPr>
      <w:r>
        <w:rPr>
          <w:rFonts w:ascii="Arial" w:cs="Arial" w:eastAsia="Arial" w:hAnsi="Arial"/>
          <w:sz w:val="22"/>
          <w:szCs w:val="22"/>
          <w:color w:val="auto"/>
        </w:rPr>
        <w:t>the shares of Stock being subsequently offered for sale to any other party. The Plan has not been lodged or registered as a prospectus with the Monetary Authority of Singapore.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u w:val="single" w:color="auto"/>
          <w:color w:val="auto"/>
        </w:rPr>
        <w:t>Director Notification Obligation</w:t>
      </w:r>
      <w:r>
        <w:rPr>
          <w:rFonts w:ascii="Arial" w:cs="Arial" w:eastAsia="Arial" w:hAnsi="Arial"/>
          <w:sz w:val="20"/>
          <w:szCs w:val="20"/>
          <w:b w:val="1"/>
          <w:bCs w:val="1"/>
          <w:color w:val="auto"/>
        </w:rPr>
        <w:t>.</w:t>
      </w:r>
      <w:r>
        <w:rPr>
          <w:rFonts w:ascii="Arial" w:cs="Arial" w:eastAsia="Arial" w:hAnsi="Arial"/>
          <w:sz w:val="20"/>
          <w:szCs w:val="20"/>
          <w:color w:val="auto"/>
        </w:rPr>
        <w:t xml:space="preserve"> The directors (including alternative directors, substitute directors and shadow directors</w:t>
      </w:r>
      <w:r>
        <w:rPr>
          <w:rFonts w:ascii="Arial" w:cs="Arial" w:eastAsia="Arial" w:hAnsi="Arial"/>
          <w:sz w:val="13"/>
          <w:szCs w:val="13"/>
          <w:color w:val="auto"/>
        </w:rPr>
        <w:t>2</w:t>
      </w:r>
      <w:r>
        <w:rPr>
          <w:rFonts w:ascii="Arial" w:cs="Arial" w:eastAsia="Arial" w:hAnsi="Arial"/>
          <w:sz w:val="20"/>
          <w:szCs w:val="20"/>
          <w:color w:val="auto"/>
        </w:rPr>
        <w:t>) of a Singaporean Subsidiary or Affiliate are subject to certain notification requirements under the Singapore Companies Act. The directors must notify the Singaporean Subsidiary or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the Award or shares of Stock) in the Company within two (2) business days of (i) its acquisition or disposal, (ii) any change in a previously-disclosed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upon vesting of the Restricted Stock Units or when shares of Stock acquired under the Plan are subsequently sold), or (iii) becoming a director. The Grantee understands that if he or she is the Chief Executive Officer (“CEO”) of a Singapore Subsidiary or Affiliate and the above notification requirements are determined to apply to the CEO of a Singapore Subsidiary or Affiliate, the above notification requirements also may apply to the Grantee.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The following provision supplements Paragraph 10 of the Global Restricted Stock Unit Award Agreement: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the Restricted Stock Unit, Grantee consents to participation in the Plan and acknowledges that Grantee has received a copy of the Plan.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Grantee understands and agrees that, as a condition of the grant of the Restricted Stock Unit, except as provided for in the Global Restricted Stock Unit Award Agreement, the termination of Grantee's employment for any reason (including for the reasons herein) will automatically result in the loss of the Restricted Stock Unit that may have been granted and that have not vested on the date of termination.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particular, Grantee understands and agrees that any unvested Restricted Stock Unit as of Grantee's termination date, unless otherwise specified in Global Restricted Stock Unit Award Agreement, will be forfeited without entitlement to the underlying shares of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21"/>
          <w:szCs w:val="21"/>
          <w:i w:val="1"/>
          <w:iCs w:val="1"/>
          <w:color w:val="auto"/>
        </w:rPr>
        <w:t>i</w:t>
      </w:r>
      <w:r>
        <w:rPr>
          <w:rFonts w:ascii="Arial" w:cs="Arial" w:eastAsia="Arial" w:hAnsi="Arial"/>
          <w:sz w:val="21"/>
          <w:szCs w:val="21"/>
          <w:color w:val="auto"/>
        </w:rPr>
        <w:t>.</w:t>
      </w:r>
      <w:r>
        <w:rPr>
          <w:rFonts w:ascii="Arial" w:cs="Arial" w:eastAsia="Arial" w:hAnsi="Arial"/>
          <w:sz w:val="21"/>
          <w:szCs w:val="21"/>
          <w:i w:val="1"/>
          <w:iCs w:val="1"/>
          <w:color w:val="auto"/>
        </w:rPr>
        <w:t>e</w:t>
      </w:r>
      <w:r>
        <w:rPr>
          <w:rFonts w:ascii="Arial" w:cs="Arial" w:eastAsia="Arial" w:hAnsi="Arial"/>
          <w:sz w:val="21"/>
          <w:szCs w:val="21"/>
          <w:color w:val="auto"/>
        </w:rPr>
        <w:t>., subject to a “</w:t>
      </w:r>
      <w:r>
        <w:rPr>
          <w:rFonts w:ascii="Arial" w:cs="Arial" w:eastAsia="Arial" w:hAnsi="Arial"/>
          <w:sz w:val="21"/>
          <w:szCs w:val="21"/>
          <w:i w:val="1"/>
          <w:iCs w:val="1"/>
          <w:color w:val="auto"/>
        </w:rPr>
        <w:t>despido improcedente</w:t>
      </w:r>
      <w:r>
        <w:rPr>
          <w:rFonts w:ascii="Arial" w:cs="Arial" w:eastAsia="Arial" w:hAnsi="Arial"/>
          <w:sz w:val="21"/>
          <w:szCs w:val="21"/>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jc w:val="both"/>
        <w:spacing w:after="0" w:line="272" w:lineRule="auto"/>
        <w:rPr>
          <w:sz w:val="20"/>
          <w:szCs w:val="20"/>
          <w:color w:val="auto"/>
        </w:rPr>
      </w:pPr>
      <w:r>
        <w:rPr>
          <w:rFonts w:ascii="Arial" w:cs="Arial" w:eastAsia="Arial" w:hAnsi="Arial"/>
          <w:sz w:val="19"/>
          <w:szCs w:val="19"/>
          <w:color w:val="auto"/>
        </w:rPr>
        <w:t>Furthermore, the Grantee understands that the Company has unilaterally, gratuitously and discretionally decided to grant the Restricted Stock Unit under the Plan to individuals who may be employees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of Stock issued upon vesting shall not become a part of any employment or contract (with the Company, including the Employer) and shall not be considered a mandatory benefit, salary for any purposes (including severance compensation) or any other right whatsoever. Furthermore, Grantee understands and freely accepts that there is no guarantee that any benefit whatsoever will arise from the Restricted Stock Unit, which is gratuitous and discretionary, since the future value of the Restricted Stock Unit and the underlying shares of Stock is unknown and unpredictable. In addition, Grantee understands that the grant of the Restricted Stock Unit would not be made to Grantee but for the assumptions and conditions referred to above; thus, Grantee acknowledges and freely accepts that should any or all of the assumptions be mistaken or should any of the conditions not be met for any reason, then any grant to Grantee shall be null and void.</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Arial" w:cs="Arial" w:eastAsia="Arial" w:hAnsi="Arial"/>
          <w:sz w:val="19"/>
          <w:szCs w:val="19"/>
          <w:i w:val="1"/>
          <w:iCs w:val="1"/>
          <w:color w:val="auto"/>
        </w:rPr>
        <w:t>Comisión Nacional del Mercado de Valores</w:t>
      </w:r>
      <w:r>
        <w:rPr>
          <w:rFonts w:ascii="Arial" w:cs="Arial" w:eastAsia="Arial" w:hAnsi="Arial"/>
          <w:sz w:val="19"/>
          <w:szCs w:val="19"/>
          <w:color w:val="auto"/>
        </w:rPr>
        <w:t>, and does not constitute a public offering prospectus.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xml:space="preserve">. Grantee must declare the acquisition, ownership and disposition of shares of Stock to the Spanish </w:t>
      </w:r>
      <w:r>
        <w:rPr>
          <w:rFonts w:ascii="Arial" w:cs="Arial" w:eastAsia="Arial" w:hAnsi="Arial"/>
          <w:sz w:val="19"/>
          <w:szCs w:val="19"/>
          <w:i w:val="1"/>
          <w:iCs w:val="1"/>
          <w:color w:val="auto"/>
        </w:rPr>
        <w:t xml:space="preserve">Dirección General 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the declaration must be made in January for shares of Stock owned as of December 31 of the prior year and/or shares of Stock acquired or disposed of during the prior year; however, if the value of the shares of Stock acquired or disposed of or the amount of the sale proceeds exceeds €1,502,530 (or if Grantee holds 10% or more of the share capital of the Company), the declaration must be filed within one month of the acquisition or disposition, as applicable.</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Grantee is required to declare electronically to the Bank of Spain any foreign accounts (including brokerage accounts held abroad), any foreign instruments (including any shares of Stock acquired under the Plan) and any transactions with non-Spanish residents (including any payments of shares of Stock made to Grantee by the Company) depending on the value of such accounts and instruments and the amount of the transactions during the relevant year as of December 31 of the relevant year.</w:t>
      </w:r>
    </w:p>
    <w:p>
      <w:pPr>
        <w:spacing w:after="0" w:line="170" w:lineRule="exact"/>
        <w:rPr>
          <w:sz w:val="20"/>
          <w:szCs w:val="20"/>
          <w:color w:val="auto"/>
        </w:rPr>
      </w:pPr>
    </w:p>
    <w:p>
      <w:pPr>
        <w:spacing w:after="0" w:line="235" w:lineRule="auto"/>
        <w:rPr>
          <w:sz w:val="20"/>
          <w:szCs w:val="20"/>
          <w:color w:val="auto"/>
        </w:rPr>
      </w:pPr>
      <w:r>
        <w:rPr>
          <w:rFonts w:ascii="Arial" w:cs="Arial" w:eastAsia="Arial" w:hAnsi="Arial"/>
          <w:sz w:val="22"/>
          <w:szCs w:val="22"/>
          <w:u w:val="single" w:color="auto"/>
          <w:color w:val="auto"/>
        </w:rPr>
        <w:t>Foreign Asset/Accounting Reporting Information</w:t>
      </w:r>
      <w:r>
        <w:rPr>
          <w:rFonts w:ascii="Arial" w:cs="Arial" w:eastAsia="Arial" w:hAnsi="Arial"/>
          <w:sz w:val="22"/>
          <w:szCs w:val="22"/>
          <w:color w:val="auto"/>
        </w:rPr>
        <w:t>. If Grantee holds rights or assets (</w:t>
      </w:r>
      <w:r>
        <w:rPr>
          <w:rFonts w:ascii="Arial" w:cs="Arial" w:eastAsia="Arial" w:hAnsi="Arial"/>
          <w:sz w:val="22"/>
          <w:szCs w:val="22"/>
          <w:i w:val="1"/>
          <w:iCs w:val="1"/>
          <w:color w:val="auto"/>
        </w:rPr>
        <w:t>e.g.</w:t>
      </w:r>
      <w:r>
        <w:rPr>
          <w:rFonts w:ascii="Arial" w:cs="Arial" w:eastAsia="Arial" w:hAnsi="Arial"/>
          <w:sz w:val="22"/>
          <w:szCs w:val="22"/>
          <w:color w:val="auto"/>
        </w:rPr>
        <w:t>, shares of Stock or cash held in a bank or brokerage account) outside Spain with a value in excess of €50,000 per type of right or asset (</w:t>
      </w:r>
      <w:r>
        <w:rPr>
          <w:rFonts w:ascii="Arial" w:cs="Arial" w:eastAsia="Arial" w:hAnsi="Arial"/>
          <w:sz w:val="22"/>
          <w:szCs w:val="22"/>
          <w:i w:val="1"/>
          <w:iCs w:val="1"/>
          <w:color w:val="auto"/>
        </w:rPr>
        <w:t>e.g.</w:t>
      </w:r>
      <w:r>
        <w:rPr>
          <w:rFonts w:ascii="Arial" w:cs="Arial" w:eastAsia="Arial" w:hAnsi="Arial"/>
          <w:sz w:val="22"/>
          <w:szCs w:val="22"/>
          <w:color w:val="auto"/>
        </w:rPr>
        <w:t>, shares of Stock, cash, etc.) as of December 31 each year, Grantee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jc w:val="both"/>
        <w:ind w:right="240"/>
        <w:spacing w:after="0"/>
        <w:rPr>
          <w:sz w:val="20"/>
          <w:szCs w:val="20"/>
          <w:color w:val="auto"/>
        </w:rPr>
      </w:pPr>
      <w:r>
        <w:rPr>
          <w:rFonts w:ascii="Arial" w:cs="Arial" w:eastAsia="Arial" w:hAnsi="Arial"/>
          <w:sz w:val="22"/>
          <w:szCs w:val="22"/>
          <w:color w:val="auto"/>
        </w:rPr>
        <w:t>value of such rights and/or assets does not exceed €50,000, a summarized form of declaration may be presented. The reporting must be completed by the March 31 each year. Grantee should consult Grantee's personal tax advisor for details regarding this requirement.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 supplements Paragraph 6 of the Global Restricted Stock Unit Award Agreement:</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of Stock or to sell shares of Stock otherwise deliverable to the Grantee upon settlement/vesting to satisfy Tax-Related Items, regardless of whether the Company and/or the Employer have an obligation to withhold such Tax-Related Items.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provisions supplement Paragraph 6 of the Global Restricted Stock Unit Award Agreement:</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Without limitation to Paragraph 6 of the Global Restricted Stock Unit Award Agreement, the Grantee agrees that the Grantee is liable for all Tax-Related Items and hereby covenants to pay all such Tax-Related Items as and when requested by the Company or the Employer or by Her Majesty’s Revenue and Customs (“HMRC”) (or any other tax authority or any other relevant authority). The Grantee also agrees to indemnify and keep indemnified the Company or the Employer against any Tax-Related Items that they are required to pay or withhold or have paid or will pay to HMRC (or any other tax authority or any other relevant authority) on the Grantee’s behalf.</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(“NICs”)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Paragraph 6 of the Global Restricted Stock Unit Award Agreement.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1" w:name="page172"/>
    <w:bookmarkEnd w:id="171"/>
    <w:p>
      <w:pPr>
        <w:ind w:firstLine="8"/>
        <w:spacing w:after="0" w:line="236" w:lineRule="auto"/>
        <w:tabs>
          <w:tab w:leader="none" w:pos="223" w:val="left"/>
        </w:tabs>
        <w:numPr>
          <w:ilvl w:val="0"/>
          <w:numId w:val="107"/>
        </w:numPr>
        <w:rPr>
          <w:rFonts w:ascii="Arial" w:cs="Arial" w:eastAsia="Arial" w:hAnsi="Arial"/>
          <w:sz w:val="14"/>
          <w:szCs w:val="14"/>
          <w:color w:val="auto"/>
        </w:rPr>
      </w:pPr>
      <w:r>
        <w:rPr>
          <w:rFonts w:ascii="Arial" w:cs="Arial" w:eastAsia="Arial" w:hAnsi="Arial"/>
          <w:sz w:val="22"/>
          <w:szCs w:val="22"/>
          <w:i w:val="1"/>
          <w:iCs w:val="1"/>
          <w:color w:val="auto"/>
        </w:rPr>
        <w:t>The following language to be used for grants to Section 16 officers</w:t>
      </w:r>
      <w:r>
        <w:rPr>
          <w:rFonts w:ascii="Arial" w:cs="Arial" w:eastAsia="Arial" w:hAnsi="Arial"/>
          <w:sz w:val="22"/>
          <w:szCs w:val="22"/>
          <w:color w:val="auto"/>
        </w:rPr>
        <w:t>: The restrictions and conditions of Paragraph 1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lapse in sixteen (16) equal installments of 6.25% starting on the three-month anniversary of the Vesting Commencement Date and every three months thereafter, such that the Restricted Stock Units are fully vested on the fourth (4th) anniversary of the Vesting Commencement Date, provided that the Grantee remains an employee of the Company or a Subsidiary on such dates.</w:t>
      </w: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 xml:space="preserve">The following language to be used for grants to new hires: </w:t>
      </w:r>
      <w:r>
        <w:rPr>
          <w:rFonts w:ascii="Arial" w:cs="Arial" w:eastAsia="Arial" w:hAnsi="Arial"/>
          <w:sz w:val="21"/>
          <w:szCs w:val="21"/>
          <w:color w:val="auto"/>
        </w:rPr>
        <w:t>The restrictions and conditions of Paragraph 1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lapse as to 16.67% of the Restricted Stock Units and such Restricted Stock Units shall vest on the six-month anniversary of the Vesting Commencement Date; provided that the Grantee remains an employee of the Company or a Subsidiary on such date. Thereafter, the restrictions and conditions of Paragraph 1 of this Agreement shall lapse as to the remaining 83.33% of the Restricted Stock Units and such Restricted Stock Units shall vest in ten (10) equal installments of 8.33% every three (3) months following the six-month anniversary of the Vesting Commencement Date, such that the Restricted Stock Units are fully vested on the third (3rd) anniversary of the Vesting Commencement Date, provided that the Grantee remains an employee of the Company or a Subsidiary on such dates.</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The following language to be used for all other grants</w:t>
      </w:r>
      <w:r>
        <w:rPr>
          <w:rFonts w:ascii="Arial" w:cs="Arial" w:eastAsia="Arial" w:hAnsi="Arial"/>
          <w:sz w:val="19"/>
          <w:szCs w:val="19"/>
          <w:color w:val="auto"/>
        </w:rPr>
        <w:t>: The restrictions and conditions of Paragraph 1 of this Agreement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lapse in twelve (12) equal installments of 8.33% starting on the three-month anniversary of the Vesting Commencement Date and every three months thereafter, such that the Restricted Stock Units are fully vested on the third (3rd) anniversary of the Vesting Commencement Date, provided that the Grantee remains an employee of the Company or a Subsidiary on such dates.</w:t>
      </w:r>
    </w:p>
    <w:p>
      <w:pPr>
        <w:spacing w:after="0" w:line="170" w:lineRule="exact"/>
        <w:rPr>
          <w:sz w:val="20"/>
          <w:szCs w:val="20"/>
          <w:color w:val="auto"/>
        </w:rPr>
      </w:pPr>
    </w:p>
    <w:p>
      <w:pPr>
        <w:ind w:right="60" w:firstLine="8"/>
        <w:spacing w:after="0" w:line="250" w:lineRule="auto"/>
        <w:tabs>
          <w:tab w:leader="none" w:pos="223" w:val="left"/>
        </w:tabs>
        <w:numPr>
          <w:ilvl w:val="0"/>
          <w:numId w:val="108"/>
        </w:numPr>
        <w:rPr>
          <w:rFonts w:ascii="Arial" w:cs="Arial" w:eastAsia="Arial" w:hAnsi="Arial"/>
          <w:sz w:val="14"/>
          <w:szCs w:val="14"/>
          <w:color w:val="auto"/>
        </w:rPr>
      </w:pPr>
      <w:r>
        <w:rPr>
          <w:rFonts w:ascii="Arial" w:cs="Arial" w:eastAsia="Arial" w:hAnsi="Arial"/>
          <w:sz w:val="22"/>
          <w:szCs w:val="22"/>
          <w:color w:val="auto"/>
        </w:rPr>
        <w:t>A shadow director is an individual who is not on the board of directors of a company but who has sufficient control so that the board of directors acts in accordance with the “directions or instructions” of the individual.</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72" w:name="page173"/>
    <w:bookmarkEnd w:id="172"/>
    <w:p>
      <w:pPr>
        <w:jc w:val="center"/>
        <w:ind w:left="360" w:right="2700"/>
        <w:spacing w:after="0" w:line="248" w:lineRule="auto"/>
        <w:rPr>
          <w:sz w:val="20"/>
          <w:szCs w:val="20"/>
          <w:color w:val="auto"/>
        </w:rPr>
      </w:pPr>
      <w:r>
        <w:rPr>
          <w:rFonts w:ascii="Arial" w:cs="Arial" w:eastAsia="Arial" w:hAnsi="Arial"/>
          <w:sz w:val="25"/>
          <w:szCs w:val="25"/>
          <w:b w:val="1"/>
          <w:bCs w:val="1"/>
          <w:color w:val="auto"/>
        </w:rPr>
        <w:t>NON-QUALIFIED STOCK OPTION AGREEMENT FOR NON-EMPLOYEE DIRECTORS UNDER THE HUBSPOT, INC. 2014 STOCK OPTION AND INCENTIVE PLAN</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[FMV on Grant Date]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 more than 10 years]</w:t>
      </w:r>
    </w:p>
    <w:p>
      <w:pPr>
        <w:spacing w:after="0" w:line="320" w:lineRule="exact"/>
        <w:rPr>
          <w:sz w:val="20"/>
          <w:szCs w:val="20"/>
          <w:color w:val="auto"/>
        </w:rPr>
      </w:pPr>
    </w:p>
    <w:p>
      <w:pPr>
        <w:ind w:right="120" w:firstLine="749"/>
        <w:spacing w:after="0" w:line="279"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HubSpot,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50" w:lineRule="exact"/>
        <w:rPr>
          <w:sz w:val="20"/>
          <w:szCs w:val="20"/>
          <w:color w:val="auto"/>
        </w:rPr>
      </w:pPr>
    </w:p>
    <w:p>
      <w:pPr>
        <w:ind w:right="260" w:firstLine="757"/>
        <w:spacing w:after="0" w:line="276" w:lineRule="auto"/>
        <w:tabs>
          <w:tab w:leader="none" w:pos="1498"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Plan) to accelerate the vesting schedule hereunder, [ ] of the Option Shares shall vest and become exercisable on [ ]. Once vested and exercisable, this Stock Option shall continue to be exercisable at any time or times prior to the close of business on the Expiration Date, subject to the provisions hereof and of the Plan.</w:t>
      </w:r>
    </w:p>
    <w:p>
      <w:pPr>
        <w:spacing w:after="0" w:line="187" w:lineRule="exact"/>
        <w:rPr>
          <w:sz w:val="20"/>
          <w:szCs w:val="20"/>
          <w:color w:val="auto"/>
        </w:rPr>
      </w:pPr>
    </w:p>
    <w:p>
      <w:pPr>
        <w:ind w:right="40" w:firstLine="749"/>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this Stock Option shall be deemed vested and exercisable upon the date on which the Optionee’s service relationship with the Company and any subsidiary or successor entity, as the case may be, ends if the end of such service relationship occurs within 12 months after such Sale Event or 90 days prior to such Sale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3" w:name="page174"/>
    <w:bookmarkEnd w:id="173"/>
    <w:p>
      <w:pPr>
        <w:ind w:left="1500" w:hanging="743"/>
        <w:spacing w:after="0"/>
        <w:tabs>
          <w:tab w:leader="none" w:pos="150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firstLine="1505"/>
        <w:spacing w:after="0" w:line="228" w:lineRule="auto"/>
        <w:tabs>
          <w:tab w:leader="none" w:pos="299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3" w:lineRule="exact"/>
        <w:rPr>
          <w:sz w:val="20"/>
          <w:szCs w:val="20"/>
          <w:color w:val="auto"/>
        </w:rPr>
      </w:pPr>
    </w:p>
    <w:p>
      <w:pPr>
        <w:ind w:right="20" w:firstLine="749"/>
        <w:spacing w:after="0" w:line="257"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w:t>
      </w:r>
    </w:p>
    <w:p>
      <w:pPr>
        <w:jc w:val="center"/>
        <w:ind w:right="100"/>
        <w:spacing w:after="0"/>
        <w:rPr>
          <w:sz w:val="20"/>
          <w:szCs w:val="20"/>
          <w:color w:val="auto"/>
        </w:rPr>
      </w:pPr>
      <w:r>
        <w:rPr>
          <w:rFonts w:ascii="Arial" w:cs="Arial" w:eastAsia="Arial" w:hAnsi="Arial"/>
          <w:sz w:val="19"/>
          <w:szCs w:val="19"/>
          <w:color w:val="auto"/>
        </w:rPr>
        <w:t>contingent upon (i) the Company’s receipt from the Optionee of the full purchase price for the Option Shares, as set forth above,</w:t>
      </w:r>
    </w:p>
    <w:p>
      <w:pPr>
        <w:spacing w:after="0" w:line="11"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11" w:lineRule="exact"/>
        <w:rPr>
          <w:rFonts w:ascii="Arial" w:cs="Arial" w:eastAsia="Arial" w:hAnsi="Arial"/>
          <w:sz w:val="19"/>
          <w:szCs w:val="19"/>
          <w:color w:val="auto"/>
        </w:rPr>
      </w:pPr>
    </w:p>
    <w:p>
      <w:pPr>
        <w:ind w:firstLine="8"/>
        <w:spacing w:after="0" w:line="262" w:lineRule="auto"/>
        <w:tabs>
          <w:tab w:leader="none" w:pos="37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0" w:firstLine="1505"/>
        <w:spacing w:after="0" w:line="259" w:lineRule="auto"/>
        <w:tabs>
          <w:tab w:leader="none" w:pos="299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74" w:name="page175"/>
    <w:bookmarkEnd w:id="174"/>
    <w:p>
      <w:pPr>
        <w:ind w:right="140" w:firstLine="1505"/>
        <w:spacing w:after="0"/>
        <w:tabs>
          <w:tab w:leader="none" w:pos="299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360" w:firstLine="1505"/>
        <w:spacing w:after="0" w:line="250" w:lineRule="auto"/>
        <w:tabs>
          <w:tab w:leader="none" w:pos="299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right="360" w:firstLine="757"/>
        <w:spacing w:after="0" w:line="250" w:lineRule="auto"/>
        <w:tabs>
          <w:tab w:leader="none" w:pos="1498"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Termination as Director</w:t>
      </w:r>
      <w:r>
        <w:rPr>
          <w:rFonts w:ascii="Arial" w:cs="Arial" w:eastAsia="Arial" w:hAnsi="Arial"/>
          <w:sz w:val="22"/>
          <w:szCs w:val="22"/>
          <w:color w:val="auto"/>
        </w:rPr>
        <w:t>. If the Optionee ceases to be a Director of the Company, the period within which to exercise the Stock Option may be subject to earlier termination as set forth below.</w:t>
      </w:r>
    </w:p>
    <w:p>
      <w:pPr>
        <w:spacing w:after="0" w:line="174" w:lineRule="exact"/>
        <w:rPr>
          <w:rFonts w:ascii="Arial" w:cs="Arial" w:eastAsia="Arial" w:hAnsi="Arial"/>
          <w:sz w:val="22"/>
          <w:szCs w:val="22"/>
          <w:color w:val="auto"/>
        </w:rPr>
      </w:pPr>
    </w:p>
    <w:p>
      <w:pPr>
        <w:ind w:right="60" w:firstLine="1505"/>
        <w:spacing w:after="0" w:line="236" w:lineRule="auto"/>
        <w:tabs>
          <w:tab w:leader="none" w:pos="2995" w:val="left"/>
        </w:tabs>
        <w:numPr>
          <w:ilvl w:val="1"/>
          <w:numId w:val="1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7" w:lineRule="exact"/>
        <w:rPr>
          <w:rFonts w:ascii="Arial" w:cs="Arial" w:eastAsia="Arial" w:hAnsi="Arial"/>
          <w:sz w:val="22"/>
          <w:szCs w:val="22"/>
          <w:u w:val="single" w:color="auto"/>
          <w:color w:val="auto"/>
        </w:rPr>
      </w:pPr>
    </w:p>
    <w:p>
      <w:pPr>
        <w:ind w:right="180" w:firstLine="1505"/>
        <w:spacing w:after="0" w:line="249" w:lineRule="auto"/>
        <w:tabs>
          <w:tab w:leader="none" w:pos="2995" w:val="left"/>
        </w:tabs>
        <w:numPr>
          <w:ilvl w:val="1"/>
          <w:numId w:val="11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78" w:lineRule="exact"/>
        <w:rPr>
          <w:sz w:val="20"/>
          <w:szCs w:val="20"/>
          <w:color w:val="auto"/>
        </w:rPr>
      </w:pPr>
    </w:p>
    <w:p>
      <w:pPr>
        <w:ind w:right="780" w:firstLine="749"/>
        <w:spacing w:after="0" w:line="250" w:lineRule="auto"/>
        <w:rPr>
          <w:sz w:val="20"/>
          <w:szCs w:val="20"/>
          <w:color w:val="auto"/>
        </w:rPr>
      </w:pPr>
      <w:r>
        <w:rPr>
          <w:rFonts w:ascii="Arial" w:cs="Arial" w:eastAsia="Arial" w:hAnsi="Arial"/>
          <w:sz w:val="22"/>
          <w:szCs w:val="22"/>
          <w:color w:val="auto"/>
        </w:rPr>
        <w:t>The Administrator’s determination of the reason for termination of the Optionee’s service as a Director shall be conclusive and binding on the Optionee and his or her representatives or legatees.</w:t>
      </w:r>
    </w:p>
    <w:p>
      <w:pPr>
        <w:spacing w:after="0" w:line="175" w:lineRule="exact"/>
        <w:rPr>
          <w:sz w:val="20"/>
          <w:szCs w:val="20"/>
          <w:color w:val="auto"/>
        </w:rPr>
      </w:pPr>
    </w:p>
    <w:p>
      <w:pPr>
        <w:jc w:val="both"/>
        <w:ind w:right="200" w:firstLine="757"/>
        <w:spacing w:after="0" w:line="238" w:lineRule="auto"/>
        <w:tabs>
          <w:tab w:leader="none" w:pos="149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220" w:firstLine="757"/>
        <w:spacing w:after="0" w:line="238" w:lineRule="auto"/>
        <w:tabs>
          <w:tab w:leader="none" w:pos="149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firstLine="757"/>
        <w:spacing w:after="0" w:line="250" w:lineRule="auto"/>
        <w:tabs>
          <w:tab w:leader="none" w:pos="149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Stock Option confers upon the Optionee any rights with respect to continuance as a Director.</w:t>
      </w:r>
    </w:p>
    <w:p>
      <w:pPr>
        <w:spacing w:after="0" w:line="174" w:lineRule="exact"/>
        <w:rPr>
          <w:rFonts w:ascii="Arial" w:cs="Arial" w:eastAsia="Arial" w:hAnsi="Arial"/>
          <w:sz w:val="22"/>
          <w:szCs w:val="22"/>
          <w:color w:val="auto"/>
        </w:rPr>
      </w:pPr>
    </w:p>
    <w:p>
      <w:pPr>
        <w:ind w:right="400" w:firstLine="757"/>
        <w:spacing w:after="0" w:line="328" w:lineRule="auto"/>
        <w:tabs>
          <w:tab w:leader="none" w:pos="149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75" w:name="page176"/>
    <w:bookmarkEnd w:id="175"/>
    <w:p>
      <w:pPr>
        <w:ind w:firstLine="757"/>
        <w:spacing w:after="0" w:line="273" w:lineRule="auto"/>
        <w:tabs>
          <w:tab w:leader="none" w:pos="1498"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jc w:val="both"/>
        <w:ind w:right="140" w:firstLine="757"/>
        <w:spacing w:after="0"/>
        <w:tabs>
          <w:tab w:leader="none" w:pos="1498"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HUBSPOT, INC.</w:t>
      </w:r>
    </w:p>
    <w:p>
      <w:pPr>
        <w:spacing w:after="0" w:line="239"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6985</wp:posOffset>
            </wp:positionV>
            <wp:extent cx="25374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6985</wp:posOffset>
            </wp:positionV>
            <wp:extent cx="25374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0" w:firstLine="749"/>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Optionee’s Signature</w:t>
      </w:r>
    </w:p>
    <w:p>
      <w:pPr>
        <w:spacing w:after="0" w:line="215"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315595</wp:posOffset>
            </wp:positionV>
            <wp:extent cx="34886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8">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633095</wp:posOffset>
            </wp:positionV>
            <wp:extent cx="34886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176" w:name="page177"/>
    <w:bookmarkEnd w:id="176"/>
    <w:p>
      <w:pPr>
        <w:jc w:val="center"/>
        <w:ind w:left="340" w:right="2620"/>
        <w:spacing w:after="0" w:line="248" w:lineRule="auto"/>
        <w:rPr>
          <w:sz w:val="20"/>
          <w:szCs w:val="20"/>
          <w:color w:val="auto"/>
        </w:rPr>
      </w:pPr>
      <w:r>
        <w:rPr>
          <w:rFonts w:ascii="Arial" w:cs="Arial" w:eastAsia="Arial" w:hAnsi="Arial"/>
          <w:sz w:val="25"/>
          <w:szCs w:val="25"/>
          <w:b w:val="1"/>
          <w:bCs w:val="1"/>
          <w:color w:val="auto"/>
        </w:rPr>
        <w:t>RESTRICTED STOCK UNIT AWARD AGREEMENT FOR NON-EMPLOYEE DIRECTORS UNDER THE HUBSPOT, INC. 2014 STOCK OPTION AND INCENTIVE PLAN</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58420</wp:posOffset>
            </wp:positionV>
            <wp:extent cx="34886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0" w:firstLine="749"/>
        <w:spacing w:after="0" w:line="238"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120" w:firstLine="757"/>
        <w:spacing w:after="0" w:line="236" w:lineRule="auto"/>
        <w:tabs>
          <w:tab w:leader="none" w:pos="149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firstLine="757"/>
        <w:spacing w:after="0" w:line="238" w:lineRule="auto"/>
        <w:tabs>
          <w:tab w:leader="none" w:pos="149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Except as set forth below, and subject to the discretion of the Administrator (as defined in Section 2 of the Plan) to accelerate the vesting schedule hereunder, the restrictions and conditions of Paragraph 1 of this Agreement shall lapse and such Restricted Stock Units shall vest on [ ]. The Administrator may at any time accelerate the vesting schedule specified in this Paragraph 2.</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the Restricted Stock Units shall be deemed vested and nonforfeitable upon the date on which the Grantee’s service relationship with the Company and any subsidiary or successor entity, as the case may be, ends if the end of such service relationship occurs within 12 months after such Sale Event or 90 days prior to such Sale Event.</w:t>
      </w:r>
    </w:p>
    <w:p>
      <w:pPr>
        <w:spacing w:after="0" w:line="185" w:lineRule="exact"/>
        <w:rPr>
          <w:sz w:val="20"/>
          <w:szCs w:val="20"/>
          <w:color w:val="auto"/>
        </w:rPr>
      </w:pPr>
    </w:p>
    <w:p>
      <w:pPr>
        <w:ind w:right="100" w:firstLine="757"/>
        <w:spacing w:after="0" w:line="249" w:lineRule="auto"/>
        <w:tabs>
          <w:tab w:leader="none" w:pos="149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7" w:name="page178"/>
    <w:bookmarkEnd w:id="177"/>
    <w:p>
      <w:pPr>
        <w:ind w:right="60" w:firstLine="757"/>
        <w:spacing w:after="0" w:line="249" w:lineRule="auto"/>
        <w:tabs>
          <w:tab w:leader="none" w:pos="149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specified in Paragraph 2 (each such date, a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8" w:lineRule="exact"/>
        <w:rPr>
          <w:rFonts w:ascii="Arial" w:cs="Arial" w:eastAsia="Arial" w:hAnsi="Arial"/>
          <w:sz w:val="21"/>
          <w:szCs w:val="21"/>
          <w:color w:val="auto"/>
        </w:rPr>
      </w:pPr>
    </w:p>
    <w:p>
      <w:pPr>
        <w:ind w:right="140" w:firstLine="757"/>
        <w:spacing w:after="0" w:line="238" w:lineRule="auto"/>
        <w:tabs>
          <w:tab w:leader="none" w:pos="149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firstLine="757"/>
        <w:spacing w:after="0"/>
        <w:tabs>
          <w:tab w:leader="none" w:pos="149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right="180" w:firstLine="757"/>
        <w:spacing w:after="0" w:line="250" w:lineRule="auto"/>
        <w:tabs>
          <w:tab w:leader="none" w:pos="149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Award confers upon the Grantee any rights with respect to continuance as a Director.</w:t>
      </w:r>
    </w:p>
    <w:p>
      <w:pPr>
        <w:spacing w:after="0" w:line="174" w:lineRule="exact"/>
        <w:rPr>
          <w:rFonts w:ascii="Arial" w:cs="Arial" w:eastAsia="Arial" w:hAnsi="Arial"/>
          <w:sz w:val="22"/>
          <w:szCs w:val="22"/>
          <w:color w:val="auto"/>
        </w:rPr>
      </w:pPr>
    </w:p>
    <w:p>
      <w:pPr>
        <w:ind w:firstLine="757"/>
        <w:spacing w:after="0" w:line="274" w:lineRule="auto"/>
        <w:tabs>
          <w:tab w:leader="none" w:pos="149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80" w:firstLine="757"/>
        <w:spacing w:after="0" w:line="273" w:lineRule="auto"/>
        <w:tabs>
          <w:tab w:leader="none" w:pos="149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78" w:name="page179"/>
    <w:bookmarkEnd w:id="178"/>
    <w:p>
      <w:pPr>
        <w:ind w:firstLine="757"/>
        <w:spacing w:after="0"/>
        <w:tabs>
          <w:tab w:leader="none" w:pos="149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wp:posOffset>
            </wp:positionV>
            <wp:extent cx="319722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Title:</w:t>
      </w:r>
    </w:p>
    <w:p>
      <w:pPr>
        <w:spacing w:after="0" w:line="233"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31"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Grantee’s Signature</w:t>
      </w:r>
    </w:p>
    <w:p>
      <w:pPr>
        <w:spacing w:after="0" w:line="233"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315595</wp:posOffset>
            </wp:positionV>
            <wp:extent cx="34886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8">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633095</wp:posOffset>
            </wp:positionV>
            <wp:extent cx="34886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25"/>
          <w:szCs w:val="25"/>
          <w:b w:val="1"/>
          <w:bCs w:val="1"/>
          <w:color w:val="auto"/>
        </w:rPr>
        <w:t>RESTRICTED STOCK AWARD AGREEMENT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HUBSPOT, INC.</w:t>
      </w:r>
    </w:p>
    <w:p>
      <w:pPr>
        <w:jc w:val="center"/>
        <w:ind w:right="-19"/>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67310</wp:posOffset>
            </wp:positionV>
            <wp:extent cx="34886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94" w:lineRule="exact"/>
        <w:rPr>
          <w:sz w:val="20"/>
          <w:szCs w:val="20"/>
          <w:color w:val="auto"/>
        </w:rPr>
      </w:pPr>
    </w:p>
    <w:p>
      <w:pPr>
        <w:ind w:right="220" w:firstLine="749"/>
        <w:spacing w:after="0" w:line="234" w:lineRule="auto"/>
        <w:rPr>
          <w:sz w:val="20"/>
          <w:szCs w:val="20"/>
          <w:color w:val="auto"/>
        </w:rPr>
      </w:pPr>
      <w:r>
        <w:rPr>
          <w:rFonts w:ascii="Arial" w:cs="Arial" w:eastAsia="Arial" w:hAnsi="Arial"/>
          <w:sz w:val="22"/>
          <w:szCs w:val="22"/>
          <w:color w:val="auto"/>
        </w:rPr>
        <w:t>Pursuant to the HubSpot, Inc. 2014 Stock Option and Incentive Plan (the “Plan”) as amended through the date hereof, HubSpot,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91" w:lineRule="exact"/>
        <w:rPr>
          <w:sz w:val="20"/>
          <w:szCs w:val="20"/>
          <w:color w:val="auto"/>
        </w:rPr>
      </w:pPr>
    </w:p>
    <w:p>
      <w:pPr>
        <w:ind w:firstLine="757"/>
        <w:spacing w:after="0" w:line="282" w:lineRule="auto"/>
        <w:tabs>
          <w:tab w:leader="none" w:pos="149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7" w:lineRule="exact"/>
        <w:rPr>
          <w:rFonts w:ascii="Arial" w:cs="Arial" w:eastAsia="Arial" w:hAnsi="Arial"/>
          <w:sz w:val="19"/>
          <w:szCs w:val="19"/>
          <w:color w:val="auto"/>
        </w:rPr>
      </w:pPr>
    </w:p>
    <w:p>
      <w:pPr>
        <w:ind w:left="1500" w:hanging="743"/>
        <w:spacing w:after="0"/>
        <w:tabs>
          <w:tab w:leader="none" w:pos="15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340" w:firstLine="1505"/>
        <w:spacing w:after="0"/>
        <w:tabs>
          <w:tab w:leader="none" w:pos="299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86" w:lineRule="exact"/>
        <w:rPr>
          <w:rFonts w:ascii="Arial" w:cs="Arial" w:eastAsia="Arial" w:hAnsi="Arial"/>
          <w:sz w:val="22"/>
          <w:szCs w:val="22"/>
          <w:color w:val="auto"/>
        </w:rPr>
      </w:pPr>
    </w:p>
    <w:p>
      <w:pPr>
        <w:ind w:right="300" w:firstLine="1505"/>
        <w:spacing w:after="0" w:line="250" w:lineRule="auto"/>
        <w:tabs>
          <w:tab w:leader="none" w:pos="299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74" w:lineRule="exact"/>
        <w:rPr>
          <w:rFonts w:ascii="Arial" w:cs="Arial" w:eastAsia="Arial" w:hAnsi="Arial"/>
          <w:sz w:val="22"/>
          <w:szCs w:val="22"/>
          <w:color w:val="auto"/>
        </w:rPr>
      </w:pPr>
    </w:p>
    <w:p>
      <w:pPr>
        <w:ind w:right="20" w:firstLine="1505"/>
        <w:spacing w:after="0" w:line="238" w:lineRule="auto"/>
        <w:tabs>
          <w:tab w:leader="none" w:pos="299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If the Grantee’s employment with the Company and its Subsidiaries is voluntarily or involuntarily terminated for any reason (including death) prior to vesting of shares of Restricted Stock granted herein (after giving effect to any accelerated vesting in Section 3 below), all shares of Restricted Stock shall immediately and automatically be forfeited and returned to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ind w:right="20" w:firstLine="757"/>
        <w:spacing w:after="0" w:line="249" w:lineRule="auto"/>
        <w:tabs>
          <w:tab w:leader="none" w:pos="149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Vesting of Restricted Stock</w:t>
      </w:r>
      <w:r>
        <w:rPr>
          <w:rFonts w:ascii="Arial" w:cs="Arial" w:eastAsia="Arial" w:hAnsi="Arial"/>
          <w:sz w:val="21"/>
          <w:szCs w:val="21"/>
          <w:color w:val="auto"/>
        </w:rPr>
        <w:t>. The restrictions and conditions in Paragraph 2 of this Agreement shall lapse as to the Shares and such Shares shall vest [in [ ] installments] following the Vesting Commencement Date, provided that the Grantee remains an employee of the Company or a Subsidiary on such dates. 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78" w:lineRule="exact"/>
        <w:rPr>
          <w:sz w:val="20"/>
          <w:szCs w:val="20"/>
          <w:color w:val="auto"/>
        </w:rPr>
      </w:pPr>
    </w:p>
    <w:p>
      <w:pPr>
        <w:ind w:right="40" w:firstLine="749"/>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shall be deemed vested and exercisable upon the date on which the Grantee’s employment or service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Grantee for Good Reason.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120"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ind w:right="60" w:firstLine="8"/>
        <w:spacing w:after="0" w:line="273" w:lineRule="auto"/>
        <w:tabs>
          <w:tab w:leader="none" w:pos="31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(including, but not limited to, any violation of the Company’s code of conduct, insider trading, willful accounting improprieties or failure to cooperate with investigations); or (v) the Grantee’s material violation of any provision of any agreement(s) between the Grantee and the Company relating to noncompetition, nonsolicitation, nondisclosure and/or assignment of inventions.</w:t>
      </w:r>
    </w:p>
    <w:p>
      <w:pPr>
        <w:spacing w:after="0" w:line="159"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shall mean (i) a material diminution in the Grantee’s base salary except for across-the-board salary</w:t>
      </w:r>
      <w:r>
        <w:rPr>
          <w:rFonts w:ascii="Arial" w:cs="Arial" w:eastAsia="Arial" w:hAnsi="Arial"/>
          <w:sz w:val="22"/>
          <w:szCs w:val="22"/>
          <w:i w:val="1"/>
          <w:iCs w:val="1"/>
          <w:color w:val="auto"/>
        </w:rPr>
        <w:t xml:space="preserve"> </w:t>
      </w:r>
      <w:r>
        <w:rPr>
          <w:rFonts w:ascii="Arial" w:cs="Arial" w:eastAsia="Arial" w:hAnsi="Arial"/>
          <w:sz w:val="22"/>
          <w:szCs w:val="22"/>
          <w:color w:val="auto"/>
        </w:rPr>
        <w:t>reductions similarly affecting all or substantially all similarly situated employees of the Company or (ii) a change of more than 50 miles in the geographic location at which the Grantee provides services to the Company, so long as the Grantee provides notice to the Company within at least 90 days following the initial occurrence of any such event and the Company fails to cure such event within 30 days of such notice.</w:t>
      </w:r>
    </w:p>
    <w:p>
      <w:pPr>
        <w:spacing w:after="0" w:line="187" w:lineRule="exact"/>
        <w:rPr>
          <w:sz w:val="20"/>
          <w:szCs w:val="20"/>
          <w:color w:val="auto"/>
        </w:rPr>
      </w:pPr>
    </w:p>
    <w:p>
      <w:pPr>
        <w:ind w:left="1500" w:hanging="743"/>
        <w:spacing w:after="0"/>
        <w:tabs>
          <w:tab w:leader="none" w:pos="150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06" w:lineRule="exact"/>
        <w:rPr>
          <w:rFonts w:ascii="Arial" w:cs="Arial" w:eastAsia="Arial" w:hAnsi="Arial"/>
          <w:sz w:val="22"/>
          <w:szCs w:val="22"/>
          <w:color w:val="auto"/>
        </w:rPr>
      </w:pPr>
    </w:p>
    <w:p>
      <w:pPr>
        <w:ind w:right="300" w:firstLine="757"/>
        <w:spacing w:after="0" w:line="238" w:lineRule="auto"/>
        <w:tabs>
          <w:tab w:leader="none" w:pos="1498"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ind w:right="440" w:firstLine="757"/>
        <w:spacing w:after="0" w:line="328" w:lineRule="auto"/>
        <w:tabs>
          <w:tab w:leader="none" w:pos="149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Grantee, is non-assignable and is not transferable in any manner, by operation of law or otherwise, other than by will or the laws of descent and distribution.</w:t>
      </w:r>
    </w:p>
    <w:p>
      <w:pPr>
        <w:spacing w:after="0" w:line="104" w:lineRule="exact"/>
        <w:rPr>
          <w:rFonts w:ascii="Arial" w:cs="Arial" w:eastAsia="Arial" w:hAnsi="Arial"/>
          <w:sz w:val="19"/>
          <w:szCs w:val="19"/>
          <w:color w:val="auto"/>
        </w:rPr>
      </w:pPr>
    </w:p>
    <w:p>
      <w:pPr>
        <w:ind w:right="180" w:firstLine="757"/>
        <w:spacing w:after="0" w:line="234" w:lineRule="auto"/>
        <w:tabs>
          <w:tab w:leader="none" w:pos="149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90" w:lineRule="exact"/>
        <w:rPr>
          <w:rFonts w:ascii="Arial" w:cs="Arial" w:eastAsia="Arial" w:hAnsi="Arial"/>
          <w:sz w:val="22"/>
          <w:szCs w:val="22"/>
          <w:color w:val="auto"/>
        </w:rPr>
      </w:pPr>
    </w:p>
    <w:p>
      <w:pPr>
        <w:ind w:right="120" w:firstLine="757"/>
        <w:spacing w:after="0" w:line="279" w:lineRule="auto"/>
        <w:tabs>
          <w:tab w:leader="none" w:pos="149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Election Under Section 83(b)</w:t>
      </w:r>
      <w:r>
        <w:rPr>
          <w:rFonts w:ascii="Arial" w:cs="Arial" w:eastAsia="Arial" w:hAnsi="Arial"/>
          <w:sz w:val="19"/>
          <w:szCs w:val="19"/>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50" w:lineRule="exact"/>
        <w:rPr>
          <w:rFonts w:ascii="Arial" w:cs="Arial" w:eastAsia="Arial" w:hAnsi="Arial"/>
          <w:sz w:val="19"/>
          <w:szCs w:val="19"/>
          <w:color w:val="auto"/>
        </w:rPr>
      </w:pPr>
    </w:p>
    <w:p>
      <w:pPr>
        <w:ind w:right="20" w:firstLine="757"/>
        <w:spacing w:after="0" w:line="297" w:lineRule="auto"/>
        <w:tabs>
          <w:tab w:leader="none" w:pos="149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33" w:lineRule="exact"/>
        <w:rPr>
          <w:rFonts w:ascii="Arial" w:cs="Arial" w:eastAsia="Arial" w:hAnsi="Arial"/>
          <w:sz w:val="19"/>
          <w:szCs w:val="19"/>
          <w:color w:val="auto"/>
        </w:rPr>
      </w:pPr>
    </w:p>
    <w:p>
      <w:pPr>
        <w:ind w:firstLine="757"/>
        <w:spacing w:after="0" w:line="274" w:lineRule="auto"/>
        <w:tabs>
          <w:tab w:leader="none" w:pos="149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80" w:firstLine="757"/>
        <w:spacing w:after="0" w:line="273" w:lineRule="auto"/>
        <w:tabs>
          <w:tab w:leader="none" w:pos="149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82" w:name="page183"/>
    <w:bookmarkEnd w:id="182"/>
    <w:p>
      <w:pPr>
        <w:jc w:val="both"/>
        <w:ind w:right="180" w:firstLine="757"/>
        <w:spacing w:after="0" w:line="238"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Notwithstanding anything herein to the contrary, this Restricted Stock Award shall be subject to and governed by all the terms and conditions of the Company’s Policy for Recoupment of Incentive Compensation, including the powers of the Company to recoup incentive compensation stated therein.]</w:t>
      </w:r>
    </w:p>
    <w:p>
      <w:pPr>
        <w:spacing w:after="0" w:line="184" w:lineRule="exact"/>
        <w:rPr>
          <w:rFonts w:ascii="Arial" w:cs="Arial" w:eastAsia="Arial" w:hAnsi="Arial"/>
          <w:sz w:val="22"/>
          <w:szCs w:val="22"/>
          <w:color w:val="auto"/>
        </w:rPr>
      </w:pPr>
    </w:p>
    <w:p>
      <w:pPr>
        <w:ind w:firstLine="757"/>
        <w:spacing w:after="0"/>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HUBSPOT, INC.</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6985</wp:posOffset>
            </wp:positionV>
            <wp:extent cx="24771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27"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6985</wp:posOffset>
            </wp:positionV>
            <wp:extent cx="247713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Signature</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315595</wp:posOffset>
            </wp:positionV>
            <wp:extent cx="356616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633095</wp:posOffset>
            </wp:positionV>
            <wp:extent cx="356616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949960</wp:posOffset>
            </wp:positionV>
            <wp:extent cx="356616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color w:val="auto"/>
        </w:rPr>
        <w:t>Exhibit 10.10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HUBSPOT,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 CASH INCENTIVE BONUS PLAN</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Purpose</w:t>
      </w:r>
      <w:r>
        <w:rPr>
          <w:rFonts w:ascii="Arial" w:cs="Arial" w:eastAsia="Arial" w:hAnsi="Arial"/>
          <w:sz w:val="19"/>
          <w:szCs w:val="19"/>
          <w:color w:val="auto"/>
        </w:rPr>
        <w:t>. This Management Cash Incentive Bonus Plan (the “</w:t>
      </w:r>
      <w:r>
        <w:rPr>
          <w:rFonts w:ascii="Arial" w:cs="Arial" w:eastAsia="Arial" w:hAnsi="Arial"/>
          <w:sz w:val="19"/>
          <w:szCs w:val="19"/>
          <w:b w:val="1"/>
          <w:bCs w:val="1"/>
          <w:i w:val="1"/>
          <w:iCs w:val="1"/>
          <w:color w:val="auto"/>
        </w:rPr>
        <w:t>Incentive Plan</w:t>
      </w:r>
      <w:r>
        <w:rPr>
          <w:rFonts w:ascii="Arial" w:cs="Arial" w:eastAsia="Arial" w:hAnsi="Arial"/>
          <w:sz w:val="19"/>
          <w:szCs w:val="19"/>
          <w:color w:val="auto"/>
        </w:rPr>
        <w:t>”) is intended to provide an incentive for superior work and to motivate eligible management employees of HubSpot, Inc. and its subsidiaries (together,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toward even higher achievement and business results, to tie their goals and interests to those of the Company and its stockholders and to enable the Company to attract and retain highly qualified management employees. The Incentive Plan is for the benefit of Covered Employees (as defined below). This Management Cash Incentive Bonus Plan amends, restates and supersedes the Company’s Senior Executive Cash Incentive Bonus Plan adopted on August 20, 2014 (the “Prior Plan”). References to the Prior Plan in any outstanding agreements between a Covered Employee and the Company shall be deemed to refer to this Incentive Plan, as applicable.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2.</w:t>
      </w:r>
      <w:r>
        <w:rPr>
          <w:rFonts w:ascii="Arial" w:cs="Arial" w:eastAsia="Arial" w:hAnsi="Arial"/>
          <w:sz w:val="20"/>
          <w:szCs w:val="20"/>
          <w:u w:val="single" w:color="auto"/>
          <w:color w:val="auto"/>
        </w:rPr>
        <w:t>Covered Employees</w:t>
      </w:r>
      <w:r>
        <w:rPr>
          <w:rFonts w:ascii="Arial" w:cs="Arial" w:eastAsia="Arial" w:hAnsi="Arial"/>
          <w:sz w:val="20"/>
          <w:szCs w:val="20"/>
          <w:color w:val="auto"/>
        </w:rPr>
        <w:t>. From time to time, the Compensation Committee of the Board of Directors of the Company (the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may select certain key management employees (the “</w:t>
      </w:r>
      <w:r>
        <w:rPr>
          <w:rFonts w:ascii="Arial" w:cs="Arial" w:eastAsia="Arial" w:hAnsi="Arial"/>
          <w:sz w:val="20"/>
          <w:szCs w:val="20"/>
          <w:b w:val="1"/>
          <w:bCs w:val="1"/>
          <w:i w:val="1"/>
          <w:iCs w:val="1"/>
          <w:color w:val="auto"/>
        </w:rPr>
        <w:t>Covered Employees</w:t>
      </w:r>
      <w:r>
        <w:rPr>
          <w:rFonts w:ascii="Arial" w:cs="Arial" w:eastAsia="Arial" w:hAnsi="Arial"/>
          <w:sz w:val="20"/>
          <w:szCs w:val="20"/>
          <w:color w:val="auto"/>
        </w:rPr>
        <w:t>”) to be eligible to receive bonuses hereunder. Except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may otherwise be provided by an applicable agreement, participation in this Incentive Plan does not change the “at will” nature of a Covered Employee’s employment with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Administration</w:t>
      </w:r>
      <w:r>
        <w:rPr>
          <w:rFonts w:ascii="Arial" w:cs="Arial" w:eastAsia="Arial" w:hAnsi="Arial"/>
          <w:sz w:val="18"/>
          <w:szCs w:val="18"/>
          <w:color w:val="auto"/>
        </w:rPr>
        <w:t>. The Compensation Committee shall have the sole discretion and authority to administer and interpret the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4.</w:t>
      </w:r>
      <w:r>
        <w:rPr>
          <w:rFonts w:ascii="Arial" w:cs="Arial" w:eastAsia="Arial" w:hAnsi="Arial"/>
          <w:sz w:val="20"/>
          <w:szCs w:val="20"/>
          <w:u w:val="single" w:color="auto"/>
          <w:color w:val="auto"/>
        </w:rPr>
        <w:t>Bonus Determinations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9" w:lineRule="auto"/>
        <w:tabs>
          <w:tab w:leader="none" w:pos="14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Corporate Performance Goals</w:t>
      </w:r>
      <w:r>
        <w:rPr>
          <w:rFonts w:ascii="Arial" w:cs="Arial" w:eastAsia="Arial" w:hAnsi="Arial"/>
          <w:sz w:val="19"/>
          <w:szCs w:val="19"/>
          <w:color w:val="auto"/>
        </w:rPr>
        <w:t>. A Covered Employee may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Arial" w:cs="Arial" w:eastAsia="Arial" w:hAnsi="Arial"/>
          <w:sz w:val="19"/>
          <w:szCs w:val="19"/>
          <w:b w:val="1"/>
          <w:bCs w:val="1"/>
          <w:i w:val="1"/>
          <w:iCs w:val="1"/>
          <w:color w:val="auto"/>
        </w:rPr>
        <w:t>Corporate Performance Goals</w:t>
      </w:r>
      <w:r>
        <w:rPr>
          <w:rFonts w:ascii="Arial" w:cs="Arial" w:eastAsia="Arial" w:hAnsi="Arial"/>
          <w:sz w:val="19"/>
          <w:szCs w:val="19"/>
          <w:color w:val="auto"/>
        </w:rPr>
        <w:t>”), including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Employee to Covered Employee.</w:t>
      </w:r>
    </w:p>
    <w:p>
      <w:pPr>
        <w:spacing w:after="0" w:line="192" w:lineRule="exact"/>
        <w:rPr>
          <w:rFonts w:ascii="Arial" w:cs="Arial" w:eastAsia="Arial" w:hAnsi="Arial"/>
          <w:sz w:val="19"/>
          <w:szCs w:val="19"/>
          <w:color w:val="auto"/>
        </w:rPr>
      </w:pPr>
    </w:p>
    <w:p>
      <w:pPr>
        <w:jc w:val="both"/>
        <w:ind w:firstLine="757"/>
        <w:spacing w:after="0" w:line="248" w:lineRule="auto"/>
        <w:tabs>
          <w:tab w:leader="none" w:pos="14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Calculation of Corporate Performance Goals</w:t>
      </w:r>
      <w:r>
        <w:rPr>
          <w:rFonts w:ascii="Arial" w:cs="Arial" w:eastAsia="Arial" w:hAnsi="Arial"/>
          <w:sz w:val="19"/>
          <w:szCs w:val="19"/>
          <w:color w:val="auto"/>
        </w:rPr>
        <w:t>. At the beginning of each applicable performance period, the Compensation Committee will determine whether any significant element(s) will be included in or excluded from the calculation of any Corporate Performance Goal with respect to any Covered Employee. In all other respects, Corporate Performance Goals will be calculated in accordance with the Company’s financial statements, generally accepted accounting principles, or under a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spacing w:after="0" w:line="246" w:lineRule="auto"/>
        <w:rPr>
          <w:sz w:val="20"/>
          <w:szCs w:val="20"/>
          <w:color w:val="auto"/>
        </w:rPr>
      </w:pPr>
      <w:r>
        <w:rPr>
          <w:rFonts w:ascii="Arial" w:cs="Arial" w:eastAsia="Arial" w:hAnsi="Arial"/>
          <w:sz w:val="20"/>
          <w:szCs w:val="20"/>
          <w:color w:val="auto"/>
        </w:rPr>
        <w:t>established by the Compensation Committee at the beginning of the performance period and which is consistently applied with respect to a Corporate Performance Goal in the relevant performance period.</w:t>
      </w:r>
    </w:p>
    <w:p>
      <w:pPr>
        <w:spacing w:after="0" w:line="177" w:lineRule="exact"/>
        <w:rPr>
          <w:sz w:val="20"/>
          <w:szCs w:val="20"/>
          <w:color w:val="auto"/>
        </w:rPr>
      </w:pPr>
    </w:p>
    <w:p>
      <w:pPr>
        <w:ind w:right="20" w:firstLine="757"/>
        <w:spacing w:after="0" w:line="246" w:lineRule="auto"/>
        <w:tabs>
          <w:tab w:leader="none" w:pos="1498"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Target; Minimum; Maximum</w:t>
      </w:r>
      <w:r>
        <w:rPr>
          <w:rFonts w:ascii="Arial" w:cs="Arial" w:eastAsia="Arial" w:hAnsi="Arial"/>
          <w:sz w:val="20"/>
          <w:szCs w:val="20"/>
          <w:color w:val="auto"/>
        </w:rPr>
        <w:t>. Each Corporate Performance Goal shall have a “target” (100 percent attainment of the Corporate Performance Goal) and may also have a “minimum” hurdle and/or a “maximum” amount.</w:t>
      </w:r>
    </w:p>
    <w:p>
      <w:pPr>
        <w:spacing w:after="0" w:line="176" w:lineRule="exact"/>
        <w:rPr>
          <w:rFonts w:ascii="Arial" w:cs="Arial" w:eastAsia="Arial" w:hAnsi="Arial"/>
          <w:sz w:val="20"/>
          <w:szCs w:val="20"/>
          <w:color w:val="auto"/>
        </w:rPr>
      </w:pPr>
    </w:p>
    <w:p>
      <w:pPr>
        <w:jc w:val="both"/>
        <w:ind w:firstLine="757"/>
        <w:spacing w:after="0" w:line="293" w:lineRule="auto"/>
        <w:tabs>
          <w:tab w:leader="none" w:pos="1498"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Bonus Requirements; Individual Goals</w:t>
      </w:r>
      <w:r>
        <w:rPr>
          <w:rFonts w:ascii="Arial" w:cs="Arial" w:eastAsia="Arial" w:hAnsi="Arial"/>
          <w:sz w:val="16"/>
          <w:szCs w:val="16"/>
          <w:color w:val="auto"/>
        </w:rPr>
        <w:t>. Except as otherwise set forth in this Section 4(d): (i) any bonuses paid to Covered Employees under the Incentive Plan shall be based upon objectively determinable bonus formulas that tie such bonuses to one or more performance targets relating to the Corporate Performance Goals, (ii) bonus formulas for Covered Employees shall be adopted in each performance period by the Compensation Committee and communicated to each Covered Employee at the beginning of each performance period and (iii) no bonuses shall be paid to Covered Employees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Employees under the Incentive Plan based on individual performance goals and/or upon such other terms and conditions as the Compensation Committee may in its discretion determine.</w:t>
      </w:r>
    </w:p>
    <w:p>
      <w:pPr>
        <w:spacing w:after="0" w:line="363" w:lineRule="exact"/>
        <w:rPr>
          <w:rFonts w:ascii="Arial" w:cs="Arial" w:eastAsia="Arial" w:hAnsi="Arial"/>
          <w:sz w:val="16"/>
          <w:szCs w:val="16"/>
          <w:color w:val="auto"/>
        </w:rPr>
      </w:pPr>
    </w:p>
    <w:p>
      <w:pPr>
        <w:jc w:val="both"/>
        <w:ind w:firstLine="757"/>
        <w:spacing w:after="0" w:line="234" w:lineRule="auto"/>
        <w:tabs>
          <w:tab w:leader="none" w:pos="1498"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Individual Target Bonuses</w:t>
      </w:r>
      <w:r>
        <w:rPr>
          <w:rFonts w:ascii="Arial" w:cs="Arial" w:eastAsia="Arial" w:hAnsi="Arial"/>
          <w:sz w:val="20"/>
          <w:szCs w:val="20"/>
          <w:color w:val="auto"/>
        </w:rPr>
        <w:t>. The Compensation Committee shall establish a target bonus opportunity for each Covered Employee for each performance period. For each Covered Employee,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83" w:lineRule="exact"/>
        <w:rPr>
          <w:rFonts w:ascii="Arial" w:cs="Arial" w:eastAsia="Arial" w:hAnsi="Arial"/>
          <w:sz w:val="20"/>
          <w:szCs w:val="20"/>
          <w:color w:val="auto"/>
        </w:rPr>
      </w:pPr>
    </w:p>
    <w:p>
      <w:pPr>
        <w:jc w:val="both"/>
        <w:ind w:firstLine="757"/>
        <w:spacing w:after="0" w:line="267" w:lineRule="auto"/>
        <w:tabs>
          <w:tab w:leader="none" w:pos="149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Employment Requirement</w:t>
      </w:r>
      <w:r>
        <w:rPr>
          <w:rFonts w:ascii="Arial" w:cs="Arial" w:eastAsia="Arial" w:hAnsi="Arial"/>
          <w:sz w:val="18"/>
          <w:szCs w:val="18"/>
          <w:color w:val="auto"/>
        </w:rPr>
        <w:t>. Subject to any additional terms contained in a written agreement between the Covered Employee and the Company, the payment of a bonus to a Covered Employee with respect to a performance period shall be conditioned upon the Covered Employee’s employment by the Company on the bonus payment date. If a Covered Employee was not employed for an entire performance period, the Compensation Committee may pro rate the bonus based on the number of days employed during such period.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u w:val="single" w:color="auto"/>
          <w:color w:val="auto"/>
        </w:rPr>
        <w:t>Timing of Payment</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2" w:lineRule="auto"/>
        <w:tabs>
          <w:tab w:leader="none" w:pos="149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84" w:lineRule="exact"/>
        <w:rPr>
          <w:rFonts w:ascii="Arial" w:cs="Arial" w:eastAsia="Arial" w:hAnsi="Arial"/>
          <w:sz w:val="20"/>
          <w:szCs w:val="20"/>
          <w:color w:val="auto"/>
        </w:rPr>
      </w:pPr>
    </w:p>
    <w:p>
      <w:pPr>
        <w:jc w:val="both"/>
        <w:ind w:firstLine="757"/>
        <w:spacing w:after="0" w:line="267" w:lineRule="auto"/>
        <w:tabs>
          <w:tab w:leader="none" w:pos="14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 or individual goals for any such period are met, bonus payments will be made as soon as practicable, but not later than 74 days after the end of the relevant fiscal year.</w:t>
      </w:r>
    </w:p>
    <w:p>
      <w:pPr>
        <w:spacing w:after="0" w:line="158" w:lineRule="exact"/>
        <w:rPr>
          <w:rFonts w:ascii="Arial" w:cs="Arial" w:eastAsia="Arial" w:hAnsi="Arial"/>
          <w:sz w:val="18"/>
          <w:szCs w:val="18"/>
          <w:color w:val="auto"/>
        </w:rPr>
      </w:pPr>
    </w:p>
    <w:p>
      <w:pPr>
        <w:ind w:left="1500" w:hanging="743"/>
        <w:spacing w:after="0"/>
        <w:tabs>
          <w:tab w:leader="none" w:pos="15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the avoidance of doubt, bonuses earned at any time in a fiscal year must be paid no later than 74 days after the last day</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such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Company reserves the right to amend or terminate the Incentive Plan at any time in its sole discretion.</w:t>
      </w:r>
    </w:p>
    <w:p>
      <w:pPr>
        <w:sectPr>
          <w:pgSz w:w="11900" w:h="16838" w:orient="portrait"/>
          <w:cols w:equalWidth="0" w:num="1">
            <w:col w:w="11060"/>
          </w:cols>
          <w:pgMar w:left="320" w:top="36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6" w:right="519" w:bottom="1440" w:gutter="0" w:footer="0" w:header="0"/>
          <w:type w:val="continuous"/>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10.13</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HUBSPOT,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1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purpose of this Director Compensation Policy of HubSpot, Inc. (the “</w:t>
      </w:r>
      <w:r>
        <w:rPr>
          <w:rFonts w:ascii="Arial" w:cs="Arial" w:eastAsia="Arial" w:hAnsi="Arial"/>
          <w:sz w:val="16"/>
          <w:szCs w:val="16"/>
          <w:b w:val="1"/>
          <w:bCs w:val="1"/>
          <w:color w:val="auto"/>
        </w:rPr>
        <w:t>Company</w:t>
      </w:r>
      <w:r>
        <w:rPr>
          <w:rFonts w:ascii="Arial" w:cs="Arial" w:eastAsia="Arial" w:hAnsi="Arial"/>
          <w:sz w:val="16"/>
          <w:szCs w:val="16"/>
          <w:color w:val="auto"/>
        </w:rPr>
        <w:t>”), is to provide a total compensation package that enables the Company to attract and retain, on a long-term basis, high-caliber directors who are not employees or officers of the Company or its subsidiaries. In furtherance of the purpose stated above, all non-employee directors shall be paid compensation for services provided to the Company as set forth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Retainers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Annual Retainer for Board Membership</w:t>
      </w:r>
      <w:r>
        <w:rPr>
          <w:rFonts w:ascii="Arial" w:cs="Arial" w:eastAsia="Arial" w:hAnsi="Arial"/>
          <w:sz w:val="18"/>
          <w:szCs w:val="18"/>
          <w:color w:val="auto"/>
        </w:rPr>
        <w:t>: $35,000 for general availability and participation in meetings and conference calls of the Board of Directors, to be paid quarterly in advance.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Retainer for Lead Independent Director</w:t>
      </w:r>
      <w:r>
        <w:rPr>
          <w:rFonts w:ascii="Arial" w:cs="Arial" w:eastAsia="Arial" w:hAnsi="Arial"/>
          <w:sz w:val="18"/>
          <w:szCs w:val="18"/>
          <w:color w:val="auto"/>
        </w:rPr>
        <w:t>: $20,000 to be paid quarterly, in advance.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Retainers for Committee Membership to be paid quarterly, in advance:</w:t>
      </w:r>
    </w:p>
    <w:p>
      <w:pPr>
        <w:spacing w:after="0" w:line="200" w:lineRule="exact"/>
        <w:rPr>
          <w:sz w:val="20"/>
          <w:szCs w:val="20"/>
          <w:color w:val="auto"/>
        </w:rPr>
      </w:pPr>
    </w:p>
    <w:p>
      <w:pPr>
        <w:spacing w:after="0" w:line="291"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Audit Committee Chairperson:</w:t>
            </w:r>
          </w:p>
        </w:tc>
        <w:tc>
          <w:tcPr>
            <w:tcW w:w="21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89"/>
                <w:shd w:val="clear" w:color="auto" w:fill="CCEEFF"/>
              </w:rPr>
              <w:t>$20,000</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Audit Committee member:</w:t>
            </w:r>
          </w:p>
        </w:tc>
        <w:tc>
          <w:tcPr>
            <w:tcW w:w="2140" w:type="dxa"/>
            <w:vAlign w:val="bottom"/>
            <w:gridSpan w:val="2"/>
          </w:tcPr>
          <w:p>
            <w:pPr>
              <w:ind w:left="1540"/>
              <w:spacing w:after="0" w:line="202" w:lineRule="exact"/>
              <w:rPr>
                <w:sz w:val="20"/>
                <w:szCs w:val="20"/>
                <w:color w:val="auto"/>
              </w:rPr>
            </w:pPr>
            <w:r>
              <w:rPr>
                <w:rFonts w:ascii="Arial" w:cs="Arial" w:eastAsia="Arial" w:hAnsi="Arial"/>
                <w:sz w:val="18"/>
                <w:szCs w:val="18"/>
                <w:color w:val="auto"/>
                <w:w w:val="89"/>
              </w:rPr>
              <w:t>$10,000</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shd w:val="clear" w:color="auto" w:fill="CCEEFF"/>
              </w:rPr>
              <w:t>Compensation Committee Chairperson:</w:t>
            </w:r>
          </w:p>
        </w:tc>
        <w:tc>
          <w:tcPr>
            <w:tcW w:w="2140" w:type="dxa"/>
            <w:vAlign w:val="bottom"/>
            <w:gridSpan w:val="2"/>
            <w:shd w:val="clear" w:color="auto" w:fill="CCEEFF"/>
          </w:tcPr>
          <w:p>
            <w:pPr>
              <w:ind w:left="1540"/>
              <w:spacing w:after="0" w:line="202" w:lineRule="exact"/>
              <w:rPr>
                <w:sz w:val="20"/>
                <w:szCs w:val="20"/>
                <w:color w:val="auto"/>
              </w:rPr>
            </w:pPr>
            <w:r>
              <w:rPr>
                <w:rFonts w:ascii="Arial" w:cs="Arial" w:eastAsia="Arial" w:hAnsi="Arial"/>
                <w:sz w:val="18"/>
                <w:szCs w:val="18"/>
                <w:color w:val="auto"/>
                <w:w w:val="89"/>
                <w:shd w:val="clear" w:color="auto" w:fill="CCEEFF"/>
              </w:rPr>
              <w:t>$15,000</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Compensation Committee member:</w:t>
            </w:r>
          </w:p>
        </w:tc>
        <w:tc>
          <w:tcPr>
            <w:tcW w:w="1680" w:type="dxa"/>
            <w:vAlign w:val="bottom"/>
          </w:tcPr>
          <w:p>
            <w:pPr>
              <w:ind w:left="15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w w:val="88"/>
              </w:rPr>
              <w:t>7,500</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shd w:val="clear" w:color="auto" w:fill="CCEEFF"/>
              </w:rPr>
              <w:t>Nominating and ESG Committee Chairperson:</w:t>
            </w:r>
          </w:p>
        </w:tc>
        <w:tc>
          <w:tcPr>
            <w:tcW w:w="1680" w:type="dxa"/>
            <w:vAlign w:val="bottom"/>
            <w:shd w:val="clear" w:color="auto" w:fill="CCEEFF"/>
          </w:tcPr>
          <w:p>
            <w:pPr>
              <w:ind w:left="1540"/>
              <w:spacing w:after="0" w:line="202" w:lineRule="exact"/>
              <w:rPr>
                <w:sz w:val="20"/>
                <w:szCs w:val="20"/>
                <w:color w:val="auto"/>
              </w:rPr>
            </w:pPr>
            <w:r>
              <w:rPr>
                <w:rFonts w:ascii="Arial" w:cs="Arial" w:eastAsia="Arial" w:hAnsi="Arial"/>
                <w:sz w:val="18"/>
                <w:szCs w:val="18"/>
                <w:color w:val="auto"/>
                <w:shd w:val="clear" w:color="auto" w:fill="CCEEFF"/>
              </w:rPr>
              <w:t>$</w:t>
            </w: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8"/>
                <w:shd w:val="clear" w:color="auto" w:fill="CCEEFF"/>
              </w:rPr>
              <w:t>8,500</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Nominating and ESG Committee member:</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4,000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Note: Chairperson retainers are in addition to member retainers. No equity retainers shall be paid as compensation for committee membership.</w:t>
      </w:r>
    </w:p>
    <w:p>
      <w:pPr>
        <w:spacing w:after="0" w:line="2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Directors shall be entitled to retain any retainer fees paid in advance with respect to the quarter in which he or she ceases to be a director or ceases to serve on a committee, as committee chair or as Lead Independent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Retainers</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u w:val="single" w:color="auto"/>
          <w:color w:val="auto"/>
        </w:rPr>
        <w:t>Annual equity grants</w:t>
      </w:r>
      <w:r>
        <w:rPr>
          <w:rFonts w:ascii="Arial" w:cs="Arial" w:eastAsia="Arial" w:hAnsi="Arial"/>
          <w:sz w:val="17"/>
          <w:szCs w:val="17"/>
          <w:color w:val="auto"/>
        </w:rPr>
        <w:t>: Each non-employee member of the Board will receive an annual equity grant (the “</w:t>
      </w:r>
      <w:r>
        <w:rPr>
          <w:rFonts w:ascii="Arial" w:cs="Arial" w:eastAsia="Arial" w:hAnsi="Arial"/>
          <w:sz w:val="17"/>
          <w:szCs w:val="17"/>
          <w:b w:val="1"/>
          <w:bCs w:val="1"/>
          <w:color w:val="auto"/>
        </w:rPr>
        <w:t>Annual Grant</w:t>
      </w:r>
      <w:r>
        <w:rPr>
          <w:rFonts w:ascii="Arial" w:cs="Arial" w:eastAsia="Arial" w:hAnsi="Arial"/>
          <w:sz w:val="17"/>
          <w:szCs w:val="17"/>
          <w:color w:val="auto"/>
        </w:rPr>
        <w:t>”) following the annual meeting of stockholders of $200,000 of equity awards in the form of stock options and/or restricted stock units, as determined by the Compensation Committee of the Board. The Annual Grant will vest in equal quarterly installments over a one-year period from the grant date, with the final installment vesting upon the first anniversary of such grant date (or, if earlier, immediately prior to the annual meeting of stockholders that is closest to the one year anniversary), provided, however, that all vesting ceases if the director resigns from the Board of Directors or otherwise ceases to serve as a director, unless the Board of Directors determines that the circumstances warrant continuation of vesting. The number of shares issued in connection with the Annual Grant shall be based on the 30 trading day trailing average NYSE stock price as of market close on the date of grant and in the case of options, shall be based on the 30 trading day trailing average fair value (Black-Scholes value) as of the date of grant. Newly elected non-employee directors will receive a pro-rated equity grant in connection with their appointment or election to the Board.</w:t>
      </w:r>
    </w:p>
    <w:p>
      <w:pPr>
        <w:spacing w:after="0" w:line="18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u w:val="single" w:color="auto"/>
          <w:color w:val="auto"/>
        </w:rPr>
        <w:t>Acceleration of Equity Awards</w:t>
      </w:r>
      <w:r>
        <w:rPr>
          <w:rFonts w:ascii="Arial" w:cs="Arial" w:eastAsia="Arial" w:hAnsi="Arial"/>
          <w:sz w:val="18"/>
          <w:szCs w:val="18"/>
          <w:color w:val="auto"/>
        </w:rPr>
        <w:t>: All unvested equity awards held by non-employee directors will accelerate and immediately vest if the non-employee director’s service relationship ends within three months prior to or twelve months following a Sale Event (as defined in the Company’s 2014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will reimburse all reasonable out-of-pocket expenses incurred by non-employee directors in attending meetings of the Board or any Committee.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January 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Adopted: January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688" w:right="10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06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HubSpot, Inc.</w:t>
            </w:r>
          </w:p>
        </w:tc>
      </w:tr>
      <w:tr>
        <w:trPr>
          <w:trHeight w:val="51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82"/>
        </w:trPr>
        <w:tc>
          <w:tcPr>
            <w:tcW w:w="4180" w:type="dxa"/>
            <w:vAlign w:val="bottom"/>
          </w:tcPr>
          <w:p>
            <w:pPr>
              <w:ind w:left="20"/>
              <w:spacing w:after="0" w:line="182" w:lineRule="exact"/>
              <w:rPr>
                <w:sz w:val="20"/>
                <w:szCs w:val="20"/>
                <w:color w:val="auto"/>
              </w:rPr>
            </w:pPr>
            <w:r>
              <w:rPr>
                <w:rFonts w:ascii="Arial" w:cs="Arial" w:eastAsia="Arial" w:hAnsi="Arial"/>
                <w:sz w:val="18"/>
                <w:szCs w:val="18"/>
                <w:color w:val="auto"/>
              </w:rPr>
              <w:t>HubSpot Asia Pte. Ltd.</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82" w:lineRule="exact"/>
              <w:rPr>
                <w:sz w:val="20"/>
                <w:szCs w:val="20"/>
                <w:color w:val="auto"/>
              </w:rPr>
            </w:pPr>
            <w:r>
              <w:rPr>
                <w:rFonts w:ascii="Arial" w:cs="Arial" w:eastAsia="Arial" w:hAnsi="Arial"/>
                <w:sz w:val="18"/>
                <w:szCs w:val="18"/>
                <w:color w:val="auto"/>
              </w:rPr>
              <w:t>Singapore</w:t>
            </w: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Australia Pty Ltd</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Australia</w:t>
            </w: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color w:val="auto"/>
              </w:rPr>
              <w:t>HubSpot Canada Inc.</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ind w:left="20"/>
              <w:spacing w:after="0" w:line="201" w:lineRule="exact"/>
              <w:rPr>
                <w:sz w:val="20"/>
                <w:szCs w:val="20"/>
                <w:color w:val="auto"/>
              </w:rPr>
            </w:pPr>
            <w:r>
              <w:rPr>
                <w:rFonts w:ascii="Arial" w:cs="Arial" w:eastAsia="Arial" w:hAnsi="Arial"/>
                <w:sz w:val="18"/>
                <w:szCs w:val="18"/>
                <w:color w:val="auto"/>
              </w:rPr>
              <w:t>Canada</w:t>
            </w: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France S.A.S.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France</w:t>
            </w: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Germany GmbH</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Germany</w:t>
            </w:r>
          </w:p>
        </w:tc>
      </w:tr>
      <w:tr>
        <w:trPr>
          <w:trHeight w:val="175"/>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Ireland Limited</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Ireland</w:t>
            </w: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Japan K.K.</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Japan</w:t>
            </w: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Latin America S.A.S.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Colombia</w:t>
            </w:r>
          </w:p>
        </w:tc>
      </w:tr>
      <w:tr>
        <w:trPr>
          <w:trHeight w:val="175"/>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w w:val="99"/>
              </w:rPr>
              <w:t>HubSpot Sweden, a filial of HubSpot Ireland Limited</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Sweden</w:t>
            </w:r>
          </w:p>
        </w:tc>
      </w:tr>
      <w:tr>
        <w:trPr>
          <w:trHeight w:val="176"/>
        </w:trPr>
        <w:tc>
          <w:tcPr>
            <w:tcW w:w="4180" w:type="dxa"/>
            <w:vAlign w:val="bottom"/>
          </w:tcPr>
          <w:p>
            <w:pPr>
              <w:ind w:left="20"/>
              <w:spacing w:after="0" w:line="176" w:lineRule="exact"/>
              <w:rPr>
                <w:sz w:val="20"/>
                <w:szCs w:val="20"/>
                <w:color w:val="auto"/>
              </w:rPr>
            </w:pPr>
            <w:r>
              <w:rPr>
                <w:rFonts w:ascii="Arial" w:cs="Arial" w:eastAsia="Arial" w:hAnsi="Arial"/>
                <w:sz w:val="18"/>
                <w:szCs w:val="18"/>
                <w:color w:val="auto"/>
              </w:rPr>
              <w:t>HubSpot UK Holdings Limited</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United Kingdom</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PieSync NV</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1073"/>
        </w:trPr>
        <w:tc>
          <w:tcPr>
            <w:tcW w:w="4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333-229641) and Form S-8 (Nos. 333-253152, 333-236399, 333-229622, 333-223018, 333-216104, 333-209689, 333-202532, and 333-199225) of HubSpot, Inc. of our report dated February 14,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Yamini Rangan, certify that:</w:t>
      </w:r>
    </w:p>
    <w:p>
      <w:pPr>
        <w:spacing w:after="0" w:line="104" w:lineRule="exact"/>
        <w:rPr>
          <w:sz w:val="20"/>
          <w:szCs w:val="20"/>
          <w:color w:val="auto"/>
        </w:rPr>
      </w:pPr>
    </w:p>
    <w:p>
      <w:pPr>
        <w:ind w:left="520" w:hanging="512"/>
        <w:spacing w:after="0"/>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14, 2022</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Yamini Rangan</w:t>
      </w:r>
    </w:p>
    <w:p>
      <w:pPr>
        <w:ind w:left="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04" w:lineRule="exact"/>
        <w:rPr>
          <w:sz w:val="20"/>
          <w:szCs w:val="20"/>
          <w:color w:val="auto"/>
        </w:rPr>
      </w:pPr>
    </w:p>
    <w:p>
      <w:pPr>
        <w:ind w:left="520" w:hanging="512"/>
        <w:spacing w:after="0"/>
        <w:tabs>
          <w:tab w:leader="none" w:pos="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sz w:val="20"/>
          <w:szCs w:val="20"/>
          <w:color w:val="auto"/>
        </w:rPr>
      </w:pPr>
    </w:p>
    <w:p>
      <w:pPr>
        <w:jc w:val="both"/>
        <w:ind w:left="1020" w:right="480" w:hanging="503"/>
        <w:spacing w:after="0" w:line="324" w:lineRule="auto"/>
        <w:tabs>
          <w:tab w:leader="none" w:pos="10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14, 2022</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Kate Bueker</w:t>
      </w:r>
    </w:p>
    <w:p>
      <w:pPr>
        <w:ind w:left="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80" w:firstLine="509"/>
        <w:spacing w:after="0" w:line="243" w:lineRule="auto"/>
        <w:rPr>
          <w:sz w:val="20"/>
          <w:szCs w:val="20"/>
          <w:color w:val="auto"/>
        </w:rPr>
      </w:pPr>
      <w:r>
        <w:rPr>
          <w:rFonts w:ascii="Arial" w:cs="Arial" w:eastAsia="Arial" w:hAnsi="Arial"/>
          <w:sz w:val="18"/>
          <w:szCs w:val="18"/>
          <w:color w:val="auto"/>
        </w:rPr>
        <w:t>I, Yamini Rangan, certify, pursuant to 18 U.S.C. Section 1350, as adopted pursuant to Section 906 of the Sarbanes-Oxley Act of 2002, that, to my knowledge, the Annual Report on Form 10-K of HubSpot, Inc. for the period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Yamini Rangan</w:t>
      </w:r>
    </w:p>
    <w:p>
      <w:pPr>
        <w:ind w:left="20"/>
        <w:spacing w:after="0" w:line="234" w:lineRule="auto"/>
        <w:rPr>
          <w:sz w:val="20"/>
          <w:szCs w:val="20"/>
          <w:color w:val="auto"/>
        </w:rPr>
      </w:pPr>
      <w:r>
        <w:rPr>
          <w:rFonts w:ascii="Arial" w:cs="Arial" w:eastAsia="Arial" w:hAnsi="Arial"/>
          <w:sz w:val="18"/>
          <w:szCs w:val="18"/>
          <w:color w:val="auto"/>
        </w:rPr>
        <w:t>Chief Executive Officer</w:t>
      </w:r>
    </w:p>
    <w:p>
      <w:pPr>
        <w:ind w:left="20"/>
        <w:spacing w:after="0" w:line="235" w:lineRule="auto"/>
        <w:rPr>
          <w:sz w:val="20"/>
          <w:szCs w:val="20"/>
          <w:color w:val="auto"/>
        </w:rPr>
      </w:pPr>
      <w:r>
        <w:rPr>
          <w:rFonts w:ascii="Arial" w:cs="Arial" w:eastAsia="Arial" w:hAnsi="Arial"/>
          <w:sz w:val="18"/>
          <w:szCs w:val="18"/>
          <w:color w:val="auto"/>
        </w:rPr>
        <w:t>(Principal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14, 2022</w:t>
      </w:r>
    </w:p>
    <w:p>
      <w:pPr>
        <w:spacing w:after="0" w:line="200" w:lineRule="exact"/>
        <w:rPr>
          <w:sz w:val="20"/>
          <w:szCs w:val="20"/>
          <w:color w:val="auto"/>
        </w:rPr>
      </w:pPr>
    </w:p>
    <w:p>
      <w:pPr>
        <w:spacing w:after="0" w:line="225"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Annual Report on Form 10-K of HubSpot, Inc. for the period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Kate Bueker</w:t>
      </w:r>
    </w:p>
    <w:p>
      <w:pPr>
        <w:ind w:left="20"/>
        <w:spacing w:after="0" w:line="234" w:lineRule="auto"/>
        <w:rPr>
          <w:sz w:val="20"/>
          <w:szCs w:val="20"/>
          <w:color w:val="auto"/>
        </w:rPr>
      </w:pPr>
      <w:r>
        <w:rPr>
          <w:rFonts w:ascii="Arial" w:cs="Arial" w:eastAsia="Arial" w:hAnsi="Arial"/>
          <w:sz w:val="18"/>
          <w:szCs w:val="18"/>
          <w:color w:val="auto"/>
        </w:rPr>
        <w:t>Chief Financial Officer</w:t>
      </w:r>
    </w:p>
    <w:p>
      <w:pPr>
        <w:ind w:left="20"/>
        <w:spacing w:after="0" w:line="235" w:lineRule="auto"/>
        <w:rPr>
          <w:sz w:val="20"/>
          <w:szCs w:val="20"/>
          <w:color w:val="auto"/>
        </w:rPr>
      </w:pPr>
      <w:r>
        <w:rPr>
          <w:rFonts w:ascii="Arial" w:cs="Arial" w:eastAsia="Arial" w:hAnsi="Arial"/>
          <w:sz w:val="18"/>
          <w:szCs w:val="18"/>
          <w:color w:val="auto"/>
        </w:rPr>
        <w:t>(Principal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14, 2022</w:t>
      </w:r>
    </w:p>
    <w:p>
      <w:pPr>
        <w:spacing w:after="0" w:line="200" w:lineRule="exact"/>
        <w:rPr>
          <w:sz w:val="20"/>
          <w:szCs w:val="20"/>
          <w:color w:val="auto"/>
        </w:rPr>
      </w:pPr>
    </w:p>
    <w:p>
      <w:pPr>
        <w:spacing w:after="0" w:line="212"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3" w:name="page194"/>
    <w:bookmarkEnd w:id="1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o"/>
      <w:numFmt w:val="bullet"/>
      <w:start w:val="1"/>
    </w:lvl>
  </w:abstractNum>
  <w:abstractNum w:abstractNumId="8">
    <w:nsid w:val="98A3148"/>
    <w:multiLevelType w:val="hybridMultilevel"/>
    <w:lvl w:ilvl="0">
      <w:lvlJc w:val="left"/>
      <w:lvlText w:val="o"/>
      <w:numFmt w:val="bullet"/>
      <w:start w:val="1"/>
    </w:lvl>
  </w:abstractNum>
  <w:abstractNum w:abstractNumId="9">
    <w:nsid w:val="799D0247"/>
    <w:multiLevelType w:val="hybridMultilevel"/>
    <w:lvl w:ilvl="0">
      <w:lvlJc w:val="left"/>
      <w:lvlText w:val="o"/>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lowerLetter"/>
      <w:start w:val="1"/>
    </w:lvl>
  </w:abstractNum>
  <w:abstractNum w:abstractNumId="24">
    <w:nsid w:val="8F2B15E"/>
    <w:multiLevelType w:val="hybridMultilevel"/>
    <w:lvl w:ilvl="0">
      <w:lvlJc w:val="left"/>
      <w:lvlText w:val="(%1)"/>
      <w:numFmt w:val="lowerLetter"/>
      <w:start w:val="2"/>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1."/>
      <w:numFmt w:val="decimal"/>
      <w:start w:val="1"/>
    </w:lvl>
    <w:lvl w:ilvl="1">
      <w:lvlJc w:val="left"/>
      <w:lvlText w:val="•"/>
      <w:numFmt w:val="bullet"/>
      <w:start w:val="1"/>
    </w:lvl>
  </w:abstractNum>
  <w:abstractNum w:abstractNumId="27">
    <w:nsid w:val="68EB2F63"/>
    <w:multiLevelType w:val="hybridMultilevel"/>
    <w:lvl w:ilvl="0">
      <w:lvlJc w:val="left"/>
      <w:lvlText w:val="%1."/>
      <w:numFmt w:val="decimal"/>
      <w:start w:val="3"/>
    </w:lvl>
  </w:abstractNum>
  <w:abstractNum w:abstractNumId="28">
    <w:nsid w:val="4962813B"/>
    <w:multiLevelType w:val="hybridMultilevel"/>
    <w:lvl w:ilvl="0">
      <w:lvlJc w:val="left"/>
      <w:lvlText w:val="#"/>
      <w:numFmt w:val="bullet"/>
      <w:start w:val="1"/>
    </w:lvl>
    <w:lvl w:ilvl="1">
      <w:lvlJc w:val="left"/>
      <w:lvlText w:val="%2"/>
      <w:numFmt w:val="decimal"/>
      <w:start w:val="104"/>
    </w:lvl>
  </w:abstractNum>
  <w:abstractNum w:abstractNumId="29">
    <w:nsid w:val="60B6DF70"/>
    <w:multiLevelType w:val="hybridMultilevel"/>
    <w:lvl w:ilvl="0">
      <w:lvlJc w:val="left"/>
      <w:lvlText w:val="Ÿ"/>
      <w:numFmt w:val="bullet"/>
      <w:start w:val="1"/>
    </w:lvl>
  </w:abstractNum>
  <w:abstractNum w:abstractNumId="30">
    <w:nsid w:val="6A5EE64"/>
    <w:multiLevelType w:val="hybridMultilevel"/>
    <w:lvl w:ilvl="0">
      <w:lvlJc w:val="left"/>
      <w:lvlText w:val="(%1)"/>
      <w:numFmt w:val="decimal"/>
      <w:start w:val="1"/>
    </w:lvl>
  </w:abstractNum>
  <w:abstractNum w:abstractNumId="31">
    <w:nsid w:val="14330624"/>
    <w:multiLevelType w:val="hybridMultilevel"/>
    <w:lvl w:ilvl="0">
      <w:lvlJc w:val="left"/>
      <w:lvlText w:val="(%1)"/>
      <w:numFmt w:val="decimal"/>
      <w:start w:val="15"/>
    </w:lvl>
  </w:abstractNum>
  <w:abstractNum w:abstractNumId="32">
    <w:nsid w:val="7FFFCA11"/>
    <w:multiLevelType w:val="hybridMultilevel"/>
    <w:lvl w:ilvl="0">
      <w:lvlJc w:val="left"/>
      <w:lvlText w:val="%1."/>
      <w:numFmt w:val="lowerLetter"/>
      <w:start w:val="1"/>
    </w:lvl>
  </w:abstractNum>
  <w:abstractNum w:abstractNumId="33">
    <w:nsid w:val="1A27709E"/>
    <w:multiLevelType w:val="hybridMultilevel"/>
    <w:lvl w:ilvl="0">
      <w:lvlJc w:val="left"/>
      <w:lvlText w:val="%1."/>
      <w:numFmt w:val="lowerLetter"/>
      <w:start w:val="3"/>
    </w:lvl>
  </w:abstractNum>
  <w:abstractNum w:abstractNumId="34">
    <w:nsid w:val="71EA1109"/>
    <w:multiLevelType w:val="hybridMultilevel"/>
    <w:lvl w:ilvl="0">
      <w:lvlJc w:val="left"/>
      <w:lvlText w:val="%1"/>
      <w:numFmt w:val="lowerRoman"/>
      <w:start w:val="1"/>
    </w:lvl>
    <w:lvl w:ilvl="1">
      <w:lvlJc w:val="left"/>
      <w:lvlText w:val="%2."/>
      <w:numFmt w:val="lowerLetter"/>
      <w:start w:val="5"/>
    </w:lvl>
  </w:abstractNum>
  <w:abstractNum w:abstractNumId="35">
    <w:nsid w:val="100F59DC"/>
    <w:multiLevelType w:val="hybridMultilevel"/>
    <w:lvl w:ilvl="0">
      <w:lvlJc w:val="left"/>
      <w:lvlText w:val="(%1)"/>
      <w:numFmt w:val="lowerRoman"/>
      <w:start w:val="4"/>
    </w:lvl>
    <w:lvl w:ilvl="1">
      <w:lvlJc w:val="left"/>
      <w:lvlText w:val="%2"/>
      <w:numFmt w:val="lowerLetter"/>
      <w:start w:val="1"/>
    </w:lvl>
  </w:abstractNum>
  <w:abstractNum w:abstractNumId="36">
    <w:nsid w:val="7FB7E0AA"/>
    <w:multiLevelType w:val="hybridMultilevel"/>
    <w:lvl w:ilvl="0">
      <w:lvlJc w:val="left"/>
      <w:lvlText w:val="%1."/>
      <w:numFmt w:val="lowerLetter"/>
      <w:start w:val="1"/>
    </w:lvl>
  </w:abstractNum>
  <w:abstractNum w:abstractNumId="37">
    <w:nsid w:val="6EB5BD4"/>
    <w:multiLevelType w:val="hybridMultilevel"/>
    <w:lvl w:ilvl="0">
      <w:lvlJc w:val="left"/>
      <w:lvlText w:val="%1."/>
      <w:numFmt w:val="lowerLetter"/>
      <w:start w:val="2"/>
    </w:lvl>
  </w:abstractNum>
  <w:abstractNum w:abstractNumId="38">
    <w:nsid w:val="6F6DD9AC"/>
    <w:multiLevelType w:val="hybridMultilevel"/>
    <w:lvl w:ilvl="0">
      <w:lvlJc w:val="left"/>
      <w:lvlText w:val="%1."/>
      <w:numFmt w:val="lowerLetter"/>
      <w:start w:val="5"/>
    </w:lvl>
  </w:abstractNum>
  <w:abstractNum w:abstractNumId="39">
    <w:nsid w:val="94211F2"/>
    <w:multiLevelType w:val="hybridMultilevel"/>
    <w:lvl w:ilvl="0">
      <w:lvlJc w:val="left"/>
      <w:lvlText w:val="%1."/>
      <w:numFmt w:val="lowerLetter"/>
      <w:start w:val="1"/>
    </w:lvl>
  </w:abstractNum>
  <w:abstractNum w:abstractNumId="40">
    <w:nsid w:val="885E1B"/>
    <w:multiLevelType w:val="hybridMultilevel"/>
    <w:lvl w:ilvl="0">
      <w:lvlJc w:val="left"/>
      <w:lvlText w:val="%1."/>
      <w:numFmt w:val="lowerLetter"/>
      <w:start w:val="2"/>
    </w:lvl>
  </w:abstractNum>
  <w:abstractNum w:abstractNumId="41">
    <w:nsid w:val="76272110"/>
    <w:multiLevelType w:val="hybridMultilevel"/>
    <w:lvl w:ilvl="0">
      <w:lvlJc w:val="left"/>
      <w:lvlText w:val="%1."/>
      <w:numFmt w:val="lowerLetter"/>
      <w:start w:val="6"/>
    </w:lvl>
  </w:abstractNum>
  <w:abstractNum w:abstractNumId="42">
    <w:nsid w:val="4C04A8AF"/>
    <w:multiLevelType w:val="hybridMultilevel"/>
    <w:lvl w:ilvl="0">
      <w:lvlJc w:val="left"/>
      <w:lvlText w:val="%1."/>
      <w:numFmt w:val="lowerLetter"/>
      <w:start w:val="1"/>
    </w:lvl>
  </w:abstractNum>
  <w:abstractNum w:abstractNumId="43">
    <w:nsid w:val="1716703B"/>
    <w:multiLevelType w:val="hybridMultilevel"/>
    <w:lvl w:ilvl="0">
      <w:lvlJc w:val="left"/>
      <w:lvlText w:val="%1."/>
      <w:numFmt w:val="lowerLetter"/>
      <w:start w:val="1"/>
    </w:lvl>
  </w:abstractNum>
  <w:abstractNum w:abstractNumId="44">
    <w:nsid w:val="14E17E33"/>
    <w:multiLevelType w:val="hybridMultilevel"/>
    <w:lvl w:ilvl="0">
      <w:lvlJc w:val="left"/>
      <w:lvlText w:val="%1"/>
      <w:numFmt w:val="lowerRoman"/>
      <w:start w:val="1"/>
    </w:lvl>
    <w:lvl w:ilvl="1">
      <w:lvlJc w:val="left"/>
      <w:lvlText w:val="%2."/>
      <w:numFmt w:val="lowerLetter"/>
      <w:start w:val="2"/>
    </w:lvl>
  </w:abstractNum>
  <w:abstractNum w:abstractNumId="45">
    <w:nsid w:val="3222E7CD"/>
    <w:multiLevelType w:val="hybridMultilevel"/>
    <w:lvl w:ilvl="0">
      <w:lvlJc w:val="left"/>
      <w:lvlText w:val="(%1)"/>
      <w:numFmt w:val="lowerRoman"/>
      <w:start w:val="2"/>
    </w:lvl>
    <w:lvl w:ilvl="1">
      <w:lvlJc w:val="left"/>
      <w:lvlText w:val="%2."/>
      <w:numFmt w:val="lowerLetter"/>
      <w:start w:val="3"/>
    </w:lvl>
  </w:abstractNum>
  <w:abstractNum w:abstractNumId="46">
    <w:nsid w:val="74DE0EE3"/>
    <w:multiLevelType w:val="hybridMultilevel"/>
    <w:lvl w:ilvl="0">
      <w:lvlJc w:val="left"/>
      <w:lvlText w:val="%1."/>
      <w:numFmt w:val="lowerLetter"/>
      <w:start w:val="1"/>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1"/>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Letter"/>
      <w:start w:val="2"/>
    </w:lvl>
  </w:abstractNum>
  <w:abstractNum w:abstractNumId="51">
    <w:nsid w:val="39EE015C"/>
    <w:multiLevelType w:val="hybridMultilevel"/>
    <w:lvl w:ilvl="0">
      <w:lvlJc w:val="left"/>
      <w:lvlText w:val="%1."/>
      <w:numFmt w:val="lowerLetter"/>
      <w:start w:val="1"/>
    </w:lvl>
  </w:abstractNum>
  <w:abstractNum w:abstractNumId="52">
    <w:nsid w:val="57FC4FBB"/>
    <w:multiLevelType w:val="hybridMultilevel"/>
    <w:lvl w:ilvl="0">
      <w:lvlJc w:val="left"/>
      <w:lvlText w:val="%1."/>
      <w:numFmt w:val="lowerLetter"/>
      <w:start w:val="4"/>
    </w:lvl>
  </w:abstractNum>
  <w:abstractNum w:abstractNumId="53">
    <w:nsid w:val="CC1016F"/>
    <w:multiLevelType w:val="hybridMultilevel"/>
    <w:lvl w:ilvl="0">
      <w:lvlJc w:val="left"/>
      <w:lvlText w:val="%1."/>
      <w:numFmt w:val="lowerLetter"/>
      <w:start w:val="1"/>
    </w:lvl>
  </w:abstractNum>
  <w:abstractNum w:abstractNumId="54">
    <w:nsid w:val="43F18422"/>
    <w:multiLevelType w:val="hybridMultilevel"/>
    <w:lvl w:ilvl="0">
      <w:lvlJc w:val="left"/>
      <w:lvlText w:val="%1."/>
      <w:numFmt w:val="lowerLetter"/>
      <w:start w:val="1"/>
    </w:lvl>
  </w:abstractNum>
  <w:abstractNum w:abstractNumId="55">
    <w:nsid w:val="60EF0119"/>
    <w:multiLevelType w:val="hybridMultilevel"/>
    <w:lvl w:ilvl="0">
      <w:lvlJc w:val="left"/>
      <w:lvlText w:val="%1."/>
      <w:numFmt w:val="lowerLetter"/>
      <w:start w:val="2"/>
    </w:lvl>
  </w:abstractNum>
  <w:abstractNum w:abstractNumId="56">
    <w:nsid w:val="26F324BA"/>
    <w:multiLevelType w:val="hybridMultilevel"/>
    <w:lvl w:ilvl="0">
      <w:lvlJc w:val="left"/>
      <w:lvlText w:val="%1."/>
      <w:numFmt w:val="lowerLetter"/>
      <w:start w:val="1"/>
    </w:lvl>
  </w:abstractNum>
  <w:abstractNum w:abstractNumId="57">
    <w:nsid w:val="7F01579B"/>
    <w:multiLevelType w:val="hybridMultilevel"/>
    <w:lvl w:ilvl="0">
      <w:lvlJc w:val="left"/>
      <w:lvlText w:val="%1."/>
      <w:numFmt w:val="lowerLetter"/>
      <w:start w:val="5"/>
    </w:lvl>
  </w:abstractNum>
  <w:abstractNum w:abstractNumId="58">
    <w:nsid w:val="49DA307D"/>
    <w:multiLevelType w:val="hybridMultilevel"/>
    <w:lvl w:ilvl="0">
      <w:lvlJc w:val="left"/>
      <w:lvlText w:val="%1."/>
      <w:numFmt w:val="decimal"/>
      <w:start w:val="1"/>
    </w:lvl>
  </w:abstractNum>
  <w:abstractNum w:abstractNumId="59">
    <w:nsid w:val="7055A5F5"/>
    <w:multiLevelType w:val="hybridMultilevel"/>
    <w:lvl w:ilvl="0">
      <w:lvlJc w:val="left"/>
      <w:lvlText w:val="%1."/>
      <w:numFmt w:val="decimal"/>
      <w:start w:val="2"/>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1)"/>
      <w:numFmt w:val="lowerRoman"/>
      <w:start w:val="2"/>
    </w:lvl>
  </w:abstractNum>
  <w:abstractNum w:abstractNumId="62">
    <w:nsid w:val="488AC1A"/>
    <w:multiLevelType w:val="hybridMultilevel"/>
    <w:lvl w:ilvl="0">
      <w:lvlJc w:val="left"/>
      <w:lvlText w:val="%1."/>
      <w:numFmt w:val="decimal"/>
      <w:start w:val="2"/>
    </w:lvl>
    <w:lvl w:ilvl="1">
      <w:lvlJc w:val="left"/>
      <w:lvlText w:val="(%2)"/>
      <w:numFmt w:val="lowerLetter"/>
      <w:start w:val="1"/>
    </w:lvl>
  </w:abstractNum>
  <w:abstractNum w:abstractNumId="63">
    <w:nsid w:val="5FB8011C"/>
    <w:multiLevelType w:val="hybridMultilevel"/>
    <w:lvl w:ilvl="0">
      <w:lvlJc w:val="left"/>
      <w:lvlText w:val="(%1)"/>
      <w:numFmt w:val="lowerRoman"/>
      <w:start w:val="2"/>
    </w:lvl>
    <w:lvl w:ilvl="1">
      <w:lvlJc w:val="left"/>
      <w:lvlText w:val="(%2)"/>
      <w:numFmt w:val="lowerLetter"/>
      <w:start w:val="2"/>
    </w:lvl>
  </w:abstractNum>
  <w:abstractNum w:abstractNumId="64">
    <w:nsid w:val="6AA78F7F"/>
    <w:multiLevelType w:val="hybridMultilevel"/>
    <w:lvl w:ilvl="0">
      <w:lvlJc w:val="left"/>
      <w:lvlText w:val="%1."/>
      <w:numFmt w:val="decimal"/>
      <w:start w:val="3"/>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1."/>
      <w:numFmt w:val="decimal"/>
      <w:start w:val="4"/>
    </w:lvl>
  </w:abstractNum>
  <w:abstractNum w:abstractNumId="67">
    <w:nsid w:val="6A5F7029"/>
    <w:multiLevelType w:val="hybridMultilevel"/>
    <w:lvl w:ilvl="0">
      <w:lvlJc w:val="left"/>
      <w:lvlText w:val="%1."/>
      <w:numFmt w:val="decimal"/>
      <w:start w:val="7"/>
    </w:lvl>
    <w:lvl w:ilvl="1">
      <w:lvlJc w:val="left"/>
      <w:lvlText w:val="(%2)"/>
      <w:numFmt w:val="lowerLetter"/>
      <w:start w:val="1"/>
    </w:lvl>
  </w:abstractNum>
  <w:abstractNum w:abstractNumId="68">
    <w:nsid w:val="7D5E18F8"/>
    <w:multiLevelType w:val="hybridMultilevel"/>
    <w:lvl w:ilvl="0">
      <w:lvlJc w:val="left"/>
      <w:lvlText w:val="%1"/>
      <w:numFmt w:val="decimal"/>
      <w:start w:val="1"/>
    </w:lvl>
    <w:lvl w:ilvl="1">
      <w:lvlJc w:val="left"/>
      <w:lvlText w:val="(%2)"/>
      <w:numFmt w:val="lowerLetter"/>
      <w:start w:val="3"/>
    </w:lvl>
  </w:abstractNum>
  <w:abstractNum w:abstractNumId="69">
    <w:nsid w:val="5F3534A4"/>
    <w:multiLevelType w:val="hybridMultilevel"/>
    <w:lvl w:ilvl="0">
      <w:lvlJc w:val="left"/>
      <w:lvlText w:val="%1."/>
      <w:numFmt w:val="decimal"/>
      <w:start w:val="8"/>
    </w:lvl>
    <w:lvl w:ilvl="1">
      <w:lvlJc w:val="left"/>
      <w:lvlText w:val="(%2)"/>
      <w:numFmt w:val="lowerLetter"/>
      <w:start w:val="1"/>
    </w:lvl>
  </w:abstractNum>
  <w:abstractNum w:abstractNumId="70">
    <w:nsid w:val="73A1821B"/>
    <w:multiLevelType w:val="hybridMultilevel"/>
    <w:lvl w:ilvl="0">
      <w:lvlJc w:val="left"/>
      <w:lvlText w:val="(%1)"/>
      <w:numFmt w:val="lowerLetter"/>
      <w:start w:val="6"/>
    </w:lvl>
    <w:lvl w:ilvl="1">
      <w:lvlJc w:val="left"/>
      <w:lvlText w:val="(%2)"/>
      <w:numFmt w:val="lowerRoman"/>
      <w:start w:val="1"/>
    </w:lvl>
  </w:abstractNum>
  <w:abstractNum w:abstractNumId="71">
    <w:nsid w:val="7DE67713"/>
    <w:multiLevelType w:val="hybridMultilevel"/>
    <w:lvl w:ilvl="0">
      <w:lvlJc w:val="left"/>
      <w:lvlText w:val="%1."/>
      <w:numFmt w:val="decimal"/>
      <w:start w:val="11"/>
    </w:lvl>
  </w:abstractNum>
  <w:abstractNum w:abstractNumId="72">
    <w:nsid w:val="555C55B5"/>
    <w:multiLevelType w:val="hybridMultilevel"/>
    <w:lvl w:ilvl="0">
      <w:lvlJc w:val="left"/>
      <w:lvlText w:val="%1."/>
      <w:numFmt w:val="decimal"/>
      <w:start w:val="12"/>
    </w:lvl>
  </w:abstractNum>
  <w:abstractNum w:abstractNumId="73">
    <w:nsid w:val="3FA62ACA"/>
    <w:multiLevelType w:val="hybridMultilevel"/>
    <w:lvl w:ilvl="0">
      <w:lvlJc w:val="left"/>
      <w:lvlText w:val="%1."/>
      <w:numFmt w:val="decimal"/>
      <w:start w:val="20"/>
    </w:lvl>
  </w:abstractNum>
  <w:abstractNum w:abstractNumId="74">
    <w:nsid w:val="14FCE74E"/>
    <w:multiLevelType w:val="hybridMultilevel"/>
    <w:lvl w:ilvl="0">
      <w:lvlJc w:val="left"/>
      <w:lvlText w:val="%1."/>
      <w:numFmt w:val="decimal"/>
      <w:start w:val="23"/>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lowerRoman"/>
      <w:start w:val="2"/>
    </w:lvl>
  </w:abstractNum>
  <w:abstractNum w:abstractNumId="78">
    <w:nsid w:val="53299938"/>
    <w:multiLevelType w:val="hybridMultilevel"/>
    <w:lvl w:ilvl="0">
      <w:lvlJc w:val="left"/>
      <w:lvlText w:val="%1."/>
      <w:numFmt w:val="decimal"/>
      <w:start w:val="2"/>
    </w:lvl>
    <w:lvl w:ilvl="1">
      <w:lvlJc w:val="left"/>
      <w:lvlText w:val="(%2)"/>
      <w:numFmt w:val="lowerLetter"/>
      <w:start w:val="1"/>
    </w:lvl>
  </w:abstractNum>
  <w:abstractNum w:abstractNumId="79">
    <w:nsid w:val="1FBFE8E0"/>
    <w:multiLevelType w:val="hybridMultilevel"/>
    <w:lvl w:ilvl="0">
      <w:lvlJc w:val="left"/>
      <w:lvlText w:val="(%1)"/>
      <w:numFmt w:val="lowerRoman"/>
      <w:start w:val="2"/>
    </w:lvl>
    <w:lvl w:ilvl="1">
      <w:lvlJc w:val="left"/>
      <w:lvlText w:val="(%2)"/>
      <w:numFmt w:val="lowerLetter"/>
      <w:start w:val="2"/>
    </w:lvl>
  </w:abstractNum>
  <w:abstractNum w:abstractNumId="80">
    <w:nsid w:val="5092CA79"/>
    <w:multiLevelType w:val="hybridMultilevel"/>
    <w:lvl w:ilvl="0">
      <w:lvlJc w:val="left"/>
      <w:lvlText w:val="%1."/>
      <w:numFmt w:val="decimal"/>
      <w:start w:val="3"/>
    </w:lvl>
    <w:lvl w:ilvl="1">
      <w:lvlJc w:val="left"/>
      <w:lvlText w:val="(%2)"/>
      <w:numFmt w:val="lowerLetter"/>
      <w:start w:val="1"/>
    </w:lvl>
  </w:abstractNum>
  <w:abstractNum w:abstractNumId="81">
    <w:nsid w:val="1D545C4D"/>
    <w:multiLevelType w:val="hybridMultilevel"/>
    <w:lvl w:ilvl="0">
      <w:lvlJc w:val="left"/>
      <w:lvlText w:val="%1."/>
      <w:numFmt w:val="decimal"/>
      <w:start w:val="4"/>
    </w:lvl>
  </w:abstractNum>
  <w:abstractNum w:abstractNumId="82">
    <w:nsid w:val="59ADEA3D"/>
    <w:multiLevelType w:val="hybridMultilevel"/>
    <w:lvl w:ilvl="0">
      <w:lvlJc w:val="left"/>
      <w:lvlText w:val="%1."/>
      <w:numFmt w:val="decimal"/>
      <w:start w:val="5"/>
    </w:lvl>
    <w:lvl w:ilvl="1">
      <w:lvlJc w:val="left"/>
      <w:lvlText w:val="(%2)"/>
      <w:numFmt w:val="lowerLetter"/>
      <w:start w:val="1"/>
    </w:lvl>
  </w:abstractNum>
  <w:abstractNum w:abstractNumId="83">
    <w:nsid w:val="288F1A3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4">
    <w:nsid w:val="2A155DB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85">
    <w:nsid w:val="1D9F6E5F"/>
    <w:multiLevelType w:val="hybridMultilevel"/>
    <w:lvl w:ilvl="0">
      <w:lvlJc w:val="left"/>
      <w:lvlText w:val="(%1)"/>
      <w:numFmt w:val="lowerLetter"/>
      <w:start w:val="7"/>
    </w:lvl>
    <w:lvl w:ilvl="1">
      <w:lvlJc w:val="left"/>
      <w:lvlText w:val="(%2)"/>
      <w:numFmt w:val="lowerRoman"/>
      <w:start w:val="1"/>
    </w:lvl>
  </w:abstractNum>
  <w:abstractNum w:abstractNumId="86">
    <w:nsid w:val="97E1B4E"/>
    <w:multiLevelType w:val="hybridMultilevel"/>
    <w:lvl w:ilvl="0">
      <w:lvlJc w:val="left"/>
      <w:lvlText w:val="%1."/>
      <w:numFmt w:val="decimal"/>
      <w:start w:val="10"/>
    </w:lvl>
  </w:abstractNum>
  <w:abstractNum w:abstractNumId="87">
    <w:nsid w:val="51088277"/>
    <w:multiLevelType w:val="hybridMultilevel"/>
    <w:lvl w:ilvl="0">
      <w:lvlJc w:val="left"/>
      <w:lvlText w:val="%1."/>
      <w:numFmt w:val="decimal"/>
      <w:start w:val="11"/>
    </w:lvl>
  </w:abstractNum>
  <w:abstractNum w:abstractNumId="88">
    <w:nsid w:val="1CA0C5FA"/>
    <w:multiLevelType w:val="hybridMultilevel"/>
    <w:lvl w:ilvl="0">
      <w:lvlJc w:val="left"/>
      <w:lvlText w:val="%1."/>
      <w:numFmt w:val="decimal"/>
      <w:start w:val="20"/>
    </w:lvl>
  </w:abstractNum>
  <w:abstractNum w:abstractNumId="89">
    <w:nsid w:val="53584BCB"/>
    <w:multiLevelType w:val="hybridMultilevel"/>
    <w:lvl w:ilvl="0">
      <w:lvlJc w:val="left"/>
      <w:lvlText w:val="%1."/>
      <w:numFmt w:val="decimal"/>
      <w:start w:val="22"/>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4"/>
    </w:lvl>
  </w:abstractNum>
  <w:abstractNum w:abstractNumId="92">
    <w:nsid w:val="23D86AAC"/>
    <w:multiLevelType w:val="hybridMultilevel"/>
    <w:lvl w:ilvl="0">
      <w:lvlJc w:val="left"/>
      <w:lvlText w:val="[%1]"/>
      <w:numFmt w:val="decimal"/>
      <w:start w:val="1"/>
    </w:lvl>
  </w:abstractNum>
  <w:abstractNum w:abstractNumId="93">
    <w:nsid w:val="45E6D486"/>
    <w:multiLevelType w:val="hybridMultilevel"/>
    <w:lvl w:ilvl="0">
      <w:lvlJc w:val="left"/>
      <w:lvlText w:val="%1."/>
      <w:numFmt w:val="decimal"/>
      <w:start w:val="1"/>
    </w:lvl>
  </w:abstractNum>
  <w:abstractNum w:abstractNumId="94">
    <w:nsid w:val="5C10FE21"/>
    <w:multiLevelType w:val="hybridMultilevel"/>
    <w:lvl w:ilvl="0">
      <w:lvlJc w:val="left"/>
      <w:lvlText w:val="(%1)"/>
      <w:numFmt w:val="lowerRoman"/>
      <w:start w:val="1"/>
    </w:lvl>
  </w:abstractNum>
  <w:abstractNum w:abstractNumId="95">
    <w:nsid w:val="E7FFA2B"/>
    <w:multiLevelType w:val="hybridMultilevel"/>
    <w:lvl w:ilvl="0">
      <w:lvlJc w:val="left"/>
      <w:lvlText w:val="%1."/>
      <w:numFmt w:val="decimal"/>
      <w:start w:val="3"/>
    </w:lvl>
  </w:abstractNum>
  <w:abstractNum w:abstractNumId="96">
    <w:nsid w:val="3C5991AA"/>
    <w:multiLevelType w:val="hybridMultilevel"/>
    <w:lvl w:ilvl="0">
      <w:lvlJc w:val="left"/>
      <w:lvlText w:val="%1."/>
      <w:numFmt w:val="decimal"/>
      <w:start w:val="5"/>
    </w:lvl>
    <w:lvl w:ilvl="1">
      <w:lvlJc w:val="left"/>
      <w:lvlText w:val="(%2)"/>
      <w:numFmt w:val="lowerLetter"/>
      <w:start w:val="1"/>
    </w:lvl>
  </w:abstractNum>
  <w:abstractNum w:abstractNumId="97">
    <w:nsid w:val="4BD8591A"/>
    <w:multiLevelType w:val="hybridMultilevel"/>
    <w:lvl w:ilvl="0">
      <w:lvlJc w:val="left"/>
      <w:lvlText w:val="%1"/>
      <w:numFmt w:val="decimal"/>
      <w:start w:val="1"/>
    </w:lvl>
    <w:lvl w:ilvl="1">
      <w:lvlJc w:val="left"/>
      <w:lvlText w:val="(%2)"/>
      <w:numFmt w:val="lowerLetter"/>
      <w:start w:val="3"/>
    </w:lvl>
  </w:abstractNum>
  <w:abstractNum w:abstractNumId="98">
    <w:nsid w:val="78DF6A55"/>
    <w:multiLevelType w:val="hybridMultilevel"/>
    <w:lvl w:ilvl="0">
      <w:lvlJc w:val="left"/>
      <w:lvlText w:val="%1."/>
      <w:numFmt w:val="decimal"/>
      <w:start w:val="7"/>
    </w:lvl>
    <w:lvl w:ilvl="1">
      <w:lvlJc w:val="left"/>
      <w:lvlText w:val="(%2)"/>
      <w:numFmt w:val="lowerLetter"/>
      <w:start w:val="1"/>
    </w:lvl>
  </w:abstractNum>
  <w:abstractNum w:abstractNumId="99">
    <w:nsid w:val="39B7AAA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0">
    <w:nsid w:val="2B0D8DB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1">
    <w:nsid w:val="6C80EC70"/>
    <w:multiLevelType w:val="hybridMultilevel"/>
    <w:lvl w:ilvl="0">
      <w:lvlJc w:val="left"/>
      <w:lvlText w:val="%1."/>
      <w:numFmt w:val="decimal"/>
      <w:start w:val="12"/>
    </w:lvl>
  </w:abstractNum>
  <w:abstractNum w:abstractNumId="102">
    <w:nsid w:val="379E21B5"/>
    <w:multiLevelType w:val="hybridMultilevel"/>
    <w:lvl w:ilvl="0">
      <w:lvlJc w:val="left"/>
      <w:lvlText w:val="%1."/>
      <w:numFmt w:val="decimal"/>
      <w:start w:val="20"/>
    </w:lvl>
  </w:abstractNum>
  <w:abstractNum w:abstractNumId="103">
    <w:nsid w:val="69E373"/>
    <w:multiLevelType w:val="hybridMultilevel"/>
    <w:lvl w:ilvl="0">
      <w:lvlJc w:val="left"/>
      <w:lvlText w:val="%1."/>
      <w:numFmt w:val="decimal"/>
      <w:start w:val="23"/>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4"/>
    </w:lvl>
  </w:abstractNum>
  <w:abstractNum w:abstractNumId="106">
    <w:nsid w:val="6AA7B75C"/>
    <w:multiLevelType w:val="hybridMultilevel"/>
    <w:lvl w:ilvl="0">
      <w:lvlJc w:val="left"/>
      <w:lvlText w:val="[%1]"/>
      <w:numFmt w:val="decimal"/>
      <w:start w:val="1"/>
    </w:lvl>
  </w:abstractNum>
  <w:abstractNum w:abstractNumId="107">
    <w:nsid w:val="1DF029D3"/>
    <w:multiLevelType w:val="hybridMultilevel"/>
    <w:lvl w:ilvl="0">
      <w:lvlJc w:val="left"/>
      <w:lvlText w:val="[%1]"/>
      <w:numFmt w:val="decimal"/>
      <w:start w:val="2"/>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2"/>
    </w:lvl>
    <w:lvl w:ilvl="1">
      <w:lvlJc w:val="left"/>
      <w:lvlText w:val="(%2)"/>
      <w:numFmt w:val="lowerLetter"/>
      <w:start w:val="1"/>
    </w:lvl>
  </w:abstractNum>
  <w:abstractNum w:abstractNumId="110">
    <w:nsid w:val="3DB012B3"/>
    <w:multiLevelType w:val="hybridMultilevel"/>
    <w:lvl w:ilvl="0">
      <w:lvlJc w:val="left"/>
      <w:lvlText w:val="(%1)"/>
      <w:numFmt w:val="lowerRoman"/>
      <w:start w:val="2"/>
    </w:lvl>
    <w:lvl w:ilvl="1">
      <w:lvlJc w:val="left"/>
      <w:lvlText w:val="(%2)"/>
      <w:numFmt w:val="lowerLetter"/>
      <w:start w:val="2"/>
    </w:lvl>
  </w:abstractNum>
  <w:abstractNum w:abstractNumId="111">
    <w:nsid w:val="2708C9AF"/>
    <w:multiLevelType w:val="hybridMultilevel"/>
    <w:lvl w:ilvl="0">
      <w:lvlJc w:val="left"/>
      <w:lvlText w:val="%1"/>
      <w:numFmt w:val="decimal"/>
      <w:start w:val="1"/>
    </w:lvl>
    <w:lvl w:ilvl="1">
      <w:lvlJc w:val="left"/>
      <w:lvlText w:val="(%2)"/>
      <w:numFmt w:val="lowerLetter"/>
      <w:start w:val="3"/>
    </w:lvl>
  </w:abstractNum>
  <w:abstractNum w:abstractNumId="112">
    <w:nsid w:val="5B25ACE2"/>
    <w:multiLevelType w:val="hybridMultilevel"/>
    <w:lvl w:ilvl="0">
      <w:lvlJc w:val="left"/>
      <w:lvlText w:val="%1."/>
      <w:numFmt w:val="decimal"/>
      <w:start w:val="3"/>
    </w:lvl>
    <w:lvl w:ilvl="1">
      <w:lvlJc w:val="left"/>
      <w:lvlText w:val="(%2)"/>
      <w:numFmt w:val="lowerLetter"/>
      <w:start w:val="1"/>
    </w:lvl>
  </w:abstractNum>
  <w:abstractNum w:abstractNumId="113">
    <w:nsid w:val="175DFCF0"/>
    <w:multiLevelType w:val="hybridMultilevel"/>
    <w:lvl w:ilvl="0">
      <w:lvlJc w:val="left"/>
      <w:lvlText w:val="%1."/>
      <w:numFmt w:val="decimal"/>
      <w:start w:val="4"/>
    </w:lvl>
  </w:abstractNum>
  <w:abstractNum w:abstractNumId="114">
    <w:nsid w:val="4F97E3E4"/>
    <w:multiLevelType w:val="hybridMultilevel"/>
    <w:lvl w:ilvl="0">
      <w:lvlJc w:val="left"/>
      <w:lvlText w:val="%1."/>
      <w:numFmt w:val="decimal"/>
      <w:start w:val="8"/>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decimal"/>
      <w:start w:val="3"/>
    </w:lvl>
  </w:abstractNum>
  <w:abstractNum w:abstractNumId="117">
    <w:nsid w:val="5915FF32"/>
    <w:multiLevelType w:val="hybridMultilevel"/>
    <w:lvl w:ilvl="0">
      <w:lvlJc w:val="left"/>
      <w:lvlText w:val="%1."/>
      <w:numFmt w:val="decimal"/>
      <w:start w:val="4"/>
    </w:lvl>
  </w:abstractNum>
  <w:abstractNum w:abstractNumId="118">
    <w:nsid w:val="56438D15"/>
    <w:multiLevelType w:val="hybridMultilevel"/>
    <w:lvl w:ilvl="0">
      <w:lvlJc w:val="left"/>
      <w:lvlText w:val="%1."/>
      <w:numFmt w:val="decimal"/>
      <w:start w:val="10"/>
    </w:lvl>
  </w:abstractNum>
  <w:abstractNum w:abstractNumId="119">
    <w:nsid w:val="519E3149"/>
    <w:multiLevelType w:val="hybridMultilevel"/>
    <w:lvl w:ilvl="0">
      <w:lvlJc w:val="left"/>
      <w:lvlText w:val="%1."/>
      <w:numFmt w:val="decimal"/>
      <w:start w:val="1"/>
    </w:lvl>
    <w:lvl w:ilvl="1">
      <w:lvlJc w:val="left"/>
      <w:lvlText w:val="(%2)"/>
      <w:numFmt w:val="lowerLetter"/>
      <w:start w:val="1"/>
    </w:lvl>
  </w:abstractNum>
  <w:abstractNum w:abstractNumId="120">
    <w:nsid w:val="2C6E4AFD"/>
    <w:multiLevelType w:val="hybridMultilevel"/>
    <w:lvl w:ilvl="0">
      <w:lvlJc w:val="left"/>
      <w:lvlText w:val="%1."/>
      <w:numFmt w:val="decimal"/>
      <w:start w:val="3"/>
    </w:lvl>
  </w:abstractNum>
  <w:abstractNum w:abstractNumId="121">
    <w:nsid w:val="17A1B582"/>
    <w:multiLevelType w:val="hybridMultilevel"/>
    <w:lvl w:ilvl="0">
      <w:lvlJc w:val="left"/>
      <w:lvlText w:val="(%1)"/>
      <w:numFmt w:val="lowerRoman"/>
      <w:start w:val="2"/>
    </w:lvl>
  </w:abstractNum>
  <w:abstractNum w:abstractNumId="122">
    <w:nsid w:val="4DF72E4E"/>
    <w:multiLevelType w:val="hybridMultilevel"/>
    <w:lvl w:ilvl="0">
      <w:lvlJc w:val="left"/>
      <w:lvlText w:val="%1."/>
      <w:numFmt w:val="decimal"/>
      <w:start w:val="4"/>
    </w:lvl>
  </w:abstractNum>
  <w:abstractNum w:abstractNumId="123">
    <w:nsid w:val="5046B5A9"/>
    <w:multiLevelType w:val="hybridMultilevel"/>
    <w:lvl w:ilvl="0">
      <w:lvlJc w:val="left"/>
      <w:lvlText w:val="%1."/>
      <w:numFmt w:val="decimal"/>
      <w:start w:val="6"/>
    </w:lvl>
  </w:abstractNum>
  <w:abstractNum w:abstractNumId="124">
    <w:nsid w:val="5D888A08"/>
    <w:multiLevelType w:val="hybridMultilevel"/>
    <w:lvl w:ilvl="0">
      <w:lvlJc w:val="left"/>
      <w:lvlText w:val="%1."/>
      <w:numFmt w:val="decimal"/>
      <w:start w:val="12"/>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lowerLetter"/>
      <w:start w:val="3"/>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7"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49" Type="http://schemas.openxmlformats.org/officeDocument/2006/relationships/image" Target="media/image524.png"/><Relationship Id="rId550" Type="http://schemas.openxmlformats.org/officeDocument/2006/relationships/image" Target="media/image525.png"/><Relationship Id="rId551" Type="http://schemas.openxmlformats.org/officeDocument/2006/relationships/image" Target="media/image526.png"/><Relationship Id="rId552" Type="http://schemas.openxmlformats.org/officeDocument/2006/relationships/image" Target="media/image527.png"/><Relationship Id="rId553" Type="http://schemas.openxmlformats.org/officeDocument/2006/relationships/image" Target="media/image528.png"/><Relationship Id="rId554" Type="http://schemas.openxmlformats.org/officeDocument/2006/relationships/image" Target="media/image529.png"/><Relationship Id="rId555" Type="http://schemas.openxmlformats.org/officeDocument/2006/relationships/image" Target="media/image530.png"/><Relationship Id="rId556" Type="http://schemas.openxmlformats.org/officeDocument/2006/relationships/image" Target="media/image531.png"/><Relationship Id="rId557" Type="http://schemas.openxmlformats.org/officeDocument/2006/relationships/image" Target="media/image532.png"/><Relationship Id="rId558" Type="http://schemas.openxmlformats.org/officeDocument/2006/relationships/image" Target="media/image533.png"/><Relationship Id="rId559" Type="http://schemas.openxmlformats.org/officeDocument/2006/relationships/image" Target="media/image534.png"/><Relationship Id="rId560" Type="http://schemas.openxmlformats.org/officeDocument/2006/relationships/image" Target="media/image535.jpeg"/><Relationship Id="rId561" Type="http://schemas.openxmlformats.org/officeDocument/2006/relationships/image" Target="media/image536.png"/><Relationship Id="rId562" Type="http://schemas.openxmlformats.org/officeDocument/2006/relationships/image" Target="media/image537.png"/><Relationship Id="rId563" Type="http://schemas.openxmlformats.org/officeDocument/2006/relationships/image" Target="media/image538.png"/><Relationship Id="rId564" Type="http://schemas.openxmlformats.org/officeDocument/2006/relationships/image" Target="media/image539.png"/><Relationship Id="rId565" Type="http://schemas.openxmlformats.org/officeDocument/2006/relationships/image" Target="media/image540.png"/><Relationship Id="rId566" Type="http://schemas.openxmlformats.org/officeDocument/2006/relationships/image" Target="media/image541.png"/><Relationship Id="rId567" Type="http://schemas.openxmlformats.org/officeDocument/2006/relationships/image" Target="media/image542.png"/><Relationship Id="rId568" Type="http://schemas.openxmlformats.org/officeDocument/2006/relationships/image" Target="media/image543.png"/><Relationship Id="rId569" Type="http://schemas.openxmlformats.org/officeDocument/2006/relationships/image" Target="media/image544.png"/><Relationship Id="rId570" Type="http://schemas.openxmlformats.org/officeDocument/2006/relationships/image" Target="media/image545.png"/><Relationship Id="rId571" Type="http://schemas.openxmlformats.org/officeDocument/2006/relationships/image" Target="media/image546.png"/><Relationship Id="rId572" Type="http://schemas.openxmlformats.org/officeDocument/2006/relationships/image" Target="media/image547.png"/><Relationship Id="rId573" Type="http://schemas.openxmlformats.org/officeDocument/2006/relationships/image" Target="media/image548.png"/><Relationship Id="rId574" Type="http://schemas.openxmlformats.org/officeDocument/2006/relationships/image" Target="media/image549.png"/><Relationship Id="rId575" Type="http://schemas.openxmlformats.org/officeDocument/2006/relationships/image" Target="media/image550.png"/><Relationship Id="rId576" Type="http://schemas.openxmlformats.org/officeDocument/2006/relationships/image" Target="media/image551.png"/><Relationship Id="rId577" Type="http://schemas.openxmlformats.org/officeDocument/2006/relationships/image" Target="media/image552.png"/><Relationship Id="rId578" Type="http://schemas.openxmlformats.org/officeDocument/2006/relationships/image" Target="media/image553.jpeg"/><Relationship Id="rId579" Type="http://schemas.openxmlformats.org/officeDocument/2006/relationships/image" Target="media/image554.png"/><Relationship Id="rId580" Type="http://schemas.openxmlformats.org/officeDocument/2006/relationships/image" Target="media/image555.png"/><Relationship Id="rId581" Type="http://schemas.openxmlformats.org/officeDocument/2006/relationships/image" Target="media/image556.png"/><Relationship Id="rId582" Type="http://schemas.openxmlformats.org/officeDocument/2006/relationships/image" Target="media/image557.png"/><Relationship Id="rId583" Type="http://schemas.openxmlformats.org/officeDocument/2006/relationships/image" Target="media/image558.png"/><Relationship Id="rId584" Type="http://schemas.openxmlformats.org/officeDocument/2006/relationships/image" Target="media/image559.png"/><Relationship Id="rId585" Type="http://schemas.openxmlformats.org/officeDocument/2006/relationships/image" Target="media/image560.png"/><Relationship Id="rId586" Type="http://schemas.openxmlformats.org/officeDocument/2006/relationships/image" Target="media/image561.png"/><Relationship Id="rId587" Type="http://schemas.openxmlformats.org/officeDocument/2006/relationships/image" Target="media/image562.png"/><Relationship Id="rId588" Type="http://schemas.openxmlformats.org/officeDocument/2006/relationships/image" Target="media/image563.png"/><Relationship Id="rId589" Type="http://schemas.openxmlformats.org/officeDocument/2006/relationships/image" Target="media/image564.png"/><Relationship Id="rId590" Type="http://schemas.openxmlformats.org/officeDocument/2006/relationships/image" Target="media/image565.png"/><Relationship Id="rId591" Type="http://schemas.openxmlformats.org/officeDocument/2006/relationships/image" Target="media/image566.png"/><Relationship Id="rId592" Type="http://schemas.openxmlformats.org/officeDocument/2006/relationships/image" Target="media/image567.png"/><Relationship Id="rId593" Type="http://schemas.openxmlformats.org/officeDocument/2006/relationships/image" Target="media/image568.jpeg"/><Relationship Id="rId594" Type="http://schemas.openxmlformats.org/officeDocument/2006/relationships/image" Target="media/image569.png"/><Relationship Id="rId595" Type="http://schemas.openxmlformats.org/officeDocument/2006/relationships/image" Target="media/image570.png"/><Relationship Id="rId596" Type="http://schemas.openxmlformats.org/officeDocument/2006/relationships/image" Target="media/image571.png"/><Relationship Id="rId597" Type="http://schemas.openxmlformats.org/officeDocument/2006/relationships/image" Target="media/image572.png"/><Relationship Id="rId598" Type="http://schemas.openxmlformats.org/officeDocument/2006/relationships/image" Target="media/image573.png"/><Relationship Id="rId599" Type="http://schemas.openxmlformats.org/officeDocument/2006/relationships/image" Target="media/image574.png"/><Relationship Id="rId600" Type="http://schemas.openxmlformats.org/officeDocument/2006/relationships/image" Target="media/image575.png"/><Relationship Id="rId601" Type="http://schemas.openxmlformats.org/officeDocument/2006/relationships/image" Target="media/image576.png"/><Relationship Id="rId602" Type="http://schemas.openxmlformats.org/officeDocument/2006/relationships/image" Target="media/image577.png"/><Relationship Id="rId603" Type="http://schemas.openxmlformats.org/officeDocument/2006/relationships/image" Target="media/image578.png"/><Relationship Id="rId604" Type="http://schemas.openxmlformats.org/officeDocument/2006/relationships/image" Target="media/image579.png"/><Relationship Id="rId605" Type="http://schemas.openxmlformats.org/officeDocument/2006/relationships/image" Target="media/image580.png"/><Relationship Id="rId606" Type="http://schemas.openxmlformats.org/officeDocument/2006/relationships/image" Target="media/image581.png"/><Relationship Id="rId607" Type="http://schemas.openxmlformats.org/officeDocument/2006/relationships/image" Target="media/image582.png"/><Relationship Id="rId608" Type="http://schemas.openxmlformats.org/officeDocument/2006/relationships/image" Target="media/image583.png"/><Relationship Id="rId609" Type="http://schemas.openxmlformats.org/officeDocument/2006/relationships/image" Target="media/image584.png"/><Relationship Id="rId610" Type="http://schemas.openxmlformats.org/officeDocument/2006/relationships/image" Target="media/image585.png"/><Relationship Id="rId611" Type="http://schemas.openxmlformats.org/officeDocument/2006/relationships/image" Target="media/image586.png"/><Relationship Id="rId612" Type="http://schemas.openxmlformats.org/officeDocument/2006/relationships/image" Target="media/image587.png"/><Relationship Id="rId613" Type="http://schemas.openxmlformats.org/officeDocument/2006/relationships/image" Target="media/image588.png"/><Relationship Id="rId614" Type="http://schemas.openxmlformats.org/officeDocument/2006/relationships/image" Target="media/image589.png"/><Relationship Id="rId615" Type="http://schemas.openxmlformats.org/officeDocument/2006/relationships/image" Target="media/image590.png"/><Relationship Id="rId616" Type="http://schemas.openxmlformats.org/officeDocument/2006/relationships/image" Target="media/image591.png"/><Relationship Id="rId617" Type="http://schemas.openxmlformats.org/officeDocument/2006/relationships/image" Target="media/image592.png"/><Relationship Id="rId618" Type="http://schemas.openxmlformats.org/officeDocument/2006/relationships/image" Target="media/image593.png"/><Relationship Id="rId619" Type="http://schemas.openxmlformats.org/officeDocument/2006/relationships/image" Target="media/image594.png"/><Relationship Id="rId620" Type="http://schemas.openxmlformats.org/officeDocument/2006/relationships/image" Target="media/image595.png"/><Relationship Id="rId621" Type="http://schemas.openxmlformats.org/officeDocument/2006/relationships/image" Target="media/image596.png"/><Relationship Id="rId622" Type="http://schemas.openxmlformats.org/officeDocument/2006/relationships/image" Target="media/image597.png"/><Relationship Id="rId623" Type="http://schemas.openxmlformats.org/officeDocument/2006/relationships/image" Target="media/image598.png"/><Relationship Id="rId624" Type="http://schemas.openxmlformats.org/officeDocument/2006/relationships/image" Target="media/image599.png"/><Relationship Id="rId625" Type="http://schemas.openxmlformats.org/officeDocument/2006/relationships/image" Target="media/image600.png"/><Relationship Id="rId626" Type="http://schemas.openxmlformats.org/officeDocument/2006/relationships/image" Target="media/image601.png"/><Relationship Id="rId627" Type="http://schemas.openxmlformats.org/officeDocument/2006/relationships/image" Target="media/image602.png"/><Relationship Id="rId628" Type="http://schemas.openxmlformats.org/officeDocument/2006/relationships/image" Target="media/image603.png"/><Relationship Id="rId629" Type="http://schemas.openxmlformats.org/officeDocument/2006/relationships/image" Target="media/image604.png"/><Relationship Id="rId630" Type="http://schemas.openxmlformats.org/officeDocument/2006/relationships/image" Target="media/image605.png"/><Relationship Id="rId631" Type="http://schemas.openxmlformats.org/officeDocument/2006/relationships/image" Target="media/image606.png"/><Relationship Id="rId632" Type="http://schemas.openxmlformats.org/officeDocument/2006/relationships/image" Target="media/image607.png"/><Relationship Id="rId633" Type="http://schemas.openxmlformats.org/officeDocument/2006/relationships/image" Target="media/image608.png"/><Relationship Id="rId634" Type="http://schemas.openxmlformats.org/officeDocument/2006/relationships/image" Target="media/image609.png"/><Relationship Id="rId635" Type="http://schemas.openxmlformats.org/officeDocument/2006/relationships/image" Target="media/image610.png"/><Relationship Id="rId636" Type="http://schemas.openxmlformats.org/officeDocument/2006/relationships/image" Target="media/image611.png"/><Relationship Id="rId637" Type="http://schemas.openxmlformats.org/officeDocument/2006/relationships/image" Target="media/image612.png"/><Relationship Id="rId638" Type="http://schemas.openxmlformats.org/officeDocument/2006/relationships/image" Target="media/image613.png"/><Relationship Id="rId639" Type="http://schemas.openxmlformats.org/officeDocument/2006/relationships/image" Target="media/image614.png"/><Relationship Id="rId640" Type="http://schemas.openxmlformats.org/officeDocument/2006/relationships/image" Target="media/image615.png"/><Relationship Id="rId641" Type="http://schemas.openxmlformats.org/officeDocument/2006/relationships/image" Target="media/image616.png"/><Relationship Id="rId642" Type="http://schemas.openxmlformats.org/officeDocument/2006/relationships/image" Target="media/image617.png"/><Relationship Id="rId643" Type="http://schemas.openxmlformats.org/officeDocument/2006/relationships/image" Target="media/image618.png"/><Relationship Id="rId644" Type="http://schemas.openxmlformats.org/officeDocument/2006/relationships/image" Target="media/image619.png"/><Relationship Id="rId645" Type="http://schemas.openxmlformats.org/officeDocument/2006/relationships/image" Target="media/image620.png"/><Relationship Id="rId646" Type="http://schemas.openxmlformats.org/officeDocument/2006/relationships/image" Target="media/image621.png"/><Relationship Id="rId647" Type="http://schemas.openxmlformats.org/officeDocument/2006/relationships/image" Target="media/image622.png"/><Relationship Id="rId648" Type="http://schemas.openxmlformats.org/officeDocument/2006/relationships/image" Target="media/image623.png"/><Relationship Id="rId649" Type="http://schemas.openxmlformats.org/officeDocument/2006/relationships/image" Target="media/image624.png"/><Relationship Id="rId650" Type="http://schemas.openxmlformats.org/officeDocument/2006/relationships/image" Target="media/image625.png"/><Relationship Id="rId651" Type="http://schemas.openxmlformats.org/officeDocument/2006/relationships/image" Target="media/image626.png"/><Relationship Id="rId652" Type="http://schemas.openxmlformats.org/officeDocument/2006/relationships/image" Target="media/image627.png"/><Relationship Id="rId653" Type="http://schemas.openxmlformats.org/officeDocument/2006/relationships/image" Target="media/image628.png"/><Relationship Id="rId654" Type="http://schemas.openxmlformats.org/officeDocument/2006/relationships/image" Target="media/image629.png"/><Relationship Id="rId655" Type="http://schemas.openxmlformats.org/officeDocument/2006/relationships/image" Target="media/image630.png"/><Relationship Id="rId656" Type="http://schemas.openxmlformats.org/officeDocument/2006/relationships/image" Target="media/image631.png"/><Relationship Id="rId657" Type="http://schemas.openxmlformats.org/officeDocument/2006/relationships/image" Target="media/image632.png"/><Relationship Id="rId658" Type="http://schemas.openxmlformats.org/officeDocument/2006/relationships/image" Target="media/image633.png"/><Relationship Id="rId659" Type="http://schemas.openxmlformats.org/officeDocument/2006/relationships/image" Target="media/image634.png"/><Relationship Id="rId496" Type="http://schemas.openxmlformats.org/officeDocument/2006/relationships/hyperlink" Target="https://www.sec.gov/Archives/edgar/data/0001404655/000156459016013204/hubs-ex31_768.htm" TargetMode="External"/><Relationship Id="rId497" Type="http://schemas.openxmlformats.org/officeDocument/2006/relationships/hyperlink" Target="https://www.sec.gov/Archives/edgar/data/0001404655/000156459020051449/hubs-ex32_103.htm" TargetMode="External"/><Relationship Id="rId498" Type="http://schemas.openxmlformats.org/officeDocument/2006/relationships/hyperlink" Target="https://www.sec.gov/Archives/edgar/data/1404655/000119312514353746/d697256dex41.htm" TargetMode="External"/><Relationship Id="rId499" Type="http://schemas.openxmlformats.org/officeDocument/2006/relationships/hyperlink" Target="https://www.sec.gov/Archives/edgar/data/1404655/000119312514320044/d697256dex42.htm" TargetMode="External"/><Relationship Id="rId500" Type="http://schemas.openxmlformats.org/officeDocument/2006/relationships/hyperlink" Target="https://www.sec.gov/Archives/edgar/data/1404655/000119312517165870/d383013dex41.htm" TargetMode="External"/><Relationship Id="rId503" Type="http://schemas.openxmlformats.org/officeDocument/2006/relationships/hyperlink" Target="https://www.sec.gov/Archives/edgar/data/1404655/000119312520162234/d933656dex41.htm" TargetMode="External"/><Relationship Id="rId506" Type="http://schemas.openxmlformats.org/officeDocument/2006/relationships/hyperlink" Target="https://www.sec.gov/Archives/edgar/data/1404655/000156459020004381/hubs-ex45_1719.htm" TargetMode="External"/><Relationship Id="rId508" Type="http://schemas.openxmlformats.org/officeDocument/2006/relationships/hyperlink" Target="https://www.sec.gov/Archives/edgar/data/1404655/000156459019002699/hubs-ex101_341.htm" TargetMode="External"/><Relationship Id="rId513" Type="http://schemas.openxmlformats.org/officeDocument/2006/relationships/hyperlink" Target="https://www.sec.gov/Archives/edgar/data/1404655/000156459016017682/hubs-ex101_11.htm" TargetMode="External"/><Relationship Id="rId514" Type="http://schemas.openxmlformats.org/officeDocument/2006/relationships/hyperlink" Target="https://www.sec.gov/Archives/edgar/data/1404655/000156459020004381/hubs-ex103_2330.htm" TargetMode="External"/><Relationship Id="rId515" Type="http://schemas.openxmlformats.org/officeDocument/2006/relationships/hyperlink" Target="https://www.sec.gov/Archives/edgar/data/1404655/000156459020004381/hubs-ex104_1395.htm" TargetMode="External"/><Relationship Id="rId516" Type="http://schemas.openxmlformats.org/officeDocument/2006/relationships/hyperlink" Target="https://www.sec.gov/Archives/edgar/data/1404655/000156459020004381/hubs-ex105_11.htm" TargetMode="External"/><Relationship Id="rId517" Type="http://schemas.openxmlformats.org/officeDocument/2006/relationships/hyperlink" Target="https://www.sec.gov/Archives/edgar/data/1404655/000119312514320044/d697256dex104.htm" TargetMode="External"/><Relationship Id="rId518" Type="http://schemas.openxmlformats.org/officeDocument/2006/relationships/hyperlink" Target="https://www.sec.gov/Archives/edgar/data/1404655/000119312514320044/d697256dex105.htm" TargetMode="External"/><Relationship Id="rId519" Type="http://schemas.openxmlformats.org/officeDocument/2006/relationships/hyperlink" Target="https://www.sec.gov/Archives/edgar/data/1404655/000119312514363926/d697256dex108.htm" TargetMode="External"/><Relationship Id="rId520" Type="http://schemas.openxmlformats.org/officeDocument/2006/relationships/hyperlink" Target="https://www.sec.gov/Archives/edgar/data/1404655/000119312517165870/d383013dex101.htm" TargetMode="External"/><Relationship Id="rId521" Type="http://schemas.openxmlformats.org/officeDocument/2006/relationships/hyperlink" Target="https://www.sec.gov/Archives/edgar/data/1404655/000119312517165870/d383013dex102.htm" TargetMode="External"/><Relationship Id="rId522" Type="http://schemas.openxmlformats.org/officeDocument/2006/relationships/hyperlink" Target="https://www.sec.gov/Archives/edgar/data/1404655/000119312520162234/d933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2022-02-14T16:35:15Z</dcterms:created>
  <dcterms:modified xsi:type="dcterms:W3CDTF">2022-02-14T16:35:15Z</dcterms:modified>
</cp:coreProperties>
</file>