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40930.htm"/>
      <w:bookmarkStart w:id="1" w:name="kshubs20240930"/>
      <w:bookmarkEnd w:id="0"/>
      <w:bookmarkEnd w:id="1"/>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September 30, 2024</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HubSpot,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116" w:type="dxa"/>
        <w:jc w:val="left"/>
        <w:tblInd w:w="0" w:type="dxa"/>
        <w:tblLayout w:type="fixed"/>
        <w:tblCellMar>
          <w:top w:w="28" w:type="dxa"/>
          <w:left w:w="28" w:type="dxa"/>
          <w:bottom w:w="28" w:type="dxa"/>
          <w:right w:w="28" w:type="dxa"/>
        </w:tblCellMar>
      </w:tblPr>
      <w:tblGrid>
        <w:gridCol w:w="2446"/>
        <w:gridCol w:w="109"/>
        <w:gridCol w:w="156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2446"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Two Canal Park</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9"/>
              </w:rPr>
              <w:t>Cambridge, Massachusetts</w:t>
            </w:r>
            <w:r>
              <w:rPr>
                <w:rFonts w:ascii="Times New Roman" w:hAnsi="Times New Roman"/>
                <w:color w:val="000000"/>
                <w:sz w:val="20"/>
              </w:rPr>
              <w:t xml:space="preserve"> </w:t>
            </w:r>
            <w:r>
              <w:rPr>
                <w:rFonts w:ascii="Times New Roman" w:hAnsi="Times New Roman"/>
                <w:b/>
                <w:color w:val="000000"/>
                <w:sz w:val="19"/>
              </w:rPr>
              <w:t>02141</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9"/>
              </w:rPr>
              <w:t>(Address of principal executive offices)</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(888) 482-7768</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436"/>
        <w:gridCol w:w="146"/>
        <w:gridCol w:w="1561"/>
        <w:gridCol w:w="146"/>
        <w:gridCol w:w="34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3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HUBS</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There were 51,623,568</w:t>
      </w:r>
      <w:r>
        <w:rPr>
          <w:rFonts w:ascii="Times New Roman" w:hAnsi="Times New Roman"/>
          <w:color w:val="FF0000"/>
          <w:sz w:val="20"/>
        </w:rPr>
        <w:t xml:space="preserve"> </w:t>
      </w:r>
      <w:r>
        <w:rPr>
          <w:rFonts w:ascii="Times New Roman" w:hAnsi="Times New Roman"/>
          <w:color w:val="000000"/>
          <w:sz w:val="18"/>
        </w:rPr>
        <w:t>shares of the registrant’s Common Stock issued and outstanding as of November 1, 2024.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391"/>
        <w:gridCol w:w="8477"/>
        <w:gridCol w:w="361"/>
      </w:tblGrid>
      <w:tr>
        <w:trPr/>
        <w:tc>
          <w:tcPr>
            <w:tcW w:w="9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center"/>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1_financial_statements">
              <w:r>
                <w:rPr>
                  <w:rStyle w:val="InternetLink"/>
                  <w:rFonts w:ascii="Times New Roman" w:hAnsi="Times New Roman"/>
                  <w:color w:val="0000FF"/>
                  <w:sz w:val="20"/>
                  <w:u w:val="single"/>
                </w:rPr>
                <w:t>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balance_sheets">
              <w:r>
                <w:rPr>
                  <w:rStyle w:val="InternetLink"/>
                  <w:rFonts w:ascii="Times New Roman" w:hAnsi="Times New Roman"/>
                  <w:color w:val="0000FF"/>
                  <w:sz w:val="20"/>
                  <w:u w:val="single"/>
                </w:rPr>
                <w:t>Unaudited Consolidated Balance Sheets as of September 30, 2024 and December 31,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operat">
              <w:r>
                <w:rPr>
                  <w:rStyle w:val="InternetLink"/>
                  <w:rFonts w:ascii="Times New Roman" w:hAnsi="Times New Roman"/>
                  <w:color w:val="0000FF"/>
                  <w:sz w:val="20"/>
                  <w:u w:val="single"/>
                </w:rPr>
                <w:t>Unaudited Consolidated Statements of Operations for the Three and Nine Months Ended September 30,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compre">
              <w:r>
                <w:rPr>
                  <w:rStyle w:val="InternetLink"/>
                  <w:rFonts w:ascii="Times New Roman" w:hAnsi="Times New Roman"/>
                  <w:color w:val="0000FF"/>
                  <w:sz w:val="20"/>
                  <w:u w:val="single"/>
                </w:rPr>
                <w:t>Unaudited Consolidated Statements of Comprehensive Loss for the Three and Nine Months Ended September 30,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ted_consolidated_se">
              <w:r>
                <w:rPr>
                  <w:rStyle w:val="InternetLink"/>
                  <w:rFonts w:ascii="Times New Roman" w:hAnsi="Times New Roman"/>
                  <w:color w:val="0000FF"/>
                  <w:sz w:val="20"/>
                  <w:u w:val="single"/>
                </w:rPr>
                <w:t>Unaudited Consolidated Statement of Stockholders’ Equity for the Three and Nine Months Ended September 30,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cash_f">
              <w:r>
                <w:rPr>
                  <w:rStyle w:val="InternetLink"/>
                  <w:rFonts w:ascii="Times New Roman" w:hAnsi="Times New Roman"/>
                  <w:color w:val="0000FF"/>
                  <w:sz w:val="20"/>
                  <w:u w:val="single"/>
                </w:rPr>
                <w:t>Unaudited Consolidated Statements of Cash Flows for the Nine Months Ended September 30,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notes">
              <w:r>
                <w:rPr>
                  <w:rStyle w:val="InternetLink"/>
                  <w:rFonts w:ascii="Times New Roman" w:hAnsi="Times New Roman"/>
                  <w:color w:val="0000FF"/>
                  <w:sz w:val="20"/>
                  <w:u w:val="single"/>
                </w:rPr>
                <w:t>Notes to 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4_controls_procedures">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on_senior_securities">
              <w:r>
                <w:rPr>
                  <w:rStyle w:val="InternetLink"/>
                  <w:rFonts w:ascii="Times New Roman" w:hAnsi="Times New Roman"/>
                  <w:color w:val="0000FF"/>
                  <w:sz w:val="20"/>
                  <w:u w:val="single"/>
                </w:rPr>
                <w:t>Default Upon Senior Securities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CFO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AND CFO PURSUANT TO SECTION 906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financial and operational performance, including our expectations regarding our revenue, cost of revenue, gross margin and operating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maintaining and expanding our customer base and increasing our average subscription revenue per customer;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competition in our industry and innovation by our competitors, including as a result of new or better use of evolving artificial intelligence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growth and expectations regarding our ability to manage our future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expectations regarding the potential impact of geo-political conflicts, inflationary pressures, foreign currency movement, macroeconomic stability, and catastrophic events, such as the COVID-19 pandemic, on our business, the broader economy, our workforce and operations, the markets in which we and our partners and customers operate, and our ability to forecast future financial performance;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areas of investments, including sales and marketing, research and development, including with respect to artificial intelligence and machine learning, customer service and support, data center infrastructure and service capabilities, and expectations relating to such investments;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predictions about industry and market trends;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artificial intelligence and machine learning;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brand and inbound marketing, selling and servicing thought leadership position;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corporate culture and our ability to attract, hire and retain necessary qualified employees to expand our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acquire and integrate companies and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plans regarding declaring or paying cash dividends in the foreseeable future;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this Quarterly Report on Form 10-Q, the terms “HubSpot,” “we,” “us,” and “our” refer to HubSpot, Inc. and its subsidiaries, unless the context indicates otherwise.</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fail to adapt and respond effectively to rapidly changing technology, evolving industry standards and changing customer needs or requirements, our customer platform may become less competitive.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introduce new products and features, including new products and features that utilize artificial intelligence, is dependent on adequate research and development resources. If we do not adequately fund our research and development efforts, we may not be able to compete effectively and our business and operating results may be harmed.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adversely affect our financial results.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current economic downturn may lead to decreased demand for our products and services and otherwise harm our business and results of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Interruptions or delays in service from our third-party data center providers could impair our ability to deliver our platform to our customers, resulting in customer dissatisfaction, damage to our reputation, loss of customers, limited growth, and reduction in revenue.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our customer platform has outages or fails due to defects or similar problems, and if we fail to correct any defect or other software problems, we could lose customers, become subject to service performance or warranty claims or incur significant costs.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 history of losses and may not achieve profitability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raise capital in the future may be limited, and our failure to raise capital when needed could prevent us from growing.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4" w:name="unaudited_consolidated_balance_sheets"/>
      <w:bookmarkEnd w:id="4"/>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334" w:type="dxa"/>
        <w:jc w:val="left"/>
        <w:tblInd w:w="0" w:type="dxa"/>
        <w:tblLayout w:type="fixed"/>
        <w:tblCellMar>
          <w:top w:w="28" w:type="dxa"/>
          <w:left w:w="28" w:type="dxa"/>
          <w:bottom w:w="28" w:type="dxa"/>
          <w:right w:w="28" w:type="dxa"/>
        </w:tblCellMar>
      </w:tblPr>
      <w:tblGrid>
        <w:gridCol w:w="6201"/>
        <w:gridCol w:w="146"/>
        <w:gridCol w:w="211"/>
        <w:gridCol w:w="931"/>
        <w:gridCol w:w="166"/>
        <w:gridCol w:w="146"/>
        <w:gridCol w:w="211"/>
        <w:gridCol w:w="931"/>
        <w:gridCol w:w="391"/>
      </w:tblGrid>
      <w:tr>
        <w:trPr/>
        <w:tc>
          <w:tcPr>
            <w:tcW w:w="6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6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387,987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1,527,928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1,000,245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 net of allowance for doubtful accounts of $5,357</w:t>
              <w:br/>
              <w:t>    at September 30, 2024 and $5,516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commission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1,871,540</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325,703</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103,331</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106,229</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251,071</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122,194</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75,247</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42,316</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942,008</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296,561</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2,550,974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2,136,908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5" w:name="unaudited_consolidated_statements_operat"/>
      <w:bookmarkEnd w:id="5"/>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3176"/>
        <w:gridCol w:w="270"/>
        <w:gridCol w:w="1001"/>
        <w:gridCol w:w="212"/>
        <w:gridCol w:w="186"/>
        <w:gridCol w:w="270"/>
        <w:gridCol w:w="1001"/>
        <w:gridCol w:w="166"/>
        <w:gridCol w:w="146"/>
        <w:gridCol w:w="242"/>
        <w:gridCol w:w="1070"/>
        <w:gridCol w:w="190"/>
        <w:gridCol w:w="167"/>
        <w:gridCol w:w="242"/>
        <w:gridCol w:w="1070"/>
        <w:gridCol w:w="796"/>
      </w:tblGrid>
      <w:tr>
        <w:trPr/>
        <w:tc>
          <w:tcPr>
            <w:tcW w:w="31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vAlign w:val="center"/>
          </w:tcPr>
          <w:p>
            <w:pPr>
              <w:pStyle w:val="TableContents"/>
              <w:bidi w:val="0"/>
              <w:spacing w:before="0" w:after="283"/>
              <w:jc w:val="left"/>
              <w:rPr/>
            </w:pPr>
            <w:r>
              <w:rPr/>
              <w:t> </w:t>
            </w:r>
          </w:p>
        </w:tc>
        <w:tc>
          <w:tcPr>
            <w:tcW w:w="29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271"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200"/>
              <w:jc w:val="righ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654,738</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1,882,241</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1,553,253</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42,124</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revenue</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669,721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1,924,365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1,588,315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271"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200"/>
              <w:jc w:val="righ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85,066</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247,408</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210,011</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40,910</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289,928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250,921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570,397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1,634,437</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1,337,394</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71"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12" w:type="dxa"/>
            <w:gridSpan w:val="2"/>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312" w:type="dxa"/>
            <w:gridSpan w:val="2"/>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ind w:left="0" w:right="0" w:firstLine="200"/>
              <w:jc w:val="righ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191,185</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565,001</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454,511</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309,928</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904,010</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787,423</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77,928</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219,380</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179,939</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93,296</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580,028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1,691,238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1,515,169</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(177,775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71"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1312"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200"/>
              <w:jc w:val="right"/>
              <w:rPr/>
            </w:pPr>
            <w:r>
              <w:rPr/>
              <w:t> </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21,780</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60,877</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40,195</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3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79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35,250</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10,648</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15,685</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(142,525</w:t>
            </w:r>
          </w:p>
        </w:tc>
        <w:tc>
          <w:tcPr>
            <w:tcW w:w="79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(152,100</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w:t>
              <w:br/>
              <w:t>   computing basic net income (loss) per share:</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51,354</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51,017</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49,719</w:t>
            </w:r>
          </w:p>
        </w:tc>
        <w:tc>
          <w:tcPr>
            <w:tcW w:w="796" w:type="dxa"/>
            <w:tcBorders/>
            <w:shd w:fill="CFF0FC" w:val="cle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w:t>
              <w:br/>
              <w:t>   computing diluted net income (loss) per share:</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51,778</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51,017</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49,719</w:t>
            </w:r>
          </w:p>
        </w:tc>
        <w:tc>
          <w:tcPr>
            <w:tcW w:w="79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6" w:name="unaudited_consolidated_statements_compre"/>
      <w:bookmarkEnd w:id="6"/>
      <w:r>
        <w:rPr>
          <w:rFonts w:ascii="Times New Roman" w:hAnsi="Times New Roman"/>
          <w:b/>
          <w:color w:val="000000"/>
          <w:sz w:val="20"/>
        </w:rPr>
        <w:t>Unaudited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821"/>
        <w:gridCol w:w="237"/>
        <w:gridCol w:w="761"/>
        <w:gridCol w:w="186"/>
        <w:gridCol w:w="164"/>
        <w:gridCol w:w="237"/>
        <w:gridCol w:w="710"/>
        <w:gridCol w:w="166"/>
        <w:gridCol w:w="146"/>
        <w:gridCol w:w="232"/>
        <w:gridCol w:w="628"/>
        <w:gridCol w:w="182"/>
        <w:gridCol w:w="160"/>
        <w:gridCol w:w="232"/>
        <w:gridCol w:w="925"/>
        <w:gridCol w:w="418"/>
      </w:tblGrid>
      <w:tr>
        <w:trPr/>
        <w:tc>
          <w:tcPr>
            <w:tcW w:w="48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vAlign w:val="center"/>
          </w:tcPr>
          <w:p>
            <w:pPr>
              <w:pStyle w:val="TableContents"/>
              <w:bidi w:val="0"/>
              <w:spacing w:before="0" w:after="283"/>
              <w:jc w:val="left"/>
              <w:rPr/>
            </w:pPr>
            <w:r>
              <w:rPr/>
              <w:t> </w:t>
            </w:r>
          </w:p>
        </w:tc>
        <w:tc>
          <w:tcPr>
            <w:tcW w:w="22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w:t>
            </w:r>
          </w:p>
        </w:tc>
        <w:tc>
          <w:tcPr>
            <w:tcW w:w="186"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(152,100</w:t>
            </w:r>
          </w:p>
        </w:tc>
        <w:tc>
          <w:tcPr>
            <w:tcW w:w="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998" w:type="dxa"/>
            <w:gridSpan w:val="2"/>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60"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ind w:left="0" w:right="0" w:firstLine="200"/>
              <w:jc w:val="right"/>
              <w:rPr/>
            </w:pPr>
            <w:r>
              <w:rPr/>
              <w:t> </w:t>
            </w:r>
          </w:p>
        </w:tc>
      </w:tr>
      <w:tr>
        <w:trPr/>
        <w:tc>
          <w:tcPr>
            <w:tcW w:w="4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37"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w:t>
            </w:r>
          </w:p>
        </w:tc>
        <w:tc>
          <w:tcPr>
            <w:tcW w:w="186"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41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unrealized loss on investments, net of income taxes of $0 for the three and nine months ended September 30, 2024 and 2023</w:t>
            </w:r>
          </w:p>
        </w:tc>
        <w:tc>
          <w:tcPr>
            <w:tcW w:w="237"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418" w:type="dxa"/>
            <w:tcBorders/>
            <w:shd w:fill="FFFFFF" w:val="clear"/>
            <w:vAlign w:val="center"/>
          </w:tcPr>
          <w:p>
            <w:pPr>
              <w:pStyle w:val="TableContents"/>
              <w:bidi w:val="0"/>
              <w:spacing w:before="0" w:after="283"/>
              <w:ind w:left="0" w:right="0" w:firstLine="200"/>
              <w:jc w:val="left"/>
              <w:rPr/>
            </w:pPr>
            <w:r>
              <w:rPr/>
              <w:t> </w:t>
            </w:r>
          </w:p>
        </w:tc>
      </w:tr>
      <w:tr>
        <w:trPr/>
        <w:tc>
          <w:tcPr>
            <w:tcW w:w="4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unrealized loss on cash flow hedges, net of income taxes of $52 and $115 for the three months and nine months ended September 30, 2024, and $0 for the three and nine months ended September 30, 2023</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18,617</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(148,588</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7" w:name="unaudted_consolidated_se"/>
      <w:bookmarkEnd w:id="7"/>
      <w:r>
        <w:rPr>
          <w:rFonts w:ascii="Times New Roman" w:hAnsi="Times New Roman"/>
          <w:b/>
          <w:color w:val="000000"/>
          <w:sz w:val="20"/>
        </w:rPr>
        <w:t>Unaudited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90"/>
        <w:gridCol w:w="146"/>
        <w:gridCol w:w="601"/>
        <w:gridCol w:w="166"/>
        <w:gridCol w:w="146"/>
        <w:gridCol w:w="196"/>
        <w:gridCol w:w="346"/>
        <w:gridCol w:w="146"/>
        <w:gridCol w:w="146"/>
        <w:gridCol w:w="165"/>
        <w:gridCol w:w="376"/>
        <w:gridCol w:w="166"/>
        <w:gridCol w:w="146"/>
        <w:gridCol w:w="196"/>
        <w:gridCol w:w="346"/>
        <w:gridCol w:w="146"/>
        <w:gridCol w:w="146"/>
        <w:gridCol w:w="196"/>
        <w:gridCol w:w="826"/>
        <w:gridCol w:w="166"/>
        <w:gridCol w:w="146"/>
        <w:gridCol w:w="269"/>
        <w:gridCol w:w="827"/>
        <w:gridCol w:w="166"/>
        <w:gridCol w:w="146"/>
        <w:gridCol w:w="196"/>
        <w:gridCol w:w="751"/>
        <w:gridCol w:w="166"/>
        <w:gridCol w:w="146"/>
        <w:gridCol w:w="196"/>
        <w:gridCol w:w="826"/>
        <w:gridCol w:w="312"/>
      </w:tblGrid>
      <w:tr>
        <w:trPr/>
        <w:tc>
          <w:tcPr>
            <w:tcW w:w="1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290" w:type="dxa"/>
            <w:tcBorders/>
            <w:shd w:fill="FFFFFF" w:val="cle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r>
      <w:tr>
        <w:trPr/>
        <w:tc>
          <w:tcPr>
            <w:tcW w:w="1290"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(804,437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1,334,348</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12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 of common stock under stock plans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44,588</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12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Restricted stock units taxes paid in cash</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(13,491</w:t>
            </w:r>
          </w:p>
        </w:tc>
        <w:tc>
          <w:tcPr>
            <w:tcW w:w="312"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250,604</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12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loss, net of tax</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(6,649</w:t>
            </w:r>
          </w:p>
        </w:tc>
        <w:tc>
          <w:tcPr>
            <w:tcW w:w="312"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1,600,899</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 of common stock under stock plans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12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Restricted stock units taxes paid in cash</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312"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135,317</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129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loss, net of tax</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10,471</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129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8,146</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1,751,882</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08"/>
        <w:gridCol w:w="146"/>
        <w:gridCol w:w="601"/>
        <w:gridCol w:w="166"/>
        <w:gridCol w:w="146"/>
        <w:gridCol w:w="196"/>
        <w:gridCol w:w="346"/>
        <w:gridCol w:w="146"/>
        <w:gridCol w:w="146"/>
        <w:gridCol w:w="165"/>
        <w:gridCol w:w="376"/>
        <w:gridCol w:w="146"/>
        <w:gridCol w:w="146"/>
        <w:gridCol w:w="196"/>
        <w:gridCol w:w="346"/>
        <w:gridCol w:w="146"/>
        <w:gridCol w:w="146"/>
        <w:gridCol w:w="196"/>
        <w:gridCol w:w="826"/>
        <w:gridCol w:w="166"/>
        <w:gridCol w:w="146"/>
        <w:gridCol w:w="250"/>
        <w:gridCol w:w="846"/>
        <w:gridCol w:w="166"/>
        <w:gridCol w:w="146"/>
        <w:gridCol w:w="196"/>
        <w:gridCol w:w="751"/>
        <w:gridCol w:w="166"/>
        <w:gridCol w:w="146"/>
        <w:gridCol w:w="196"/>
        <w:gridCol w:w="826"/>
        <w:gridCol w:w="314"/>
      </w:tblGrid>
      <w:tr>
        <w:trPr/>
        <w:tc>
          <w:tcPr>
            <w:tcW w:w="1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308" w:type="dxa"/>
            <w:tcBorders/>
            <w:shd w:fill="FFFFFF" w:val="cle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314" w:type="dxa"/>
            <w:tcBorders/>
            <w:shd w:fill="FFFFFF" w:val="clear"/>
            <w:vAlign w:val="center"/>
          </w:tcPr>
          <w:p>
            <w:pPr>
              <w:pStyle w:val="TableContents"/>
              <w:bidi w:val="0"/>
              <w:spacing w:before="0" w:after="283"/>
              <w:jc w:val="center"/>
              <w:rPr/>
            </w:pPr>
            <w:r>
              <w:rPr/>
              <w:t> </w:t>
            </w:r>
          </w:p>
        </w:tc>
      </w:tr>
      <w:tr>
        <w:trPr/>
        <w:tc>
          <w:tcPr>
            <w:tcW w:w="1308"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1,647,446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(639,927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994,678</w:t>
            </w:r>
          </w:p>
        </w:tc>
        <w:tc>
          <w:tcPr>
            <w:tcW w:w="314" w:type="dxa"/>
            <w:tcBorders/>
            <w:shd w:fill="CFF0FC" w:val="clear"/>
            <w:vAlign w:val="center"/>
          </w:tcPr>
          <w:p>
            <w:pPr>
              <w:pStyle w:val="TableContents"/>
              <w:bidi w:val="0"/>
              <w:spacing w:before="0" w:after="283"/>
              <w:ind w:left="0" w:right="0" w:firstLine="100"/>
              <w:jc w:val="left"/>
              <w:rPr/>
            </w:pPr>
            <w:r>
              <w:rPr/>
              <w:t> </w:t>
            </w:r>
          </w:p>
        </w:tc>
      </w:tr>
      <w:tr>
        <w:trPr/>
        <w:tc>
          <w:tcPr>
            <w:tcW w:w="1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 of common stock under stock plans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23,979</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13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Restricted stock units taxes paid in cash</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w:t>
            </w:r>
          </w:p>
        </w:tc>
        <w:tc>
          <w:tcPr>
            <w:tcW w:w="3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223,087</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13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income, net of tax</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w:t>
            </w:r>
          </w:p>
        </w:tc>
        <w:tc>
          <w:tcPr>
            <w:tcW w:w="314" w:type="dxa"/>
            <w:tcBorders/>
            <w:shd w:fill="CFF0FC" w:val="clear"/>
            <w:vAlign w:val="center"/>
          </w:tcPr>
          <w:p>
            <w:pPr>
              <w:pStyle w:val="TableContents"/>
              <w:bidi w:val="0"/>
              <w:spacing w:before="0" w:after="283"/>
              <w:ind w:left="0" w:right="0" w:firstLine="100"/>
              <w:jc w:val="left"/>
              <w:rPr/>
            </w:pPr>
            <w:r>
              <w:rPr/>
              <w:t> </w:t>
            </w:r>
          </w:p>
        </w:tc>
      </w:tr>
      <w:tr>
        <w:trPr/>
        <w:tc>
          <w:tcPr>
            <w:tcW w:w="1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(148,523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1,093,624</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 of common stock under stock plans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13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Restricted stock units taxes paid in cash</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(3,468</w:t>
            </w:r>
          </w:p>
        </w:tc>
        <w:tc>
          <w:tcPr>
            <w:tcW w:w="3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112,482</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13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loss, net of tax</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c>
          <w:tcPr>
            <w:tcW w:w="3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1,199,384</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8" w:name="unaudited_consolidated_statements_cash_f"/>
      <w:bookmarkEnd w:id="8"/>
      <w:r>
        <w:rPr>
          <w:rFonts w:ascii="Times New Roman" w:hAnsi="Times New Roman"/>
          <w:b/>
          <w:color w:val="000000"/>
          <w:sz w:val="20"/>
        </w:rPr>
        <w:t>Unaudited Consolidated Statements of Cash Flows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952"/>
        <w:gridCol w:w="146"/>
        <w:gridCol w:w="242"/>
        <w:gridCol w:w="1137"/>
        <w:gridCol w:w="190"/>
        <w:gridCol w:w="166"/>
        <w:gridCol w:w="242"/>
        <w:gridCol w:w="1137"/>
        <w:gridCol w:w="993"/>
      </w:tblGrid>
      <w:tr>
        <w:trPr/>
        <w:tc>
          <w:tcPr>
            <w:tcW w:w="5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59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2"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200"/>
              <w:jc w:val="right"/>
              <w:rPr/>
            </w:pPr>
            <w:r>
              <w:rPr/>
              <w:t> </w:t>
            </w:r>
          </w:p>
        </w:tc>
      </w:tr>
      <w:tr>
        <w:trPr/>
        <w:tc>
          <w:tcPr>
            <w:tcW w:w="5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(355</w:t>
            </w:r>
          </w:p>
        </w:tc>
        <w:tc>
          <w:tcPr>
            <w:tcW w:w="19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(152,100</w:t>
            </w:r>
          </w:p>
        </w:tc>
        <w:tc>
          <w:tcPr>
            <w:tcW w:w="993"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Adjustments to reconcile net loss to net cash and cash equivalents provided</w:t>
              <w:br/>
              <w:t>   by operating activities, net of acquisitions</w:t>
            </w:r>
          </w:p>
        </w:tc>
        <w:tc>
          <w:tcPr>
            <w:tcW w:w="14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400"/>
              <w:jc w:val="right"/>
              <w:rPr/>
            </w:pPr>
            <w:r>
              <w:rPr/>
              <w:t> </w:t>
            </w:r>
          </w:p>
        </w:tc>
      </w:tr>
      <w:tr>
        <w:trPr/>
        <w:tc>
          <w:tcPr>
            <w:tcW w:w="59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68,447</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53,508</w:t>
            </w:r>
          </w:p>
        </w:tc>
        <w:tc>
          <w:tcPr>
            <w:tcW w:w="993" w:type="dxa"/>
            <w:tcBorders/>
            <w:shd w:fill="FFFFFF" w:val="clear"/>
            <w:vAlign w:val="center"/>
          </w:tcPr>
          <w:p>
            <w:pPr>
              <w:pStyle w:val="TableContents"/>
              <w:bidi w:val="0"/>
              <w:spacing w:before="0" w:after="283"/>
              <w:ind w:left="0" w:right="0" w:firstLine="400"/>
              <w:jc w:val="left"/>
              <w:rPr/>
            </w:pPr>
            <w:r>
              <w:rPr/>
              <w:t> </w:t>
            </w:r>
          </w:p>
        </w:tc>
      </w:tr>
      <w:tr>
        <w:trPr/>
        <w:tc>
          <w:tcPr>
            <w:tcW w:w="59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370,382</w:t>
            </w:r>
          </w:p>
        </w:tc>
        <w:tc>
          <w:tcPr>
            <w:tcW w:w="19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318,545</w:t>
            </w:r>
          </w:p>
        </w:tc>
        <w:tc>
          <w:tcPr>
            <w:tcW w:w="993" w:type="dxa"/>
            <w:tcBorders/>
            <w:shd w:fill="CFF0FC" w:val="clear"/>
            <w:vAlign w:val="center"/>
          </w:tcPr>
          <w:p>
            <w:pPr>
              <w:pStyle w:val="TableContents"/>
              <w:bidi w:val="0"/>
              <w:spacing w:before="0" w:after="283"/>
              <w:ind w:left="0" w:right="0" w:firstLine="400"/>
              <w:jc w:val="left"/>
              <w:rPr/>
            </w:pPr>
            <w:r>
              <w:rPr/>
              <w:t> </w:t>
            </w:r>
          </w:p>
        </w:tc>
      </w:tr>
      <w:tr>
        <w:trPr/>
        <w:tc>
          <w:tcPr>
            <w:tcW w:w="59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Restructuring charges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color w:val="000000"/>
              </w:rPr>
            </w:pPr>
            <w:r>
              <w:rPr>
                <w:color w:val="000000"/>
              </w:rPr>
              <w:t>—</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64,938</w:t>
            </w:r>
          </w:p>
        </w:tc>
        <w:tc>
          <w:tcPr>
            <w:tcW w:w="993" w:type="dxa"/>
            <w:tcBorders/>
            <w:shd w:fill="FFFFFF" w:val="clear"/>
            <w:vAlign w:val="center"/>
          </w:tcPr>
          <w:p>
            <w:pPr>
              <w:pStyle w:val="TableContents"/>
              <w:bidi w:val="0"/>
              <w:spacing w:before="0" w:after="283"/>
              <w:ind w:left="0" w:right="0" w:firstLine="400"/>
              <w:jc w:val="left"/>
              <w:rPr/>
            </w:pPr>
            <w:r>
              <w:rPr/>
              <w:t> </w:t>
            </w:r>
          </w:p>
        </w:tc>
      </w:tr>
      <w:tr>
        <w:trPr/>
        <w:tc>
          <w:tcPr>
            <w:tcW w:w="59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Gain on strategic investments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(18,555</w:t>
            </w:r>
          </w:p>
        </w:tc>
        <w:tc>
          <w:tcPr>
            <w:tcW w:w="19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color w:val="000000"/>
              </w:rPr>
            </w:pPr>
            <w:r>
              <w:rPr>
                <w:color w:val="000000"/>
              </w:rPr>
              <w:t>—</w:t>
            </w:r>
          </w:p>
        </w:tc>
        <w:tc>
          <w:tcPr>
            <w:tcW w:w="993" w:type="dxa"/>
            <w:tcBorders/>
            <w:shd w:fill="CFF0FC" w:val="clear"/>
            <w:vAlign w:val="center"/>
          </w:tcPr>
          <w:p>
            <w:pPr>
              <w:pStyle w:val="TableContents"/>
              <w:bidi w:val="0"/>
              <w:spacing w:before="0" w:after="283"/>
              <w:ind w:left="0" w:right="0" w:firstLine="400"/>
              <w:jc w:val="left"/>
              <w:rPr/>
            </w:pPr>
            <w:r>
              <w:rPr/>
              <w:t> </w:t>
            </w:r>
          </w:p>
        </w:tc>
      </w:tr>
      <w:tr>
        <w:trPr/>
        <w:tc>
          <w:tcPr>
            <w:tcW w:w="59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Impairment of strategic investments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4,094</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color w:val="000000"/>
              </w:rPr>
            </w:pPr>
            <w:r>
              <w:rPr>
                <w:color w:val="000000"/>
              </w:rPr>
              <w:t>—</w:t>
            </w:r>
          </w:p>
        </w:tc>
        <w:tc>
          <w:tcPr>
            <w:tcW w:w="993" w:type="dxa"/>
            <w:tcBorders/>
            <w:shd w:fill="FFFFFF" w:val="clear"/>
            <w:vAlign w:val="center"/>
          </w:tcPr>
          <w:p>
            <w:pPr>
              <w:pStyle w:val="TableContents"/>
              <w:bidi w:val="0"/>
              <w:spacing w:before="0" w:after="283"/>
              <w:ind w:left="0" w:right="0" w:firstLine="400"/>
              <w:jc w:val="left"/>
              <w:rPr/>
            </w:pPr>
            <w:r>
              <w:rPr/>
              <w:t> </w:t>
            </w:r>
          </w:p>
        </w:tc>
      </w:tr>
      <w:tr>
        <w:trPr/>
        <w:tc>
          <w:tcPr>
            <w:tcW w:w="59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(Benefit from) provision for deferred income taxes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(611</w:t>
            </w:r>
          </w:p>
        </w:tc>
        <w:tc>
          <w:tcPr>
            <w:tcW w:w="19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4,943</w:t>
            </w:r>
          </w:p>
        </w:tc>
        <w:tc>
          <w:tcPr>
            <w:tcW w:w="993" w:type="dxa"/>
            <w:tcBorders/>
            <w:shd w:fill="CFF0FC" w:val="clear"/>
            <w:vAlign w:val="center"/>
          </w:tcPr>
          <w:p>
            <w:pPr>
              <w:pStyle w:val="TableContents"/>
              <w:bidi w:val="0"/>
              <w:spacing w:before="0" w:after="283"/>
              <w:ind w:left="0" w:right="0" w:firstLine="400"/>
              <w:jc w:val="left"/>
              <w:rPr/>
            </w:pPr>
            <w:r>
              <w:rPr/>
              <w:t> </w:t>
            </w:r>
          </w:p>
        </w:tc>
      </w:tr>
      <w:tr>
        <w:trPr/>
        <w:tc>
          <w:tcPr>
            <w:tcW w:w="59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Amortization of debt discount and issuance costs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1,501</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1,477</w:t>
            </w:r>
          </w:p>
        </w:tc>
        <w:tc>
          <w:tcPr>
            <w:tcW w:w="993" w:type="dxa"/>
            <w:tcBorders/>
            <w:shd w:fill="FFFFFF" w:val="clear"/>
            <w:vAlign w:val="center"/>
          </w:tcPr>
          <w:p>
            <w:pPr>
              <w:pStyle w:val="TableContents"/>
              <w:bidi w:val="0"/>
              <w:spacing w:before="0" w:after="283"/>
              <w:ind w:left="0" w:right="0" w:firstLine="400"/>
              <w:jc w:val="left"/>
              <w:rPr/>
            </w:pPr>
            <w:r>
              <w:rPr/>
              <w:t> </w:t>
            </w:r>
          </w:p>
        </w:tc>
      </w:tr>
      <w:tr>
        <w:trPr/>
        <w:tc>
          <w:tcPr>
            <w:tcW w:w="59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Accretion of bond discount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(36,694</w:t>
            </w:r>
          </w:p>
        </w:tc>
        <w:tc>
          <w:tcPr>
            <w:tcW w:w="19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(30,213</w:t>
            </w:r>
          </w:p>
        </w:tc>
        <w:tc>
          <w:tcPr>
            <w:tcW w:w="993" w:type="dxa"/>
            <w:tcBorders/>
            <w:shd w:fill="CFF0FC"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Unrealized currency translation</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(3,377</w:t>
            </w:r>
          </w:p>
        </w:tc>
        <w:tc>
          <w:tcPr>
            <w:tcW w:w="19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(1,380</w:t>
            </w:r>
          </w:p>
        </w:tc>
        <w:tc>
          <w:tcPr>
            <w:tcW w:w="993" w:type="dxa"/>
            <w:tcBorders/>
            <w:shd w:fill="FFFFFF"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Changes in assets and liabilities</w:t>
            </w:r>
          </w:p>
        </w:tc>
        <w:tc>
          <w:tcPr>
            <w:tcW w:w="14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600"/>
              <w:jc w:val="right"/>
              <w:rPr/>
            </w:pPr>
            <w:r>
              <w:rPr/>
              <w:t> </w:t>
            </w:r>
          </w:p>
        </w:tc>
      </w:tr>
      <w:tr>
        <w:trPr/>
        <w:tc>
          <w:tcPr>
            <w:tcW w:w="59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13,861</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13,178</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59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(8,606</w:t>
            </w:r>
          </w:p>
        </w:tc>
        <w:tc>
          <w:tcPr>
            <w:tcW w:w="19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(36,023</w:t>
            </w:r>
          </w:p>
        </w:tc>
        <w:tc>
          <w:tcPr>
            <w:tcW w:w="993" w:type="dxa"/>
            <w:tcBorders/>
            <w:shd w:fill="CFF0FC"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Deferred commission expense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(61,425</w:t>
            </w:r>
          </w:p>
        </w:tc>
        <w:tc>
          <w:tcPr>
            <w:tcW w:w="19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(54,335</w:t>
            </w:r>
          </w:p>
        </w:tc>
        <w:tc>
          <w:tcPr>
            <w:tcW w:w="993" w:type="dxa"/>
            <w:tcBorders/>
            <w:shd w:fill="FFFFFF"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Right-of-use assets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26,461</w:t>
            </w:r>
          </w:p>
        </w:tc>
        <w:tc>
          <w:tcPr>
            <w:tcW w:w="19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23,244</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59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1,449</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(5,165</w:t>
            </w:r>
          </w:p>
        </w:tc>
        <w:tc>
          <w:tcPr>
            <w:tcW w:w="993" w:type="dxa"/>
            <w:tcBorders/>
            <w:shd w:fill="FFFFFF"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39,322</w:t>
            </w:r>
          </w:p>
        </w:tc>
        <w:tc>
          <w:tcPr>
            <w:tcW w:w="19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34,276</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59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(32,555</w:t>
            </w:r>
          </w:p>
        </w:tc>
        <w:tc>
          <w:tcPr>
            <w:tcW w:w="19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(28,933</w:t>
            </w:r>
          </w:p>
        </w:tc>
        <w:tc>
          <w:tcPr>
            <w:tcW w:w="993" w:type="dxa"/>
            <w:tcBorders/>
            <w:shd w:fill="FFFFFF"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41,119</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40,699</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5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9"/>
              </w:rPr>
            </w:pPr>
            <w:r>
              <w:rPr>
                <w:rFonts w:ascii="Times New Roman" w:hAnsi="Times New Roman"/>
                <w:color w:val="000000"/>
                <w:sz w:val="19"/>
              </w:rPr>
              <w:t>Net cash and cash equivalents provided by operating activities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404,458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246,659</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200"/>
              <w:jc w:val="right"/>
              <w:rPr/>
            </w:pPr>
            <w:r>
              <w:rPr/>
              <w:t> </w:t>
            </w:r>
          </w:p>
        </w:tc>
      </w:tr>
      <w:tr>
        <w:trPr/>
        <w:tc>
          <w:tcPr>
            <w:tcW w:w="5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(1,486,338</w:t>
            </w:r>
          </w:p>
        </w:tc>
        <w:tc>
          <w:tcPr>
            <w:tcW w:w="19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(1,137,283</w:t>
            </w:r>
          </w:p>
        </w:tc>
        <w:tc>
          <w:tcPr>
            <w:tcW w:w="993"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Maturities of investments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1,155,555</w:t>
            </w:r>
          </w:p>
        </w:tc>
        <w:tc>
          <w:tcPr>
            <w:tcW w:w="19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1,154,784</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5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Sale of investments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1,997</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color w:val="000000"/>
              </w:rPr>
            </w:pPr>
            <w:r>
              <w:rPr>
                <w:color w:val="000000"/>
              </w:rPr>
              <w:t>—</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5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Equity method investment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(3,943</w:t>
            </w:r>
          </w:p>
        </w:tc>
        <w:tc>
          <w:tcPr>
            <w:tcW w:w="19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(2,250</w:t>
            </w:r>
          </w:p>
        </w:tc>
        <w:tc>
          <w:tcPr>
            <w:tcW w:w="993"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(25,213</w:t>
            </w:r>
          </w:p>
        </w:tc>
        <w:tc>
          <w:tcPr>
            <w:tcW w:w="19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(25,031</w:t>
            </w:r>
          </w:p>
        </w:tc>
        <w:tc>
          <w:tcPr>
            <w:tcW w:w="993"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strategic investments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(7,623</w:t>
            </w:r>
          </w:p>
        </w:tc>
        <w:tc>
          <w:tcPr>
            <w:tcW w:w="19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(9,250</w:t>
            </w:r>
          </w:p>
        </w:tc>
        <w:tc>
          <w:tcPr>
            <w:tcW w:w="993"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Capitalization of software development costs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(66,721</w:t>
            </w:r>
          </w:p>
        </w:tc>
        <w:tc>
          <w:tcPr>
            <w:tcW w:w="19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(49,288</w:t>
            </w:r>
          </w:p>
        </w:tc>
        <w:tc>
          <w:tcPr>
            <w:tcW w:w="993"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net working capital settlement</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5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9"/>
              </w:rPr>
            </w:pPr>
            <w:r>
              <w:rPr>
                <w:rFonts w:ascii="Times New Roman" w:hAnsi="Times New Roman"/>
                <w:color w:val="000000"/>
                <w:sz w:val="19"/>
              </w:rPr>
              <w:t>Net cash and cash equivalents used in investing activities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(430,353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(68,318</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200"/>
              <w:jc w:val="right"/>
              <w:rPr/>
            </w:pPr>
            <w:r>
              <w:rPr/>
              <w:t> </w:t>
            </w:r>
          </w:p>
        </w:tc>
      </w:tr>
      <w:tr>
        <w:trPr/>
        <w:tc>
          <w:tcPr>
            <w:tcW w:w="5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Employee taxes paid related to the net share settlement of stock-based awards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(17,777</w:t>
            </w:r>
          </w:p>
        </w:tc>
        <w:tc>
          <w:tcPr>
            <w:tcW w:w="19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(7,571</w:t>
            </w:r>
          </w:p>
        </w:tc>
        <w:tc>
          <w:tcPr>
            <w:tcW w:w="993"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related to the issuance of common stock under stock plans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61,211</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37,934</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5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9"/>
              </w:rPr>
            </w:pPr>
            <w:r>
              <w:rPr>
                <w:rFonts w:ascii="Times New Roman" w:hAnsi="Times New Roman"/>
                <w:color w:val="000000"/>
                <w:sz w:val="19"/>
              </w:rPr>
              <w:t>Net cash and cash equivalents provided by financing activities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43,434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30,363</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 changes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4,534</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(4,181</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22,073</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204,523</w:t>
            </w:r>
          </w:p>
        </w:tc>
        <w:tc>
          <w:tcPr>
            <w:tcW w:w="993" w:type="dxa"/>
            <w:tcBorders/>
            <w:shd w:fill="FFFFFF" w:val="clear"/>
            <w:vAlign w:val="center"/>
          </w:tcPr>
          <w:p>
            <w:pPr>
              <w:pStyle w:val="TableContents"/>
              <w:bidi w:val="0"/>
              <w:spacing w:before="0" w:after="283"/>
              <w:jc w:val="left"/>
              <w:rPr/>
            </w:pPr>
            <w:r>
              <w:rPr/>
              <w:t> </w:t>
            </w:r>
          </w:p>
        </w:tc>
      </w:tr>
      <w:tr>
        <w:trPr/>
        <w:tc>
          <w:tcPr>
            <w:tcW w:w="59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392,040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334,175</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414,113</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538,698</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cash flow disclosure:</w:t>
            </w:r>
          </w:p>
        </w:tc>
        <w:tc>
          <w:tcPr>
            <w:tcW w:w="14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595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income taxes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11,037</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11,465</w:t>
            </w:r>
          </w:p>
        </w:tc>
        <w:tc>
          <w:tcPr>
            <w:tcW w:w="993" w:type="dxa"/>
            <w:tcBorders/>
            <w:shd w:fill="FFFFFF" w:val="clear"/>
            <w:vAlign w:val="center"/>
          </w:tcPr>
          <w:p>
            <w:pPr>
              <w:pStyle w:val="TableContents"/>
              <w:bidi w:val="0"/>
              <w:spacing w:before="0" w:after="283"/>
              <w:jc w:val="left"/>
              <w:rPr/>
            </w:pPr>
            <w:r>
              <w:rPr/>
              <w:t> </w:t>
            </w:r>
          </w:p>
        </w:tc>
      </w:tr>
      <w:tr>
        <w:trPr/>
        <w:tc>
          <w:tcPr>
            <w:tcW w:w="59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861</w:t>
            </w:r>
          </w:p>
        </w:tc>
        <w:tc>
          <w:tcPr>
            <w:tcW w:w="19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861</w:t>
            </w:r>
          </w:p>
        </w:tc>
        <w:tc>
          <w:tcPr>
            <w:tcW w:w="993" w:type="dxa"/>
            <w:tcBorders/>
            <w:shd w:fill="CFF0FC" w:val="clear"/>
            <w:vAlign w:val="center"/>
          </w:tcPr>
          <w:p>
            <w:pPr>
              <w:pStyle w:val="TableContents"/>
              <w:bidi w:val="0"/>
              <w:spacing w:before="0" w:after="283"/>
              <w:jc w:val="left"/>
              <w:rPr/>
            </w:pPr>
            <w:r>
              <w:rPr/>
              <w:t> </w:t>
            </w:r>
          </w:p>
        </w:tc>
      </w:tr>
      <w:tr>
        <w:trPr/>
        <w:tc>
          <w:tcPr>
            <w:tcW w:w="595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Right-of-use assets obtained in exchange for operating lease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503</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4,668</w:t>
            </w:r>
          </w:p>
        </w:tc>
        <w:tc>
          <w:tcPr>
            <w:tcW w:w="993" w:type="dxa"/>
            <w:tcBorders/>
            <w:shd w:fill="FFFFFF" w:val="clear"/>
            <w:vAlign w:val="center"/>
          </w:tcPr>
          <w:p>
            <w:pPr>
              <w:pStyle w:val="TableContents"/>
              <w:bidi w:val="0"/>
              <w:spacing w:before="0" w:after="283"/>
              <w:jc w:val="left"/>
              <w:rPr/>
            </w:pPr>
            <w:r>
              <w:rPr/>
              <w:t> </w:t>
            </w:r>
          </w:p>
        </w:tc>
      </w:tr>
      <w:tr>
        <w:trPr/>
        <w:tc>
          <w:tcPr>
            <w:tcW w:w="59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Right-of-use asset reductions related to operating lease terminations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CFF0FC" w:val="clear"/>
            <w:vAlign w:val="center"/>
          </w:tcPr>
          <w:p>
            <w:pPr>
              <w:pStyle w:val="TableContents"/>
              <w:bidi w:val="0"/>
              <w:spacing w:before="0" w:after="283"/>
              <w:jc w:val="right"/>
              <w:rPr>
                <w:color w:val="000000"/>
              </w:rPr>
            </w:pPr>
            <w:r>
              <w:rPr>
                <w:color w:val="000000"/>
              </w:rPr>
              <w:t>—</w:t>
            </w:r>
          </w:p>
        </w:tc>
        <w:tc>
          <w:tcPr>
            <w:tcW w:w="19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(1,210</w:t>
            </w:r>
          </w:p>
        </w:tc>
        <w:tc>
          <w:tcPr>
            <w:tcW w:w="9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379" w:type="dxa"/>
            <w:gridSpan w:val="2"/>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1379"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jc w:val="right"/>
              <w:rPr/>
            </w:pPr>
            <w:r>
              <w:rPr/>
              <w:t> </w:t>
            </w:r>
          </w:p>
        </w:tc>
      </w:tr>
      <w:tr>
        <w:trPr/>
        <w:tc>
          <w:tcPr>
            <w:tcW w:w="59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Capital expenditures incurred but not yet paid</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793</w:t>
            </w:r>
          </w:p>
        </w:tc>
        <w:tc>
          <w:tcPr>
            <w:tcW w:w="190"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7,257</w:t>
            </w:r>
          </w:p>
        </w:tc>
        <w:tc>
          <w:tcPr>
            <w:tcW w:w="993" w:type="dxa"/>
            <w:tcBorders/>
            <w:shd w:fill="CFF0FC" w:val="clear"/>
            <w:vAlign w:val="center"/>
          </w:tcPr>
          <w:p>
            <w:pPr>
              <w:pStyle w:val="TableContents"/>
              <w:bidi w:val="0"/>
              <w:spacing w:before="0" w:after="283"/>
              <w:jc w:val="left"/>
              <w:rPr/>
            </w:pPr>
            <w:r>
              <w:rPr/>
              <w:t> </w:t>
            </w:r>
          </w:p>
        </w:tc>
      </w:tr>
      <w:tr>
        <w:trPr/>
        <w:tc>
          <w:tcPr>
            <w:tcW w:w="595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Asset retirement obligations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FFFFFF" w:val="clear"/>
            <w:vAlign w:val="center"/>
          </w:tcPr>
          <w:p>
            <w:pPr>
              <w:pStyle w:val="TableContents"/>
              <w:bidi w:val="0"/>
              <w:spacing w:before="0" w:after="283"/>
              <w:jc w:val="right"/>
              <w:rPr>
                <w:color w:val="000000"/>
              </w:rPr>
            </w:pPr>
            <w:r>
              <w:rPr>
                <w:color w:val="000000"/>
              </w:rPr>
              <w:t>—</w:t>
            </w:r>
          </w:p>
        </w:tc>
        <w:tc>
          <w:tcPr>
            <w:tcW w:w="19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3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w:t>
            </w:r>
          </w:p>
        </w:tc>
        <w:tc>
          <w:tcPr>
            <w:tcW w:w="9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95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1379"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9" w:name="notes"/>
      <w:bookmarkEnd w:id="9"/>
      <w:r>
        <w:rPr>
          <w:rFonts w:ascii="Times New Roman" w:hAnsi="Times New Roman"/>
          <w:b/>
          <w:color w:val="000000"/>
          <w:sz w:val="20"/>
        </w:rPr>
        <w:t>Notes to Unaudited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HubSpot, Inc. (the “Company”) provides a customer platform that helps businesses connect and grow better. The Company delivers seamless connection for customer-facing teams with a unified platform that includes three layers: AI-powered engagement hubs, a Smart customer relationship management product (“CRM”), and a connected ecosystem supporting the customer platform with a marketplace of integrations, templates, and expert partners, a community network, and an academy of educational content.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engagement hubs include Marketing Hub, Sales Hub, Service Hub, Operations Hub, Content Hub and Commerce Hub, as well as other tools and integrations that enable companies to attract, engage, and delight customers throughout the customer experience.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accompanying unaudited consolidated </w:t>
      </w:r>
      <w:r>
        <w:rPr>
          <w:rFonts w:ascii="Times New Roman" w:hAnsi="Times New Roman"/>
          <w:color w:val="212529"/>
          <w:sz w:val="20"/>
        </w:rPr>
        <w:t xml:space="preserve">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Times New Roman" w:hAnsi="Times New Roman"/>
          <w:color w:val="000000"/>
          <w:sz w:val="20"/>
        </w:rPr>
        <w:t>December 31, 2023, and these consolidated financial statements include all adjustments, consisting only of normal recurring adjustments, necessary for a fair statement of the results of the interim periods presented. All intercompany balances and transactions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results of operations for the interim periods presented are not necessarily indicative of the results to be expected for any subsequent quarter or for the entire year ending December 31, 2024.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interim financial statements should be read in conjunction with the audited consolidated financial statements and related notes contained in the Company’s Annual Report on Form 10-K filed with the SEC on February 14, 2024. Other than the addition of the accounting policy related to derivatives as described in Note 6, there have been no changes in the Company’s significant accounting policies from those that were disclosed in the Company’s Annual Report on Form 10-K that have had a material impact on our consolidated financial statements and related notes.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Recent accounting standards not included below are not expected to have a material impact on our consolidated financial position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2023, the Financial Accounting Standards Board ("FASB") issued guidance enhancing the disclosures of reportable segment information, primarily about significant segment expenses. The new standard will be effective for the Company for the annual periods beginning January 1, 2024, and for interim periods beginning January 1, 2025, with early adoption permitted. Upon adoption, the guidance should be applied retrospectively to all prior periods presented in the financial statements. The adoption of this standard only impacts disclosures and is not expected to have a material impact on the Company's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new standard will be effective for the Company on January 1, 2025, with early adoption permitted. The adoption of this standard only impacts disclosures and is not expected to have a material impact on the Company's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guidance that requires the disclosure about specific types of expenses included in the expense captions presented on the face of the income statement. The new standard will be effective for the Company for the annual periods beginning January 1, 2027, and for interim periods beginning January 1, 2028, with early adoption permitted. The Company is currently evaluating the impact of adoption of the standard on its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Revision of Previously Issued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financial close process for the first quarter of 2024, the Company identified an error related to the calculation of contractual credits in one of its third-party vendor agreements which impacted the Company's previously issued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beginning with the quarter ended December 31, 2021. The error impacted subsequent annual and quarterly reporting periods through December 31, 2023. The Company assessed the materiality of the error, in consideration of both quantitative and qualitative factors, and concluded that it is not material to any previously presented interim or annual financial statements. The Company revised its financial statements for the periods impacted. In connection with the revisions, the Company also corrected a previously identified immaterial error related to the recording of certain deferred tax balances.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Changes to the interim consolidated statements of operations for the three and nine months ended September 30, 2023, as a result of the error, were as follows (in thousands, except per share data):</w:t>
        <w:br/>
        <w:t> </w:t>
      </w:r>
    </w:p>
    <w:tbl>
      <w:tblPr>
        <w:tblW w:w="9730" w:type="dxa"/>
        <w:jc w:val="left"/>
        <w:tblInd w:w="0" w:type="dxa"/>
        <w:tblLayout w:type="fixed"/>
        <w:tblCellMar>
          <w:top w:w="28" w:type="dxa"/>
          <w:left w:w="28" w:type="dxa"/>
          <w:bottom w:w="28" w:type="dxa"/>
          <w:right w:w="28" w:type="dxa"/>
        </w:tblCellMar>
      </w:tblPr>
      <w:tblGrid>
        <w:gridCol w:w="4786"/>
        <w:gridCol w:w="146"/>
        <w:gridCol w:w="335"/>
        <w:gridCol w:w="1480"/>
        <w:gridCol w:w="166"/>
        <w:gridCol w:w="146"/>
        <w:gridCol w:w="239"/>
        <w:gridCol w:w="767"/>
        <w:gridCol w:w="166"/>
        <w:gridCol w:w="146"/>
        <w:gridCol w:w="211"/>
        <w:gridCol w:w="93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Statements of Operations and Comprehensive Loss</w:t>
            </w:r>
          </w:p>
        </w:tc>
        <w:tc>
          <w:tcPr>
            <w:tcW w:w="146" w:type="dxa"/>
            <w:tcBorders/>
            <w:shd w:fill="FFFFFF" w:val="clear"/>
            <w:vAlign w:val="center"/>
          </w:tcPr>
          <w:p>
            <w:pPr>
              <w:pStyle w:val="TableContents"/>
              <w:bidi w:val="0"/>
              <w:spacing w:before="0" w:after="283"/>
              <w:jc w:val="left"/>
              <w:rPr/>
            </w:pPr>
            <w:r>
              <w:rPr/>
              <w:t> </w:t>
            </w:r>
          </w:p>
        </w:tc>
        <w:tc>
          <w:tcPr>
            <w:tcW w:w="45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Previously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87"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revenues - Subscription</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73,781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(1,886</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71,895</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cost of revenues</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(1,886</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85,640</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Gross profit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470,031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471,917</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from operations</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(20,442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(18,556</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before income tax expense</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(6,875</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(4,989</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(3,577</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loss</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(6,456</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(4,570</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(0.07</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Previously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87"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revenues - Subscription</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210,011</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cost of revenues</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250,921</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Gross profit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1,331,461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1,337,394</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from operations</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(183,708</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(177,775</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before income tax expense</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(148,458</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(142,525</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expense</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(14,233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(9,575</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(162,691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(152,100</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loss</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14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(159,179</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(148,588</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8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Revenues</w:t>
      </w:r>
    </w:p>
    <w:p>
      <w:pPr>
        <w:pStyle w:val="TextBody"/>
        <w:bidi w:val="0"/>
        <w:spacing w:before="240" w:after="283"/>
        <w:jc w:val="both"/>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disaggregation of revenue based on geographic region (Note 14)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Revenue and Deferred Commission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nine months ended September 30, 2024 increased by $45.8 million resulting from $715.5 million of additional invoicing and was offset by revenue recognized of $669.7 million during the same period. $397.8 million of revenue was recognized during the three months ended September 30, 2024 that was included in deferred revenue at the beginning of the period. $626.9 million of revenue was recognized during the nine months ended September 30, 2024 that was included in deferred revenue at the beginning of the period. As of September 30, 2024, approximately $939.7 million of revenue is expected to be recognized from remaining performance obligations for contracts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original performance obligations that exceed one year. The Company expects to recognize revenue on approximately 90% of these remaining performance obligations over the next 24 months, with the balance recognized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contract liabilities of $6.4 million and $4.5 million were included in accrued expenses and other current liabilities on the consolidated balance sheet as of September 30, 2024 and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incremental direct costs of obtaining a contract, which primarily consist of sales and Solutions Partner commissions paid for new subscription contracts, are deferred and amortized on a straight-line basis over a period of approximately two to four years. The two to four-year period has been determined by taking into consideration the type of product sold,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commission expense during the three months ended September 30, 2024 increased by $26.5 million as a result of deferring incremental costs of obtaining a contract of $57.7 million and was offset by amortization of $31.2 million during the same period. Deferred commission expense during the nine months ended September 30, 2024 increased by $63.2 million as a result of deferring incremental costs of obtaining a contract of $159.4 million and was offset by amortization of $96.2 million during the same period.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income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income (loss) per share is computed by dividing net income (loss) by the weighted average number of common shares outstanding for the period. Diluted net income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 of the 2025 Notes (the “Conversion Options”) (Note 9) are considered to be potential common stock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net income (loss) per share is as follows:</w:t>
      </w:r>
    </w:p>
    <w:tbl>
      <w:tblPr>
        <w:tblW w:w="10205" w:type="dxa"/>
        <w:jc w:val="left"/>
        <w:tblInd w:w="0" w:type="dxa"/>
        <w:tblLayout w:type="fixed"/>
        <w:tblCellMar>
          <w:top w:w="28" w:type="dxa"/>
          <w:left w:w="28" w:type="dxa"/>
          <w:bottom w:w="28" w:type="dxa"/>
          <w:right w:w="28" w:type="dxa"/>
        </w:tblCellMar>
      </w:tblPr>
      <w:tblGrid>
        <w:gridCol w:w="4504"/>
        <w:gridCol w:w="267"/>
        <w:gridCol w:w="857"/>
        <w:gridCol w:w="184"/>
        <w:gridCol w:w="184"/>
        <w:gridCol w:w="267"/>
        <w:gridCol w:w="857"/>
        <w:gridCol w:w="166"/>
        <w:gridCol w:w="146"/>
        <w:gridCol w:w="239"/>
        <w:gridCol w:w="768"/>
        <w:gridCol w:w="188"/>
        <w:gridCol w:w="165"/>
        <w:gridCol w:w="239"/>
        <w:gridCol w:w="956"/>
        <w:gridCol w:w="218"/>
      </w:tblGrid>
      <w:tr>
        <w:trPr/>
        <w:tc>
          <w:tcPr>
            <w:tcW w:w="45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504" w:type="dxa"/>
            <w:tcBorders/>
            <w:shd w:fill="FFFFFF" w:val="cle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4"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8,146</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(152,100</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50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Weighted-average common shares outstanding — basic</w:t>
            </w:r>
          </w:p>
        </w:tc>
        <w:tc>
          <w:tcPr>
            <w:tcW w:w="267"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51,354</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51,017</w:t>
            </w:r>
          </w:p>
        </w:tc>
        <w:tc>
          <w:tcPr>
            <w:tcW w:w="18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49,719</w:t>
            </w:r>
          </w:p>
        </w:tc>
        <w:tc>
          <w:tcPr>
            <w:tcW w:w="218" w:type="dxa"/>
            <w:tcBorders/>
            <w:shd w:fill="FFFFFF" w:val="clear"/>
            <w:vAlign w:val="center"/>
          </w:tcPr>
          <w:p>
            <w:pPr>
              <w:pStyle w:val="TableContents"/>
              <w:bidi w:val="0"/>
              <w:spacing w:before="0" w:after="283"/>
              <w:jc w:val="left"/>
              <w:rPr/>
            </w:pPr>
            <w:r>
              <w:rPr/>
              <w:t> </w:t>
            </w:r>
          </w:p>
        </w:tc>
      </w:tr>
      <w:tr>
        <w:trPr/>
        <w:tc>
          <w:tcPr>
            <w:tcW w:w="450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Dilutive effect of share equivalents resulting from </w:t>
              <w:br/>
              <w:t xml:space="preserve">   stock options, RSUs, ESPP, PSUs, and the </w:t>
              <w:br/>
              <w:t>   Conversion Options</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Weighted-average common shares, outstanding — diluted</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51,778</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51,017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49,719</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 per share, basic</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0.16</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504"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 per share, diluted</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(0.01</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5"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Company incurred net losses for the nine months ended September 30, 2024 and the three and nine months ended September 30, 2023, diluted net loss per share is the same as basic net loss per share. All of the Company’s outstanding stock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RSUs, PSUs, and shares issuable under the ESPP, as well as the Conversion Options were excluded in the calculation of diluted net loss per share as the effect would be anti-dilutive for these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contains all potentially dilutive common stock equivalents. </w:t>
      </w:r>
    </w:p>
    <w:tbl>
      <w:tblPr>
        <w:tblW w:w="5229" w:type="dxa"/>
        <w:jc w:val="left"/>
        <w:tblInd w:w="0" w:type="dxa"/>
        <w:tblLayout w:type="fixed"/>
        <w:tblCellMar>
          <w:top w:w="28" w:type="dxa"/>
          <w:left w:w="28" w:type="dxa"/>
          <w:bottom w:w="28" w:type="dxa"/>
          <w:right w:w="28" w:type="dxa"/>
        </w:tblCellMar>
      </w:tblPr>
      <w:tblGrid>
        <w:gridCol w:w="3166"/>
        <w:gridCol w:w="146"/>
        <w:gridCol w:w="146"/>
        <w:gridCol w:w="571"/>
        <w:gridCol w:w="146"/>
        <w:gridCol w:w="146"/>
        <w:gridCol w:w="146"/>
        <w:gridCol w:w="57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Option of the 2025 Notes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to the valuation methodology that are significant to the measurement of fair value of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details the fair value measurements within the fair value hierarchy of the Company’s financial assets and liabilities at September 30, 2024 and December 31, 2023:</w:t>
        <w:br/>
        <w:t> </w:t>
      </w:r>
    </w:p>
    <w:tbl>
      <w:tblPr>
        <w:tblW w:w="9357" w:type="dxa"/>
        <w:jc w:val="left"/>
        <w:tblInd w:w="0" w:type="dxa"/>
        <w:tblLayout w:type="fixed"/>
        <w:tblCellMar>
          <w:top w:w="28" w:type="dxa"/>
          <w:left w:w="28" w:type="dxa"/>
          <w:bottom w:w="28" w:type="dxa"/>
          <w:right w:w="28" w:type="dxa"/>
        </w:tblCellMar>
      </w:tblPr>
      <w:tblGrid>
        <w:gridCol w:w="3886"/>
        <w:gridCol w:w="146"/>
        <w:gridCol w:w="211"/>
        <w:gridCol w:w="676"/>
        <w:gridCol w:w="146"/>
        <w:gridCol w:w="146"/>
        <w:gridCol w:w="211"/>
        <w:gridCol w:w="931"/>
        <w:gridCol w:w="146"/>
        <w:gridCol w:w="146"/>
        <w:gridCol w:w="211"/>
        <w:gridCol w:w="676"/>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3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275,485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w:t>
            </w:r>
          </w:p>
        </w:tc>
        <w:tc>
          <w:tcPr>
            <w:tcW w:w="39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1,727,010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tbl>
      <w:tblPr>
        <w:tblW w:w="8612" w:type="dxa"/>
        <w:jc w:val="left"/>
        <w:tblInd w:w="0" w:type="dxa"/>
        <w:tblLayout w:type="fixed"/>
        <w:tblCellMar>
          <w:top w:w="28" w:type="dxa"/>
          <w:left w:w="28" w:type="dxa"/>
          <w:bottom w:w="28" w:type="dxa"/>
          <w:right w:w="28" w:type="dxa"/>
        </w:tblCellMar>
      </w:tblPr>
      <w:tblGrid>
        <w:gridCol w:w="3141"/>
        <w:gridCol w:w="146"/>
        <w:gridCol w:w="211"/>
        <w:gridCol w:w="676"/>
        <w:gridCol w:w="146"/>
        <w:gridCol w:w="146"/>
        <w:gridCol w:w="211"/>
        <w:gridCol w:w="931"/>
        <w:gridCol w:w="146"/>
        <w:gridCol w:w="146"/>
        <w:gridCol w:w="211"/>
        <w:gridCol w:w="676"/>
        <w:gridCol w:w="146"/>
        <w:gridCol w:w="146"/>
        <w:gridCol w:w="211"/>
        <w:gridCol w:w="931"/>
        <w:gridCol w:w="3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3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w:t>
            </w:r>
          </w:p>
        </w:tc>
        <w:tc>
          <w:tcPr>
            <w:tcW w:w="391" w:type="dxa"/>
            <w:tcBorders/>
            <w:shd w:fill="CFF0FC" w:val="cle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1,371,646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September 30, 2024 and December 31, 2023,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investments measured at fair value on a non-recurring basis are classified as Level 3 as their fair value measurements may include a combination of observable and unobservable inputs.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derivative assets and liabilities are classified as Level 2 and are valued using observable inputs, such as quotations on forward and spot rates for currencies, interest rates and credit derivative market rates.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2024, the fair value of the 2025 Notes was $864.2 million. The fair value was determined based on the quoted price of the 2025 Notes in an inactive market on the last trading day of the reporting period and has been classified as Level 2 within the fair value hierarchy.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Restricted cash is comprised of money market funds related to landlord guarantees for leased facilities. These restricted cash balances have been excluded from our cash and cash equivalents balance on our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$63.7 million of strategic investments without readily determinable fair values at September 30, 2024 and $41.1 million of strategic investments without readily determinable fair values at December 31, 2023. These investments are included in other assets on the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nine months ended September 30, 2024, the Company adjusted the fair value of its strategic investments and recognized a gain of $18.6 million and also recorded an impairment of the carrying value of its strategic investments of $4.1 million, resulting in a net gain of $14.5 million, which is reported in the consolidated statements of operations as other income. There were no adjustments to the carrying value of the strategic investments resulting from impairments or observable price changes in the three and nine months ended September 30,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summarize the composition of our short- and long-term investments at September 30, 2024 and December 31, 2023. </w:t>
        <w:br/>
        <w:t>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239"/>
        <w:gridCol w:w="647"/>
        <w:gridCol w:w="146"/>
        <w:gridCol w:w="146"/>
        <w:gridCol w:w="270"/>
        <w:gridCol w:w="616"/>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275,485</w:t>
            </w:r>
          </w:p>
        </w:tc>
        <w:tc>
          <w:tcPr>
            <w:tcW w:w="3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119,140</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vAlign w:val="center"/>
          </w:tcPr>
          <w:p>
            <w:pPr>
              <w:pStyle w:val="TableContents"/>
              <w:bidi w:val="0"/>
              <w:spacing w:before="0" w:after="283"/>
              <w:ind w:left="20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1,693,551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239"/>
        <w:gridCol w:w="647"/>
        <w:gridCol w:w="146"/>
        <w:gridCol w:w="146"/>
        <w:gridCol w:w="222"/>
        <w:gridCol w:w="664"/>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11,513</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237,406</w:t>
            </w:r>
          </w:p>
        </w:tc>
        <w:tc>
          <w:tcPr>
            <w:tcW w:w="3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122,758</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vAlign w:val="center"/>
          </w:tcPr>
          <w:p>
            <w:pPr>
              <w:pStyle w:val="TableContents"/>
              <w:bidi w:val="0"/>
              <w:spacing w:before="0" w:after="283"/>
              <w:ind w:left="20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all of our securities for which the amortized cost basis was greater than the fair value at September 30, 2024, the Company has concluded that there is no plan to sell the security nor is it more likely than not that the Company would be required to sell the security before its anticipated recovery. The Company further assesses whether the decline in fair value below amortized cost is due to credit or non-credit related factors by considering the extent to which fair value is less than amortized cost, credit ratings, the financial health of the industry and sector of the issuer, the overall risk profile of the securities, overall macroeconomic conditions, and more. As of September 30, 2024, no allowance for credit losses in investments was recorded.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Maturities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contractual maturities of short-term and long-term investments held at September 30, 2024 and December 31, 2023 are as follows:</w:t>
      </w:r>
    </w:p>
    <w:tbl>
      <w:tblPr>
        <w:tblW w:w="86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1,526,159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1,000,245</w:t>
            </w:r>
          </w:p>
        </w:tc>
        <w:tc>
          <w:tcPr>
            <w:tcW w:w="3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 year through 2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consolidated balance sheets that sum to the total of the same such amounts shown in the statement of cash flows for the nine months ended September 30, 2024 and 2023.</w:t>
      </w:r>
    </w:p>
    <w:p>
      <w:pPr>
        <w:pStyle w:val="TextBody"/>
        <w:bidi w:val="0"/>
        <w:jc w:val="left"/>
        <w:rPr/>
      </w:pPr>
      <w:r>
        <w:rPr/>
        <w:t> </w:t>
      </w:r>
    </w:p>
    <w:tbl>
      <w:tblPr>
        <w:tblW w:w="9702" w:type="dxa"/>
        <w:jc w:val="left"/>
        <w:tblInd w:w="0" w:type="dxa"/>
        <w:tblLayout w:type="fixed"/>
        <w:tblCellMar>
          <w:top w:w="28" w:type="dxa"/>
          <w:left w:w="28" w:type="dxa"/>
          <w:bottom w:w="28" w:type="dxa"/>
          <w:right w:w="28" w:type="dxa"/>
        </w:tblCellMar>
      </w:tblPr>
      <w:tblGrid>
        <w:gridCol w:w="4091"/>
        <w:gridCol w:w="146"/>
        <w:gridCol w:w="328"/>
        <w:gridCol w:w="1217"/>
        <w:gridCol w:w="146"/>
        <w:gridCol w:w="146"/>
        <w:gridCol w:w="328"/>
        <w:gridCol w:w="1217"/>
        <w:gridCol w:w="146"/>
        <w:gridCol w:w="146"/>
        <w:gridCol w:w="319"/>
        <w:gridCol w:w="1181"/>
        <w:gridCol w:w="291"/>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7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4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387,987</w:t>
            </w:r>
          </w:p>
        </w:tc>
        <w:tc>
          <w:tcPr>
            <w:tcW w:w="291" w:type="dxa"/>
            <w:tcBorders/>
            <w:shd w:fill="CFF0FC" w:val="clear"/>
            <w:vAlign w:val="center"/>
          </w:tcPr>
          <w:p>
            <w:pPr>
              <w:pStyle w:val="TableContents"/>
              <w:bidi w:val="0"/>
              <w:spacing w:before="0" w:after="283"/>
              <w:jc w:val="left"/>
              <w:rPr/>
            </w:pPr>
            <w:r>
              <w:rPr/>
              <w:t> </w:t>
            </w:r>
          </w:p>
        </w:tc>
      </w:tr>
      <w:tr>
        <w:trPr/>
        <w:tc>
          <w:tcPr>
            <w:tcW w:w="4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other assets</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Derivatives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 hedges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12 months or less. Hedge effectiveness is assessed at inception and at each reporting period utilizing statistical regression analysis. The derivatives are subject to master netting arrangements and are disclosed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statements of cash flows. As of September 30, 2024, the Company had designated cash flow hedge forward contracts with notional amounts equivalent to $28.1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summarizes the fair value of derivative financial instruments as of September 30, 2024 and December 31, 2023:</w:t>
        <w:br/>
        <w:t> </w:t>
      </w:r>
    </w:p>
    <w:tbl>
      <w:tblPr>
        <w:tblW w:w="8686" w:type="dxa"/>
        <w:jc w:val="left"/>
        <w:tblInd w:w="0" w:type="dxa"/>
        <w:tblLayout w:type="fixed"/>
        <w:tblCellMar>
          <w:top w:w="28" w:type="dxa"/>
          <w:left w:w="28" w:type="dxa"/>
          <w:bottom w:w="28" w:type="dxa"/>
          <w:right w:w="28" w:type="dxa"/>
        </w:tblCellMar>
      </w:tblPr>
      <w:tblGrid>
        <w:gridCol w:w="3826"/>
        <w:gridCol w:w="146"/>
        <w:gridCol w:w="654"/>
        <w:gridCol w:w="1311"/>
        <w:gridCol w:w="146"/>
        <w:gridCol w:w="146"/>
        <w:gridCol w:w="725"/>
        <w:gridCol w:w="1195"/>
        <w:gridCol w:w="146"/>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4"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196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flow hedges</w:t>
            </w:r>
          </w:p>
        </w:tc>
        <w:tc>
          <w:tcPr>
            <w:tcW w:w="146" w:type="dxa"/>
            <w:tcBorders/>
            <w:shd w:fill="FFFFFF" w:val="cle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CFF0FC" w:val="cle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activity of foreign currency forward contracts designated as hedging instruments and the impact of these derivatives on AOCI:</w:t>
        <w:br/>
        <w:t> </w:t>
      </w:r>
    </w:p>
    <w:tbl>
      <w:tblPr>
        <w:tblW w:w="8776" w:type="dxa"/>
        <w:jc w:val="left"/>
        <w:tblInd w:w="0" w:type="dxa"/>
        <w:tblLayout w:type="fixed"/>
        <w:tblCellMar>
          <w:top w:w="28" w:type="dxa"/>
          <w:left w:w="28" w:type="dxa"/>
          <w:bottom w:w="28" w:type="dxa"/>
          <w:right w:w="28" w:type="dxa"/>
        </w:tblCellMar>
      </w:tblPr>
      <w:tblGrid>
        <w:gridCol w:w="5646"/>
        <w:gridCol w:w="146"/>
        <w:gridCol w:w="331"/>
        <w:gridCol w:w="897"/>
        <w:gridCol w:w="261"/>
        <w:gridCol w:w="229"/>
        <w:gridCol w:w="331"/>
        <w:gridCol w:w="544"/>
        <w:gridCol w:w="39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564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Beginning balance at January 1, 2024</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261"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64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Net losses recognized in other comprehensive income, net of tax</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1,245</w:t>
            </w:r>
          </w:p>
        </w:tc>
        <w:tc>
          <w:tcPr>
            <w:tcW w:w="261"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64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Net losses reclassified from AOCI to earnings</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(310</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29"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Ending balance at September 30, 2024</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935</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 of hedges on the consolidated statements of operations was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50"/>
        <w:gridCol w:w="146"/>
        <w:gridCol w:w="345"/>
        <w:gridCol w:w="786"/>
        <w:gridCol w:w="271"/>
        <w:gridCol w:w="238"/>
        <w:gridCol w:w="345"/>
        <w:gridCol w:w="566"/>
        <w:gridCol w:w="146"/>
        <w:gridCol w:w="146"/>
        <w:gridCol w:w="333"/>
        <w:gridCol w:w="762"/>
        <w:gridCol w:w="263"/>
        <w:gridCol w:w="230"/>
        <w:gridCol w:w="333"/>
        <w:gridCol w:w="548"/>
        <w:gridCol w:w="397"/>
      </w:tblGrid>
      <w:tr>
        <w:trPr/>
        <w:tc>
          <w:tcPr>
            <w:tcW w:w="4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3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12" w:type="dxa"/>
            <w:gridSpan w:val="14"/>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7" w:type="dxa"/>
            <w:tcBorders/>
            <w:shd w:fill="CFF0FC" w:val="clear"/>
            <w:vAlign w:val="center"/>
          </w:tcPr>
          <w:p>
            <w:pPr>
              <w:pStyle w:val="TableContents"/>
              <w:bidi w:val="0"/>
              <w:spacing w:before="0" w:after="283"/>
              <w:jc w:val="center"/>
              <w:rPr/>
            </w:pPr>
            <w:r>
              <w:rPr/>
              <w:t> </w:t>
            </w:r>
          </w:p>
        </w:tc>
      </w:tr>
      <w:tr>
        <w:trPr/>
        <w:tc>
          <w:tcPr>
            <w:tcW w:w="435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Losses reclassified from AOCI related to cash flow hedges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right"/>
              <w:rPr/>
            </w:pPr>
            <w:r>
              <w:rPr/>
              <w:t> </w:t>
            </w:r>
          </w:p>
        </w:tc>
        <w:tc>
          <w:tcPr>
            <w:tcW w:w="91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881" w:type="dxa"/>
            <w:gridSpan w:val="2"/>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ind w:left="0" w:right="0" w:firstLine="200"/>
              <w:jc w:val="right"/>
              <w:rPr/>
            </w:pPr>
            <w:r>
              <w:rPr/>
              <w:t> </w:t>
            </w:r>
          </w:p>
        </w:tc>
      </w:tr>
      <w:tr>
        <w:trPr/>
        <w:tc>
          <w:tcPr>
            <w:tcW w:w="43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Revenue</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w:t>
            </w:r>
          </w:p>
        </w:tc>
        <w:tc>
          <w:tcPr>
            <w:tcW w:w="27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38" w:type="dxa"/>
            <w:tcBorders/>
            <w:shd w:fill="CFF0FC" w:val="clear"/>
            <w:vAlign w:val="center"/>
          </w:tcPr>
          <w:p>
            <w:pPr>
              <w:pStyle w:val="TableContents"/>
              <w:bidi w:val="0"/>
              <w:spacing w:before="0" w:after="283"/>
              <w:jc w:val="righ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(310</w:t>
            </w:r>
          </w:p>
        </w:tc>
        <w:tc>
          <w:tcPr>
            <w:tcW w:w="26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30" w:type="dxa"/>
            <w:tcBorders/>
            <w:shd w:fill="FFFFFF"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48" w:type="dxa"/>
            <w:tcBorders/>
            <w:shd w:fill="CFF0FC" w:val="clear"/>
            <w:vAlign w:val="center"/>
          </w:tcPr>
          <w:p>
            <w:pPr>
              <w:pStyle w:val="TableContents"/>
              <w:bidi w:val="0"/>
              <w:spacing w:before="0" w:after="283"/>
              <w:jc w:val="right"/>
              <w:rPr>
                <w:color w:val="000000"/>
              </w:rPr>
            </w:pPr>
            <w:r>
              <w:rPr>
                <w:color w:val="000000"/>
              </w:rPr>
              <w:t>—</w:t>
            </w:r>
          </w:p>
        </w:tc>
        <w:tc>
          <w:tcPr>
            <w:tcW w:w="397"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2024, the Company estimates the net amount of unrealized gain (losses) before tax on the foreign currency contracts expected to be reclassified into revenue over the next 12 months is approximately $0.3 million.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consists of the following:</w:t>
        <w:br/>
        <w:t> </w:t>
      </w:r>
    </w:p>
    <w:tbl>
      <w:tblPr>
        <w:tblW w:w="7695" w:type="dxa"/>
        <w:jc w:val="left"/>
        <w:tblInd w:w="0" w:type="dxa"/>
        <w:tblLayout w:type="fixed"/>
        <w:tblCellMar>
          <w:top w:w="28" w:type="dxa"/>
          <w:left w:w="28" w:type="dxa"/>
          <w:bottom w:w="28" w:type="dxa"/>
          <w:right w:w="28" w:type="dxa"/>
        </w:tblCellMar>
      </w:tblPr>
      <w:tblGrid>
        <w:gridCol w:w="3781"/>
        <w:gridCol w:w="146"/>
        <w:gridCol w:w="310"/>
        <w:gridCol w:w="1235"/>
        <w:gridCol w:w="166"/>
        <w:gridCol w:w="146"/>
        <w:gridCol w:w="301"/>
        <w:gridCol w:w="1199"/>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16,395</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computer equipment</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50,018</w:t>
            </w:r>
          </w:p>
        </w:tc>
        <w:tc>
          <w:tcPr>
            <w:tcW w:w="41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112,714</w:t>
            </w:r>
          </w:p>
        </w:tc>
        <w:tc>
          <w:tcPr>
            <w:tcW w:w="41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48,894</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248,687</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and amortization expense on property and equipment was $7.8 million for the three months ended September 30, 2024, $21.9 million for the nine months ended September 30, 2024, $7.7 million for the three months ended September 30, 2023, and $21.8 million for the nine months ended September 30, 2023.</w:t>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Capitalized Software Development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exclusive of those recorded within property and equipment, consisted of the following: </w:t>
        <w:br/>
        <w:t> </w:t>
      </w:r>
    </w:p>
    <w:tbl>
      <w:tblPr>
        <w:tblW w:w="7805" w:type="dxa"/>
        <w:jc w:val="left"/>
        <w:tblInd w:w="0" w:type="dxa"/>
        <w:tblLayout w:type="fixed"/>
        <w:tblCellMar>
          <w:top w:w="28" w:type="dxa"/>
          <w:left w:w="28" w:type="dxa"/>
          <w:bottom w:w="28" w:type="dxa"/>
          <w:right w:w="28" w:type="dxa"/>
        </w:tblCellMar>
      </w:tblPr>
      <w:tblGrid>
        <w:gridCol w:w="3891"/>
        <w:gridCol w:w="146"/>
        <w:gridCol w:w="310"/>
        <w:gridCol w:w="1235"/>
        <w:gridCol w:w="166"/>
        <w:gridCol w:w="146"/>
        <w:gridCol w:w="301"/>
        <w:gridCol w:w="1199"/>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capitalized software development costs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257,052</w:t>
            </w:r>
          </w:p>
        </w:tc>
        <w:tc>
          <w:tcPr>
            <w:tcW w:w="411" w:type="dxa"/>
            <w:tcBorders/>
            <w:shd w:fill="CFF0FC" w:val="cle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capitalized software development costs are associated with software developed for the Company's customer platform. Capitalized software development costs recorded within property and equipment are associated with software developed for Company use.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Amortization of capitalized software development costs, exclusive of costs recorded within property and equipment, was $21.0 million for the three months ended September 30, 2024, $54.8 million for the nine months ended September 30, 2024, $12.6 million for the three months ended September 30, 2023, and $33.1 million for the nine months ended September 30, 2023. </w:t>
      </w:r>
    </w:p>
    <w:p>
      <w:pPr>
        <w:pStyle w:val="TextBody"/>
        <w:bidi w:val="0"/>
        <w:spacing w:before="4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Convertible Senior Notes</w:t>
      </w:r>
    </w:p>
    <w:p>
      <w:pPr>
        <w:pStyle w:val="TextBody"/>
        <w:bidi w:val="0"/>
        <w:spacing w:before="200" w:after="283"/>
        <w:jc w:val="left"/>
        <w:rPr>
          <w:rFonts w:ascii="Times New Roman" w:hAnsi="Times New Roman"/>
          <w:sz w:val="20"/>
        </w:rPr>
      </w:pPr>
      <w:r>
        <w:rPr>
          <w:rFonts w:ascii="Times New Roman" w:hAnsi="Times New Roman"/>
          <w:b/>
          <w:i/>
          <w:color w:val="000000"/>
          <w:sz w:val="20"/>
        </w:rPr>
        <w:t>2025 Convertible Senior Notes and Capped Call Options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2025 Notes are classified as short-term debt and the Company expects to settle the principal amount of the 2025 Notes in cash. Because the last reported sale price of the Company’s common stock for at least 20 trading days during the period of 30 consecutive trading days ending on the last trading day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calendar quarter ended September 30, 2024 was equal to or greater than 130% of the applicable conversion price on each applicable trading day, the 2025 Notes are convertible at the option of the holders thereof during the calendar quarter ending December 31, 2024. As of November 1, 2024, the Company has not received any conversion notices.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net carrying amount of the liability component of the 2025 Notes is as follows:</w:t>
        <w:br/>
        <w:t> </w:t>
      </w:r>
    </w:p>
    <w:tbl>
      <w:tblPr>
        <w:tblW w:w="7110" w:type="dxa"/>
        <w:jc w:val="left"/>
        <w:tblInd w:w="0" w:type="dxa"/>
        <w:tblLayout w:type="fixed"/>
        <w:tblCellMar>
          <w:top w:w="28" w:type="dxa"/>
          <w:left w:w="28" w:type="dxa"/>
          <w:bottom w:w="28" w:type="dxa"/>
          <w:right w:w="28" w:type="dxa"/>
        </w:tblCellMar>
      </w:tblPr>
      <w:tblGrid>
        <w:gridCol w:w="2356"/>
        <w:gridCol w:w="146"/>
        <w:gridCol w:w="418"/>
        <w:gridCol w:w="1547"/>
        <w:gridCol w:w="166"/>
        <w:gridCol w:w="146"/>
        <w:gridCol w:w="408"/>
        <w:gridCol w:w="1512"/>
        <w:gridCol w:w="4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9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459,076</w:t>
            </w:r>
          </w:p>
        </w:tc>
        <w:tc>
          <w:tcPr>
            <w:tcW w:w="41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w:t>
            </w:r>
          </w:p>
        </w:tc>
        <w:tc>
          <w:tcPr>
            <w:tcW w:w="146" w:type="dxa"/>
            <w:tcBorders/>
            <w:shd w:fill="FFFFFF" w:val="cle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related to the 2025 Notes is as follows:</w:t>
        <w:br/>
        <w:t> </w:t>
      </w:r>
    </w:p>
    <w:tbl>
      <w:tblPr>
        <w:tblW w:w="8703" w:type="dxa"/>
        <w:jc w:val="left"/>
        <w:tblInd w:w="0" w:type="dxa"/>
        <w:tblLayout w:type="fixed"/>
        <w:tblCellMar>
          <w:top w:w="28" w:type="dxa"/>
          <w:left w:w="28" w:type="dxa"/>
          <w:bottom w:w="28" w:type="dxa"/>
          <w:right w:w="28" w:type="dxa"/>
        </w:tblCellMar>
      </w:tblPr>
      <w:tblGrid>
        <w:gridCol w:w="2596"/>
        <w:gridCol w:w="146"/>
        <w:gridCol w:w="364"/>
        <w:gridCol w:w="726"/>
        <w:gridCol w:w="252"/>
        <w:gridCol w:w="252"/>
        <w:gridCol w:w="364"/>
        <w:gridCol w:w="726"/>
        <w:gridCol w:w="146"/>
        <w:gridCol w:w="146"/>
        <w:gridCol w:w="295"/>
        <w:gridCol w:w="798"/>
        <w:gridCol w:w="204"/>
        <w:gridCol w:w="204"/>
        <w:gridCol w:w="295"/>
        <w:gridCol w:w="798"/>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0"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04" w:type="dxa"/>
            <w:tcBorders/>
            <w:shd w:fill="CFF0FC"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issuance costs</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righ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$50.6 million paid for the Capped Call Options is recorded in stockholders’ equity as a reduction in additional paid-in capital and the Capped Call Options are not accounted for as separate derivative financial instruments.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$80.4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Included in the table below is an operating lease commitment for a lease that has not yet commenced of approximately $5.7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minimum payments under all operating lease agreements as of September 30, 2024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14,316</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57,458</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54,136</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48,981</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36,220</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entered into certain non-cancelable vendor commitments, which require the future purchase of goods or services. Future minimum payments under all non-cancelable vendor commitments as of September 30, 2024 are as follows: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42,120</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236,930</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236,800</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187,846</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office facilities under non-cancelable operating leases that expire at various dates through February 2035. During the nine months ended September 30, 2024, the Company modified various leases of office spaces globally. The Company recorded a reduction in right-of-use assets of $6.9 million and an increase in lease liabilities of $0.9 million for these leases during the period upon the lease modification.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expense and cash payments related to operating lease liabilities for the three and nine months ended September 30, 2024 and 2023 are as follows:</w:t>
        <w:br/>
        <w:t> </w:t>
      </w:r>
    </w:p>
    <w:tbl>
      <w:tblPr>
        <w:tblW w:w="7991" w:type="dxa"/>
        <w:jc w:val="left"/>
        <w:tblInd w:w="0" w:type="dxa"/>
        <w:tblLayout w:type="fixed"/>
        <w:tblCellMar>
          <w:top w:w="28" w:type="dxa"/>
          <w:left w:w="28" w:type="dxa"/>
          <w:bottom w:w="28" w:type="dxa"/>
          <w:right w:w="28" w:type="dxa"/>
        </w:tblCellMar>
      </w:tblPr>
      <w:tblGrid>
        <w:gridCol w:w="2086"/>
        <w:gridCol w:w="146"/>
        <w:gridCol w:w="274"/>
        <w:gridCol w:w="878"/>
        <w:gridCol w:w="189"/>
        <w:gridCol w:w="189"/>
        <w:gridCol w:w="274"/>
        <w:gridCol w:w="878"/>
        <w:gridCol w:w="146"/>
        <w:gridCol w:w="146"/>
        <w:gridCol w:w="265"/>
        <w:gridCol w:w="849"/>
        <w:gridCol w:w="183"/>
        <w:gridCol w:w="183"/>
        <w:gridCol w:w="265"/>
        <w:gridCol w:w="849"/>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29,577</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33,139</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42,002</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45,827</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subleases some of its unused spaces to third parties. Operating sublease income generated under all operating lease agreements for the three and nine months ended September 30, 2024 and 2023 are as follows: </w:t>
        <w:br/>
        <w:t> </w:t>
      </w:r>
    </w:p>
    <w:tbl>
      <w:tblPr>
        <w:tblW w:w="8218" w:type="dxa"/>
        <w:jc w:val="left"/>
        <w:tblInd w:w="0" w:type="dxa"/>
        <w:tblLayout w:type="fixed"/>
        <w:tblCellMar>
          <w:top w:w="28" w:type="dxa"/>
          <w:left w:w="28" w:type="dxa"/>
          <w:bottom w:w="28" w:type="dxa"/>
          <w:right w:w="28" w:type="dxa"/>
        </w:tblCellMar>
      </w:tblPr>
      <w:tblGrid>
        <w:gridCol w:w="2311"/>
        <w:gridCol w:w="146"/>
        <w:gridCol w:w="305"/>
        <w:gridCol w:w="826"/>
        <w:gridCol w:w="211"/>
        <w:gridCol w:w="211"/>
        <w:gridCol w:w="305"/>
        <w:gridCol w:w="826"/>
        <w:gridCol w:w="146"/>
        <w:gridCol w:w="146"/>
        <w:gridCol w:w="295"/>
        <w:gridCol w:w="798"/>
        <w:gridCol w:w="204"/>
        <w:gridCol w:w="204"/>
        <w:gridCol w:w="295"/>
        <w:gridCol w:w="79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sublease income</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Changes in Accumulated Other Comprehensive Income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changes in accumulated other comprehensive income (loss), which is reported as a component of stockholders’ equity, for the nine months ended September 30, 2024 and 2023.</w:t>
      </w:r>
    </w:p>
    <w:tbl>
      <w:tblPr>
        <w:tblW w:w="10205" w:type="dxa"/>
        <w:jc w:val="left"/>
        <w:tblInd w:w="0" w:type="dxa"/>
        <w:tblLayout w:type="fixed"/>
        <w:tblCellMar>
          <w:top w:w="28" w:type="dxa"/>
          <w:left w:w="28" w:type="dxa"/>
          <w:bottom w:w="28" w:type="dxa"/>
          <w:right w:w="28" w:type="dxa"/>
        </w:tblCellMar>
      </w:tblPr>
      <w:tblGrid>
        <w:gridCol w:w="4077"/>
        <w:gridCol w:w="146"/>
        <w:gridCol w:w="482"/>
        <w:gridCol w:w="1308"/>
        <w:gridCol w:w="146"/>
        <w:gridCol w:w="146"/>
        <w:gridCol w:w="285"/>
        <w:gridCol w:w="775"/>
        <w:gridCol w:w="146"/>
        <w:gridCol w:w="146"/>
        <w:gridCol w:w="264"/>
        <w:gridCol w:w="796"/>
        <w:gridCol w:w="166"/>
        <w:gridCol w:w="146"/>
        <w:gridCol w:w="211"/>
        <w:gridCol w:w="571"/>
        <w:gridCol w:w="394"/>
      </w:tblGrid>
      <w:tr>
        <w:trPr/>
        <w:tc>
          <w:tcPr>
            <w:tcW w:w="4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0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2024</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40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407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income, net of tax</w:t>
            </w:r>
          </w:p>
        </w:tc>
        <w:tc>
          <w:tcPr>
            <w:tcW w:w="146" w:type="dxa"/>
            <w:tcBorders/>
            <w:shd w:fill="CFF0FC" w:val="cle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September 30, 2024</w:t>
            </w:r>
          </w:p>
        </w:tc>
        <w:tc>
          <w:tcPr>
            <w:tcW w:w="146" w:type="dxa"/>
            <w:tcBorders/>
            <w:shd w:fill="FFFFFF" w:val="cle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5"/>
        <w:gridCol w:w="146"/>
        <w:gridCol w:w="520"/>
        <w:gridCol w:w="1556"/>
        <w:gridCol w:w="166"/>
        <w:gridCol w:w="146"/>
        <w:gridCol w:w="273"/>
        <w:gridCol w:w="821"/>
        <w:gridCol w:w="166"/>
        <w:gridCol w:w="146"/>
        <w:gridCol w:w="211"/>
        <w:gridCol w:w="736"/>
        <w:gridCol w:w="413"/>
      </w:tblGrid>
      <w:tr>
        <w:trPr/>
        <w:tc>
          <w:tcPr>
            <w:tcW w:w="4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2023</w:t>
            </w:r>
          </w:p>
        </w:tc>
        <w:tc>
          <w:tcPr>
            <w:tcW w:w="146"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0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5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490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income, net of tax</w:t>
            </w:r>
          </w:p>
        </w:tc>
        <w:tc>
          <w:tcPr>
            <w:tcW w:w="146" w:type="dxa"/>
            <w:tcBorders/>
            <w:shd w:fill="CFF0FC" w:val="cle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September 30, 2023</w:t>
            </w:r>
          </w:p>
        </w:tc>
        <w:tc>
          <w:tcPr>
            <w:tcW w:w="146" w:type="dxa"/>
            <w:tcBorders/>
            <w:shd w:fill="FFFFFF" w:val="clear"/>
            <w:vAlign w:val="center"/>
          </w:tcPr>
          <w:p>
            <w:pPr>
              <w:pStyle w:val="TableContents"/>
              <w:bidi w:val="0"/>
              <w:spacing w:before="0" w:after="283"/>
              <w:jc w:val="left"/>
              <w:rPr/>
            </w:pPr>
            <w:r>
              <w:rPr/>
              <w:t> </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Stock-Based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two tables show stock-based compensation expense by award type and where the stock-based compensation expense is recorded in the Company’s consolidated statements of operations:</w:t>
      </w:r>
    </w:p>
    <w:tbl>
      <w:tblPr>
        <w:tblW w:w="9756" w:type="dxa"/>
        <w:jc w:val="left"/>
        <w:tblInd w:w="0" w:type="dxa"/>
        <w:tblLayout w:type="fixed"/>
        <w:tblCellMar>
          <w:top w:w="28" w:type="dxa"/>
          <w:left w:w="28" w:type="dxa"/>
          <w:bottom w:w="28" w:type="dxa"/>
          <w:right w:w="28" w:type="dxa"/>
        </w:tblCellMar>
      </w:tblPr>
      <w:tblGrid>
        <w:gridCol w:w="3651"/>
        <w:gridCol w:w="146"/>
        <w:gridCol w:w="249"/>
        <w:gridCol w:w="921"/>
        <w:gridCol w:w="172"/>
        <w:gridCol w:w="172"/>
        <w:gridCol w:w="249"/>
        <w:gridCol w:w="921"/>
        <w:gridCol w:w="146"/>
        <w:gridCol w:w="146"/>
        <w:gridCol w:w="240"/>
        <w:gridCol w:w="890"/>
        <w:gridCol w:w="166"/>
        <w:gridCol w:w="166"/>
        <w:gridCol w:w="240"/>
        <w:gridCol w:w="890"/>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6,309</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8,798</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117,895</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334,637</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287,575</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17,524</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130,266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Effect of stock-based compensation expense on income by line item: </w:t>
        <w:br/>
        <w:t> </w:t>
      </w:r>
    </w:p>
    <w:tbl>
      <w:tblPr>
        <w:tblW w:w="10081" w:type="dxa"/>
        <w:jc w:val="left"/>
        <w:tblInd w:w="0" w:type="dxa"/>
        <w:tblLayout w:type="fixed"/>
        <w:tblCellMar>
          <w:top w:w="28" w:type="dxa"/>
          <w:left w:w="28" w:type="dxa"/>
          <w:bottom w:w="28" w:type="dxa"/>
          <w:right w:w="28" w:type="dxa"/>
        </w:tblCellMar>
      </w:tblPr>
      <w:tblGrid>
        <w:gridCol w:w="3976"/>
        <w:gridCol w:w="146"/>
        <w:gridCol w:w="249"/>
        <w:gridCol w:w="921"/>
        <w:gridCol w:w="172"/>
        <w:gridCol w:w="172"/>
        <w:gridCol w:w="249"/>
        <w:gridCol w:w="921"/>
        <w:gridCol w:w="146"/>
        <w:gridCol w:w="146"/>
        <w:gridCol w:w="240"/>
        <w:gridCol w:w="890"/>
        <w:gridCol w:w="166"/>
        <w:gridCol w:w="166"/>
        <w:gridCol w:w="240"/>
        <w:gridCol w:w="890"/>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subscription</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16,811</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3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professional services and other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62,595</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177,914</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146,845</w:t>
            </w:r>
          </w:p>
        </w:tc>
        <w:tc>
          <w:tcPr>
            <w:tcW w:w="3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36,218</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107,543</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103,233</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130,266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excluded from stock-based compensation expense were $10.7 million for the three months ended September 30, 2024, $29.7 million for the nine months ended September 30, 2024, $6.9 million for the three months ended September 30, 2023, and $21.0 million for the nine months ended September 30, 2023. Also excluded from stock-based compensation expense in the nine months ended September 30, 2023 was $1.0 million incurred in connection with the Restructuring Plan. See Note 15 for more details.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Segment Information and Geographic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statements. Revenue and long-lived assets by geographic region, based on the physical location of the operations recording the sale or the asset, are as follows: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Revenues by geographical region:</w:t>
      </w:r>
    </w:p>
    <w:tbl>
      <w:tblPr>
        <w:tblW w:w="10205" w:type="dxa"/>
        <w:jc w:val="left"/>
        <w:tblInd w:w="0" w:type="dxa"/>
        <w:tblLayout w:type="fixed"/>
        <w:tblCellMar>
          <w:top w:w="28" w:type="dxa"/>
          <w:left w:w="28" w:type="dxa"/>
          <w:bottom w:w="28" w:type="dxa"/>
          <w:right w:w="28" w:type="dxa"/>
        </w:tblCellMar>
      </w:tblPr>
      <w:tblGrid>
        <w:gridCol w:w="3929"/>
        <w:gridCol w:w="146"/>
        <w:gridCol w:w="230"/>
        <w:gridCol w:w="852"/>
        <w:gridCol w:w="295"/>
        <w:gridCol w:w="159"/>
        <w:gridCol w:w="230"/>
        <w:gridCol w:w="852"/>
        <w:gridCol w:w="271"/>
        <w:gridCol w:w="146"/>
        <w:gridCol w:w="211"/>
        <w:gridCol w:w="931"/>
        <w:gridCol w:w="271"/>
        <w:gridCol w:w="146"/>
        <w:gridCol w:w="211"/>
        <w:gridCol w:w="931"/>
        <w:gridCol w:w="394"/>
      </w:tblGrid>
      <w:tr>
        <w:trPr/>
        <w:tc>
          <w:tcPr>
            <w:tcW w:w="3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9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4" w:type="dxa"/>
            <w:tcBorders/>
            <w:shd w:fill="FFFFFF" w:val="clear"/>
            <w:vAlign w:val="center"/>
          </w:tcPr>
          <w:p>
            <w:pPr>
              <w:pStyle w:val="TableContents"/>
              <w:bidi w:val="0"/>
              <w:spacing w:before="0" w:after="283"/>
              <w:jc w:val="center"/>
              <w:rPr/>
            </w:pPr>
            <w:r>
              <w:rPr/>
              <w:t> </w:t>
            </w:r>
          </w:p>
        </w:tc>
      </w:tr>
      <w:tr>
        <w:trPr/>
        <w:tc>
          <w:tcPr>
            <w:tcW w:w="39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404,347</w:t>
            </w:r>
          </w:p>
        </w:tc>
        <w:tc>
          <w:tcPr>
            <w:tcW w:w="295"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1,165,218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966,762</w:t>
            </w:r>
          </w:p>
        </w:tc>
        <w:tc>
          <w:tcPr>
            <w:tcW w:w="394" w:type="dxa"/>
            <w:tcBorders/>
            <w:shd w:fill="FFFFFF" w:val="clear"/>
            <w:vAlign w:val="center"/>
          </w:tcPr>
          <w:p>
            <w:pPr>
              <w:pStyle w:val="TableContents"/>
              <w:bidi w:val="0"/>
              <w:spacing w:before="0" w:after="283"/>
              <w:jc w:val="left"/>
              <w:rPr/>
            </w:pPr>
            <w:r>
              <w:rPr/>
              <w:t> </w:t>
            </w:r>
          </w:p>
        </w:tc>
      </w:tr>
      <w:tr>
        <w:trPr/>
        <w:tc>
          <w:tcPr>
            <w:tcW w:w="39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210,893</w:t>
            </w:r>
          </w:p>
        </w:tc>
        <w:tc>
          <w:tcPr>
            <w:tcW w:w="295"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603,689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488,009</w:t>
            </w:r>
          </w:p>
        </w:tc>
        <w:tc>
          <w:tcPr>
            <w:tcW w:w="394" w:type="dxa"/>
            <w:tcBorders/>
            <w:shd w:fill="CFF0FC" w:val="clear"/>
            <w:vAlign w:val="center"/>
          </w:tcPr>
          <w:p>
            <w:pPr>
              <w:pStyle w:val="TableContents"/>
              <w:bidi w:val="0"/>
              <w:spacing w:before="0" w:after="283"/>
              <w:jc w:val="left"/>
              <w:rPr/>
            </w:pPr>
            <w:r>
              <w:rPr/>
              <w:t> </w:t>
            </w:r>
          </w:p>
        </w:tc>
      </w:tr>
      <w:tr>
        <w:trPr/>
        <w:tc>
          <w:tcPr>
            <w:tcW w:w="39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669,721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1,924,365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1,588,315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 generated outside of the Americas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 derived from customers outside the United States (international) was approximately 47% of total revenue in the three and nine months ended September 30, 2024 and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long-lived assets by geographical region:</w:t>
        <w:br/>
        <w:t> </w:t>
      </w:r>
    </w:p>
    <w:tbl>
      <w:tblPr>
        <w:tblW w:w="9820" w:type="dxa"/>
        <w:jc w:val="left"/>
        <w:tblInd w:w="0" w:type="dxa"/>
        <w:tblLayout w:type="fixed"/>
        <w:tblCellMar>
          <w:top w:w="28" w:type="dxa"/>
          <w:left w:w="28" w:type="dxa"/>
          <w:bottom w:w="28" w:type="dxa"/>
          <w:right w:w="28" w:type="dxa"/>
        </w:tblCellMar>
      </w:tblPr>
      <w:tblGrid>
        <w:gridCol w:w="4981"/>
        <w:gridCol w:w="146"/>
        <w:gridCol w:w="418"/>
        <w:gridCol w:w="1547"/>
        <w:gridCol w:w="271"/>
        <w:gridCol w:w="146"/>
        <w:gridCol w:w="408"/>
        <w:gridCol w:w="1512"/>
        <w:gridCol w:w="3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235,141</w:t>
            </w:r>
          </w:p>
        </w:tc>
        <w:tc>
          <w:tcPr>
            <w:tcW w:w="3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15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112,176</w:t>
            </w:r>
          </w:p>
        </w:tc>
        <w:tc>
          <w:tcPr>
            <w:tcW w:w="391" w:type="dxa"/>
            <w:tcBorders/>
            <w:shd w:fill="FFFFFF" w:val="cle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long-lived assets held outside of the Americas</w:t>
            </w:r>
          </w:p>
        </w:tc>
        <w:tc>
          <w:tcPr>
            <w:tcW w:w="146" w:type="dxa"/>
            <w:tcBorders/>
            <w:shd w:fill="CFF0FC" w:val="cle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Restructuring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incurred restructuring charges of $1.0 million in the three months ended September 30, 2024 and $2.8 million in the nine months ended September 30, 2024 consisting of variable facilities related costs on unused space. During the nine months ended September 30, 2023, the Company terminated and abandoned various leases of office spaces globally. The Company recorded a reduction in right-of-use assets of $44.6 million and an increase in lease liabilities of $6.3 million for these leases during the period upon the lease terminations or abandonments. In the three months ended September 30, 2023, the Company incurred $0.8 million of restructuring charges in connection with these leases. In the nine months ended September 30, 2023, the Company incurred $93.3 million of restructuring charges, composed of $66.4 million related to facilities and $26.9 million for severance, employee related benefits, and other costs, including $1.0 million of stock-based compensation expense. The charges are recorded to the restructuring line item within the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variable facilities related costs for vacated properties will continue to be recorded to restructuring charges. As of September 30, 2024, the Company did not have any remaining liabilities accrued related to the Restructuring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16. Subsequent Event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30, 2024, the Company acquired all outstanding shares of Cacheflow Inc. (“Cacheflow”), a B2B subscription billing management and configure, price, quote (“CPQ”) solution, for cash consideration of approximately $65.0 million, subject to customary post-closing adjustments and conditions. The acquisition will expand its commerce capabilities for subscription billing and quote-to-cash automation to help customers close deals faster. Due to the limited amount of time since the date of acquisition, the Company is in the process of finalizing the accounting for this transaction and expects to complete the preliminary purchase price allocation in the fourth quarter of 2024. This acquisition is expected to have an insignificant impact on the Company’s 2024 revenue.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2023 filed with the SEC on February 14, 2024.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provide a customer platform that helps businesses connect and grow better. We deliver seamless connection for customer-facing teams with a unified platform that includes three layers: AI-powered engagement hubs, a Smart CRM, and a connected ecosystem that extends the customer platform with app marketplace integrations, a community network, and educational content.</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Our engagement hubs include Marketing Hub, Sales Hub, Service Hub, Operations Hub, Content Hub and Commerce Hub, as well as other tools and integrations that enable companies to attract, engage, and delight customers throughout the customer experience. 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 xml:space="preserve">The core of our customer platform is our Smart CRM: a single database of lead and customer information that allows businesses to track their interactions with contacts and customers, manage their customer activities, and report on their pipeline and sales. Our customer platform was built to easily and seamlessly integrate third party applications to further customize to an individual company’s industry or needs. As data is becoming more important to our customers’ success and a differentiator for our business, there is a need to move quickly on data enrichment. The acquisition of APIHub, Inc. (dba Clearbit), which closed in December 2023, allowed us to build Breeze Intelligence, a B2B-focused data enrichment tool directly into our customer platform. </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designed and built our customer platform to serve a broad range of customers globally.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sz w:val="20"/>
        </w:rPr>
      </w:pPr>
      <w:r>
        <w:rPr>
          <w:rFonts w:ascii="Times New Roman" w:hAnsi="Times New Roman"/>
          <w:color w:val="212529"/>
          <w:sz w:val="20"/>
        </w:rPr>
        <w:t xml:space="preserve">We focus on selling to mid-market business-to-business, or B2B, companies, which we define as companies that have between two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w:t>
      </w:r>
      <w:r>
        <w:rPr>
          <w:rFonts w:ascii="Times New Roman" w:hAnsi="Times New Roman"/>
          <w:color w:val="000000"/>
          <w:sz w:val="20"/>
        </w:rPr>
        <w:t xml:space="preserve">As of September 30, 2024, we had 8,103 full-time employees and 238,128 Customers of varying sizes in more than 135 countries, representing many industries.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most of our revenue from subscriptions to our cloud-based customer platform and related professional services, which consist of customer on-boarding, training and consulting services. Subscription revenue accounted for 98% of our total revenue for the three and nine months ended September 30, 2024 and 2023. We sell multiple product plans at different base prices on a subscription basis, each of which includes our Smart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products and seats, and the number of account users and subdomains. Most of our Customers’ subscriptions are one year or less in duration.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our customers purchase on-boarding, training, and consulting services, as well as other tools, which are designed to help customers enhance their ability to attract, engage and delight their customers using our customer platform. We also generate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 from Commerce Hub and a number of revenue-share agreements with other companies based on mutually agreed upon terms. Professional services and other revenue accounted for 2% of total revenue for three and nine months ended September 30, 2024 and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focused on rapidly growing our business and plan to continue to make investments to help us address some of the challenges facing us to support this growth, such as demand for our customer platform by existing and new customers, significant competition from other providers of marketing, sales, customer service, operations, commerce, and content management software and related applications and rapid technological change in our industry.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customer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to fund these growth strategies and support our business and do not expect to be profitable in the next 12 months. </w:t>
        <w:br/>
        <w:br/>
        <w:br/>
      </w: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results of operations may be significantly influenced by general macroeconomic conditions, including, but not limited to, the impact of pandemics (such as the COVID-19 pandemic), geo-political conflicts, foreign currency fluctuations, interest rates, inflation, recession risks,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 </w:t>
        <w:br/>
        <w:br/>
        <w:t> </w:t>
      </w:r>
    </w:p>
    <w:p>
      <w:pPr>
        <w:pStyle w:val="TextBody"/>
        <w:bidi w:val="0"/>
        <w:jc w:val="left"/>
        <w:rPr>
          <w:rFonts w:ascii="Times New Roman" w:hAnsi="Times New Roman"/>
          <w:b/>
          <w:color w:val="000000"/>
          <w:sz w:val="20"/>
        </w:rPr>
      </w:pPr>
      <w:r>
        <w:rPr>
          <w:rFonts w:ascii="Times New Roman" w:hAnsi="Times New Roman"/>
          <w:b/>
          <w:color w:val="000000"/>
          <w:sz w:val="20"/>
        </w:rPr>
        <w:t>Key Business Metrics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Customers. </w:t>
      </w:r>
      <w:r>
        <w:rPr>
          <w:rFonts w:ascii="Times New Roman" w:hAnsi="Times New Roman"/>
          <w:color w:val="000000"/>
          <w:sz w:val="20"/>
        </w:rPr>
        <w:t>We believe that our ability to increase our customer base is an indicator of our market penetration, the growth of our business, and our 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Average Subscription Revenue per Customer. </w:t>
      </w:r>
      <w:r>
        <w:rPr>
          <w:rFonts w:ascii="Times New Roman" w:hAnsi="Times New Roman"/>
          <w:color w:val="000000"/>
          <w:sz w:val="20"/>
        </w:rPr>
        <w:t xml:space="preserve">We believe that our ability to increase the Average Subscription Revenue per Customer is an indicator of our ability to grow the long-term value of our existing customer relationships. We define Average Subscription Revenue per Customer during a particular period as subscription revenue from our Customers during the period divided by the average Customers during the same period.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 Retention.</w:t>
      </w:r>
      <w:r>
        <w:rPr>
          <w:rFonts w:ascii="Times New Roman" w:hAnsi="Times New Roman"/>
          <w:color w:val="000000"/>
          <w:sz w:val="20"/>
        </w:rPr>
        <w:t xml:space="preserve"> We believe that our ability to retain and expand a customer relationship is an indicator of the stability of our revenue base 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Retained Subscription Revenue.</w:t>
      </w:r>
      <w:r>
        <w:rPr>
          <w:rFonts w:ascii="Times New Roman" w:hAnsi="Times New Roman"/>
          <w:color w:val="000000"/>
          <w:sz w:val="20"/>
        </w:rPr>
        <w:t xml:space="preserve"> Contractual Monthly Subscription Revenue of the same cohort of Customers as those that comprise the Retention Base Revenue at the end of the same month.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Retention Base Revenue.</w:t>
      </w:r>
      <w:r>
        <w:rPr>
          <w:rFonts w:ascii="Times New Roman" w:hAnsi="Times New Roman"/>
          <w:color w:val="000000"/>
          <w:sz w:val="20"/>
        </w:rPr>
        <w:t xml:space="preserve"> Contractual Monthly Subscription Revenue of our Customers as of the beginning of each month.</w:t>
      </w:r>
    </w:p>
    <w:p>
      <w:pPr>
        <w:pStyle w:val="TextBody"/>
        <w:bidi w:val="0"/>
        <w:jc w:val="left"/>
        <w:rPr>
          <w:rFonts w:ascii="Times New Roman" w:hAnsi="Times New Roman"/>
          <w:sz w:val="20"/>
        </w:rPr>
      </w:pPr>
      <w:r>
        <w:rPr>
          <w:rFonts w:ascii="Times New Roman" w:hAnsi="Times New Roman"/>
          <w:i/>
          <w:color w:val="000000"/>
          <w:sz w:val="20"/>
        </w:rPr>
        <w:t xml:space="preserve">Contractual Monthly Subscription Revenue. </w:t>
      </w:r>
      <w:r>
        <w:rPr>
          <w:rFonts w:ascii="Times New Roman" w:hAnsi="Times New Roman"/>
          <w:color w:val="000000"/>
          <w:sz w:val="20"/>
        </w:rPr>
        <w:t xml:space="preserve">The subscription fees contractually committed to be paid for a full month under our Customer agreements, converted into USD at fixed rates that are held consistent over time, excluding commissions owed to our Solutions Partners. </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 for the Three Months Ended September 30, 2024 and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 </w:t>
      </w:r>
    </w:p>
    <w:tbl>
      <w:tblPr>
        <w:tblW w:w="9933" w:type="dxa"/>
        <w:jc w:val="left"/>
        <w:tblInd w:w="0" w:type="dxa"/>
        <w:tblLayout w:type="fixed"/>
        <w:tblCellMar>
          <w:top w:w="28" w:type="dxa"/>
          <w:left w:w="28" w:type="dxa"/>
          <w:bottom w:w="28" w:type="dxa"/>
          <w:right w:w="28" w:type="dxa"/>
        </w:tblCellMar>
      </w:tblPr>
      <w:tblGrid>
        <w:gridCol w:w="3406"/>
        <w:gridCol w:w="146"/>
        <w:gridCol w:w="246"/>
        <w:gridCol w:w="913"/>
        <w:gridCol w:w="194"/>
        <w:gridCol w:w="170"/>
        <w:gridCol w:w="246"/>
        <w:gridCol w:w="913"/>
        <w:gridCol w:w="166"/>
        <w:gridCol w:w="146"/>
        <w:gridCol w:w="211"/>
        <w:gridCol w:w="931"/>
        <w:gridCol w:w="166"/>
        <w:gridCol w:w="146"/>
        <w:gridCol w:w="211"/>
        <w:gridCol w:w="931"/>
        <w:gridCol w:w="7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654,738</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1,553,253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0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669,721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1,588,315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85,066</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210,011</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0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250,921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570,397</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1,337,394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191,185</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454,511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309,928</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787,423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77,928</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179,939</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580,028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(177,775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21,780</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40,195</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10,648</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(142,525</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tbl>
      <w:tblPr>
        <w:tblW w:w="9917" w:type="dxa"/>
        <w:jc w:val="left"/>
        <w:tblInd w:w="0" w:type="dxa"/>
        <w:tblLayout w:type="fixed"/>
        <w:tblCellMar>
          <w:top w:w="28" w:type="dxa"/>
          <w:left w:w="28" w:type="dxa"/>
          <w:bottom w:w="28" w:type="dxa"/>
          <w:right w:w="28" w:type="dxa"/>
        </w:tblCellMar>
      </w:tblPr>
      <w:tblGrid>
        <w:gridCol w:w="3406"/>
        <w:gridCol w:w="146"/>
        <w:gridCol w:w="252"/>
        <w:gridCol w:w="729"/>
        <w:gridCol w:w="469"/>
        <w:gridCol w:w="252"/>
        <w:gridCol w:w="252"/>
        <w:gridCol w:w="729"/>
        <w:gridCol w:w="331"/>
        <w:gridCol w:w="146"/>
        <w:gridCol w:w="235"/>
        <w:gridCol w:w="678"/>
        <w:gridCol w:w="533"/>
        <w:gridCol w:w="235"/>
        <w:gridCol w:w="235"/>
        <w:gridCol w:w="678"/>
        <w:gridCol w:w="6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right"/>
              <w:rPr/>
            </w:pPr>
            <w:r>
              <w:rPr/>
              <w:t> </w:t>
            </w:r>
          </w:p>
        </w:tc>
        <w:tc>
          <w:tcPr>
            <w:tcW w:w="469"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3" w:type="dxa"/>
            <w:gridSpan w:val="2"/>
            <w:tcBorders/>
            <w:shd w:fill="CFF0FC" w:val="clear"/>
            <w:vAlign w:val="center"/>
          </w:tcPr>
          <w:p>
            <w:pPr>
              <w:pStyle w:val="TableContents"/>
              <w:bidi w:val="0"/>
              <w:spacing w:before="0" w:after="283"/>
              <w:jc w:val="right"/>
              <w:rPr/>
            </w:pPr>
            <w:r>
              <w:rPr/>
              <w:t> </w:t>
            </w:r>
          </w:p>
        </w:tc>
        <w:tc>
          <w:tcPr>
            <w:tcW w:w="533"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913"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right"/>
              <w:rPr/>
            </w:pPr>
            <w:r>
              <w:rPr/>
              <w:t> </w:t>
            </w:r>
          </w:p>
        </w:tc>
        <w:tc>
          <w:tcPr>
            <w:tcW w:w="469"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3" w:type="dxa"/>
            <w:gridSpan w:val="2"/>
            <w:tcBorders/>
            <w:shd w:fill="CFF0FC" w:val="clear"/>
            <w:vAlign w:val="center"/>
          </w:tcPr>
          <w:p>
            <w:pPr>
              <w:pStyle w:val="TableContents"/>
              <w:bidi w:val="0"/>
              <w:spacing w:before="0" w:after="283"/>
              <w:jc w:val="right"/>
              <w:rPr/>
            </w:pPr>
            <w:r>
              <w:rPr/>
              <w:t> </w:t>
            </w:r>
          </w:p>
        </w:tc>
        <w:tc>
          <w:tcPr>
            <w:tcW w:w="533"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913"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69"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3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right"/>
              <w:rPr/>
            </w:pPr>
            <w:r>
              <w:rPr/>
              <w:t> </w:t>
            </w:r>
          </w:p>
        </w:tc>
        <w:tc>
          <w:tcPr>
            <w:tcW w:w="469"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3" w:type="dxa"/>
            <w:gridSpan w:val="2"/>
            <w:tcBorders/>
            <w:shd w:fill="FFFFFF" w:val="clear"/>
            <w:vAlign w:val="center"/>
          </w:tcPr>
          <w:p>
            <w:pPr>
              <w:pStyle w:val="TableContents"/>
              <w:bidi w:val="0"/>
              <w:spacing w:before="0" w:after="283"/>
              <w:jc w:val="right"/>
              <w:rPr/>
            </w:pPr>
            <w:r>
              <w:rPr/>
              <w:t> </w:t>
            </w:r>
          </w:p>
        </w:tc>
        <w:tc>
          <w:tcPr>
            <w:tcW w:w="533"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913"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69"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3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69"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3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69"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7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33"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69"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33"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Percentages are based on actual values. Totals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Three and Nine Months Ended September 30, 2024 Compared to the Three and Nine Months Ended September 30, 2023</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br/>
        <w:t> </w:t>
      </w:r>
    </w:p>
    <w:tbl>
      <w:tblPr>
        <w:tblW w:w="11076" w:type="dxa"/>
        <w:jc w:val="left"/>
        <w:tblInd w:w="0" w:type="dxa"/>
        <w:tblLayout w:type="fixed"/>
        <w:tblCellMar>
          <w:top w:w="28" w:type="dxa"/>
          <w:left w:w="28" w:type="dxa"/>
          <w:bottom w:w="28" w:type="dxa"/>
          <w:right w:w="28" w:type="dxa"/>
        </w:tblCellMar>
      </w:tblPr>
      <w:tblGrid>
        <w:gridCol w:w="1191"/>
        <w:gridCol w:w="146"/>
        <w:gridCol w:w="196"/>
        <w:gridCol w:w="691"/>
        <w:gridCol w:w="146"/>
        <w:gridCol w:w="146"/>
        <w:gridCol w:w="196"/>
        <w:gridCol w:w="691"/>
        <w:gridCol w:w="146"/>
        <w:gridCol w:w="146"/>
        <w:gridCol w:w="196"/>
        <w:gridCol w:w="691"/>
        <w:gridCol w:w="146"/>
        <w:gridCol w:w="146"/>
        <w:gridCol w:w="223"/>
        <w:gridCol w:w="438"/>
        <w:gridCol w:w="241"/>
        <w:gridCol w:w="146"/>
        <w:gridCol w:w="196"/>
        <w:gridCol w:w="826"/>
        <w:gridCol w:w="146"/>
        <w:gridCol w:w="146"/>
        <w:gridCol w:w="196"/>
        <w:gridCol w:w="826"/>
        <w:gridCol w:w="146"/>
        <w:gridCol w:w="146"/>
        <w:gridCol w:w="196"/>
        <w:gridCol w:w="691"/>
        <w:gridCol w:w="146"/>
        <w:gridCol w:w="146"/>
        <w:gridCol w:w="223"/>
        <w:gridCol w:w="438"/>
        <w:gridCol w:w="686"/>
      </w:tblGrid>
      <w:tr>
        <w:trPr/>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86" w:type="dxa"/>
            <w:tcBorders/>
            <w:shd w:fill="FFFFFF" w:val="clear"/>
            <w:vAlign w:val="center"/>
          </w:tcPr>
          <w:p>
            <w:pPr>
              <w:pStyle w:val="TableContents"/>
              <w:bidi w:val="0"/>
              <w:spacing w:before="0" w:after="283"/>
              <w:jc w:val="center"/>
              <w:rPr/>
            </w:pPr>
            <w:r>
              <w:rPr/>
              <w:t> </w:t>
            </w:r>
          </w:p>
        </w:tc>
      </w:tr>
      <w:tr>
        <w:trPr/>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ind w:left="0" w:right="0" w:firstLine="200"/>
              <w:jc w:val="left"/>
              <w:rPr/>
            </w:pPr>
            <w:r>
              <w:rPr/>
              <w:t> </w:t>
            </w:r>
          </w:p>
        </w:tc>
      </w:tr>
      <w:tr>
        <w:trPr/>
        <w:tc>
          <w:tcPr>
            <w:tcW w:w="11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Subscription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545,832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1,882,241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1,553,253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686"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1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686" w:type="dxa"/>
            <w:tcBorders/>
            <w:shd w:fill="CFF0FC"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1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669,721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1,924,365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1,588,315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336,050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68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revenue increased during the three months ended September 30, 2024 compared to the same period in 2023 primarily due to the increase in Customers, which grew from 194,098 as of September 30, 2023 to 238,128 as of September 30, 2024. Average Subscription Revenue per Customer decreased from $11,520 for the three months ended September 30, 2023 to $11,235 for the three months ended September 30, 2024. The growth in Customers was primarily driven by increased demand for our lower-priced Starter products, as well as Professional and Enterprise products from our new seats model. The decrease in Average Subscription Revenue per Customer was primarily driven by continued purchases of our lower-priced Starter products and the impact of our new seats pricing model, offset by a continued demand for our Professional and Enterprise products, as well as the addition of customers from the acquisition of Clearbit.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three months ended September 30, 2024 compared to the same period in 2023 primarily due to an increase in other revenue streams, including Commerce Hub.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revenue increased during the three months ended September 30, 2024 compared to the same period in 2023 primarily due to the increase in Customers, which grew from 194,098 as of September 30, 2023 to 238,128 as of September 30, 2024. Average Subscription Revenue per Customer decreased from $11,457 for the nine months ended September 30, 2023 to $11,324 for the nine months ended September 30, 2024. The growth in Customers was primarily driven by increased demand for our lower-priced Starter products, as well as Professional and Enterprise products from our new seats model. The decrease in Average Subscription Revenue per Customer was primarily by continued purchases of our lower-priced Starter products and the impact of our new seats pricing model, offset by a continued demand for our Professional and Enterprise products, as well as the addition of customers from the acquisition of Clearbit.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nine months ended September 30, 2024 compared to the same period in 2023 primarily due to an increase in other revenue streams, including Commerce Hub.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Cost of Revenue, Gross Profit and Gross Margin Percentage </w:t>
      </w:r>
      <w:r>
        <w:rPr>
          <w:rFonts w:ascii="Times New Roman" w:hAnsi="Times New Roman"/>
          <w:color w:val="000000"/>
          <w:sz w:val="20"/>
        </w:rPr>
        <w:br/>
        <w:t> </w:t>
      </w:r>
    </w:p>
    <w:tbl>
      <w:tblPr>
        <w:tblW w:w="10646" w:type="dxa"/>
        <w:jc w:val="left"/>
        <w:tblInd w:w="0" w:type="dxa"/>
        <w:tblLayout w:type="fixed"/>
        <w:tblCellMar>
          <w:top w:w="28" w:type="dxa"/>
          <w:left w:w="28" w:type="dxa"/>
          <w:bottom w:w="28" w:type="dxa"/>
          <w:right w:w="28" w:type="dxa"/>
        </w:tblCellMar>
      </w:tblPr>
      <w:tblGrid>
        <w:gridCol w:w="871"/>
        <w:gridCol w:w="146"/>
        <w:gridCol w:w="196"/>
        <w:gridCol w:w="691"/>
        <w:gridCol w:w="241"/>
        <w:gridCol w:w="146"/>
        <w:gridCol w:w="196"/>
        <w:gridCol w:w="691"/>
        <w:gridCol w:w="241"/>
        <w:gridCol w:w="146"/>
        <w:gridCol w:w="196"/>
        <w:gridCol w:w="601"/>
        <w:gridCol w:w="146"/>
        <w:gridCol w:w="146"/>
        <w:gridCol w:w="223"/>
        <w:gridCol w:w="438"/>
        <w:gridCol w:w="241"/>
        <w:gridCol w:w="146"/>
        <w:gridCol w:w="196"/>
        <w:gridCol w:w="826"/>
        <w:gridCol w:w="241"/>
        <w:gridCol w:w="146"/>
        <w:gridCol w:w="196"/>
        <w:gridCol w:w="826"/>
        <w:gridCol w:w="241"/>
        <w:gridCol w:w="146"/>
        <w:gridCol w:w="196"/>
        <w:gridCol w:w="691"/>
        <w:gridCol w:w="146"/>
        <w:gridCol w:w="146"/>
        <w:gridCol w:w="223"/>
        <w:gridCol w:w="438"/>
        <w:gridCol w:w="28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99,324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85,640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289,928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250,921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570,397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471,917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1,634,437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1,337,394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28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margin percentage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cost of revenue for the three and nine months ended September 30, 2024 increased compared to the same period in 2023 primarily due to an increase in subscription and hosting costs, amortization of capitalized software development costs, amortization of acquired technology and employee-related costs, offset by a decrease in allocated overhead expenses. Gross margins remained consistent year-over-year.</w:t>
        <w:br/>
        <w:t> </w:t>
      </w:r>
    </w:p>
    <w:tbl>
      <w:tblPr>
        <w:tblW w:w="10226" w:type="dxa"/>
        <w:jc w:val="left"/>
        <w:tblInd w:w="0" w:type="dxa"/>
        <w:tblLayout w:type="fixed"/>
        <w:tblCellMar>
          <w:top w:w="28" w:type="dxa"/>
          <w:left w:w="28" w:type="dxa"/>
          <w:bottom w:w="28" w:type="dxa"/>
          <w:right w:w="28" w:type="dxa"/>
        </w:tblCellMar>
      </w:tblPr>
      <w:tblGrid>
        <w:gridCol w:w="991"/>
        <w:gridCol w:w="146"/>
        <w:gridCol w:w="196"/>
        <w:gridCol w:w="601"/>
        <w:gridCol w:w="241"/>
        <w:gridCol w:w="146"/>
        <w:gridCol w:w="196"/>
        <w:gridCol w:w="601"/>
        <w:gridCol w:w="241"/>
        <w:gridCol w:w="146"/>
        <w:gridCol w:w="196"/>
        <w:gridCol w:w="601"/>
        <w:gridCol w:w="146"/>
        <w:gridCol w:w="146"/>
        <w:gridCol w:w="223"/>
        <w:gridCol w:w="438"/>
        <w:gridCol w:w="241"/>
        <w:gridCol w:w="146"/>
        <w:gridCol w:w="196"/>
        <w:gridCol w:w="691"/>
        <w:gridCol w:w="241"/>
        <w:gridCol w:w="146"/>
        <w:gridCol w:w="196"/>
        <w:gridCol w:w="691"/>
        <w:gridCol w:w="241"/>
        <w:gridCol w:w="146"/>
        <w:gridCol w:w="196"/>
        <w:gridCol w:w="601"/>
        <w:gridCol w:w="146"/>
        <w:gridCol w:w="146"/>
        <w:gridCol w:w="223"/>
        <w:gridCol w:w="438"/>
        <w:gridCol w:w="28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Subscription 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85,066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71,895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247,408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210,011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subscription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subscription cost of revenue for the three and nine months ended September 30, 2024 compared to the same period in 2023 was primarily due to the following:</w:t>
        <w:br/>
        <w:t> </w:t>
      </w:r>
    </w:p>
    <w:tbl>
      <w:tblPr>
        <w:tblW w:w="7435" w:type="dxa"/>
        <w:jc w:val="left"/>
        <w:tblInd w:w="0" w:type="dxa"/>
        <w:tblLayout w:type="fixed"/>
        <w:tblCellMar>
          <w:top w:w="28" w:type="dxa"/>
          <w:left w:w="28" w:type="dxa"/>
          <w:bottom w:w="28" w:type="dxa"/>
          <w:right w:w="28" w:type="dxa"/>
        </w:tblCellMar>
      </w:tblPr>
      <w:tblGrid>
        <w:gridCol w:w="4636"/>
        <w:gridCol w:w="146"/>
        <w:gridCol w:w="264"/>
        <w:gridCol w:w="846"/>
        <w:gridCol w:w="166"/>
        <w:gridCol w:w="146"/>
        <w:gridCol w:w="242"/>
        <w:gridCol w:w="778"/>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hosting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19,253</w:t>
            </w:r>
          </w:p>
        </w:tc>
        <w:tc>
          <w:tcPr>
            <w:tcW w:w="21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technology</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w:t>
            </w:r>
          </w:p>
        </w:tc>
        <w:tc>
          <w:tcPr>
            <w:tcW w:w="21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Subscription and hosting costs increased primarily due to growth in our Customer base from 194,098 as of September 30, 2023 to 238,128 as of September 30, 2024. We also saw higher subscription and hosting costs as we continued to focus on the security, reliability and performance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 of Clearbit in December 2023. Employee-related costs increased as a result of increased headcount as we continue to grow our customer support organization to support our customer growth and improve service levels and offerings. Allocated overhead expenses increased due to an increase in shared company third-party services costs.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and hosting costs increased primarily due to growth in our Customer base from 194,098 as of September 30, 2023 to 238,128 as of September 30, 2024. We also saw higher subscription and hosting costs as we continued to focus on the security, reliability and performance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 of Clearbit in December 2023. Employee-related costs increased as a result of increased headcount as we continue to grow our customer support organization to support our customer growth and improve service levels and offerings. Allocated overhead expenses decreased primarily due to the reduction of our leased space as a result of the global lease consolidation under the Restructuring Plan, offset slightly by an increase in shared company third-party services costs.</w:t>
      </w:r>
    </w:p>
    <w:tbl>
      <w:tblPr>
        <w:tblW w:w="10205" w:type="dxa"/>
        <w:jc w:val="left"/>
        <w:tblInd w:w="0" w:type="dxa"/>
        <w:tblLayout w:type="fixed"/>
        <w:tblCellMar>
          <w:top w:w="28" w:type="dxa"/>
          <w:left w:w="28" w:type="dxa"/>
          <w:bottom w:w="28" w:type="dxa"/>
          <w:right w:w="28" w:type="dxa"/>
        </w:tblCellMar>
      </w:tblPr>
      <w:tblGrid>
        <w:gridCol w:w="1246"/>
        <w:gridCol w:w="146"/>
        <w:gridCol w:w="202"/>
        <w:gridCol w:w="622"/>
        <w:gridCol w:w="249"/>
        <w:gridCol w:w="151"/>
        <w:gridCol w:w="202"/>
        <w:gridCol w:w="622"/>
        <w:gridCol w:w="241"/>
        <w:gridCol w:w="146"/>
        <w:gridCol w:w="226"/>
        <w:gridCol w:w="435"/>
        <w:gridCol w:w="146"/>
        <w:gridCol w:w="146"/>
        <w:gridCol w:w="282"/>
        <w:gridCol w:w="379"/>
        <w:gridCol w:w="241"/>
        <w:gridCol w:w="146"/>
        <w:gridCol w:w="201"/>
        <w:gridCol w:w="619"/>
        <w:gridCol w:w="248"/>
        <w:gridCol w:w="150"/>
        <w:gridCol w:w="201"/>
        <w:gridCol w:w="619"/>
        <w:gridCol w:w="241"/>
        <w:gridCol w:w="146"/>
        <w:gridCol w:w="196"/>
        <w:gridCol w:w="511"/>
        <w:gridCol w:w="146"/>
        <w:gridCol w:w="146"/>
        <w:gridCol w:w="282"/>
        <w:gridCol w:w="379"/>
        <w:gridCol w:w="292"/>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2" w:type="dxa"/>
            <w:tcBorders/>
            <w:shd w:fill="FFFFFF" w:val="clear"/>
            <w:vAlign w:val="center"/>
          </w:tcPr>
          <w:p>
            <w:pPr>
              <w:pStyle w:val="TableContents"/>
              <w:bidi w:val="0"/>
              <w:spacing w:before="0" w:after="283"/>
              <w:jc w:val="center"/>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Professional services and other cost of revenue</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14,258</w:t>
            </w:r>
          </w:p>
        </w:tc>
        <w:tc>
          <w:tcPr>
            <w:tcW w:w="249"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13,745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42,520</w:t>
            </w:r>
          </w:p>
        </w:tc>
        <w:tc>
          <w:tcPr>
            <w:tcW w:w="24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9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professional services and other revenue</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24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w:t>
            </w:r>
          </w:p>
        </w:tc>
        <w:tc>
          <w:tcPr>
            <w:tcW w:w="24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professional services and other cost of revenue for three and nine months ended September 30, 2024 compared to the same period in 2023 was primarily due to the following: </w:t>
        <w:br/>
        <w:t> </w:t>
      </w:r>
    </w:p>
    <w:tbl>
      <w:tblPr>
        <w:tblW w:w="6100" w:type="dxa"/>
        <w:jc w:val="left"/>
        <w:tblInd w:w="0" w:type="dxa"/>
        <w:tblLayout w:type="fixed"/>
        <w:tblCellMar>
          <w:top w:w="28" w:type="dxa"/>
          <w:left w:w="28" w:type="dxa"/>
          <w:bottom w:w="28" w:type="dxa"/>
          <w:right w:w="28" w:type="dxa"/>
        </w:tblCellMar>
      </w:tblPr>
      <w:tblGrid>
        <w:gridCol w:w="3301"/>
        <w:gridCol w:w="146"/>
        <w:gridCol w:w="278"/>
        <w:gridCol w:w="832"/>
        <w:gridCol w:w="166"/>
        <w:gridCol w:w="146"/>
        <w:gridCol w:w="255"/>
        <w:gridCol w:w="765"/>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and other expenses</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w:t>
            </w:r>
          </w:p>
        </w:tc>
        <w:tc>
          <w:tcPr>
            <w:tcW w:w="21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Allocated overhead and other expenses increased primarily due to increased costs associated with our other service offering, including Commerce Hub. Employee-related costs decreased as we continue to leverage our Solutions Partners to deliver on-boarding and other professional services.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Allocated overhead and other expenses increased primarily due to increased costs associated with our other service offerings, including Commerce Hub. Employee-related costs decreased as we continue to leverage our Solutions Partners to deliver on-boarding and other professional services.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10526" w:type="dxa"/>
        <w:jc w:val="left"/>
        <w:tblInd w:w="0" w:type="dxa"/>
        <w:tblLayout w:type="fixed"/>
        <w:tblCellMar>
          <w:top w:w="28" w:type="dxa"/>
          <w:left w:w="28" w:type="dxa"/>
          <w:bottom w:w="28" w:type="dxa"/>
          <w:right w:w="28" w:type="dxa"/>
        </w:tblCellMar>
      </w:tblPr>
      <w:tblGrid>
        <w:gridCol w:w="1021"/>
        <w:gridCol w:w="146"/>
        <w:gridCol w:w="196"/>
        <w:gridCol w:w="691"/>
        <w:gridCol w:w="241"/>
        <w:gridCol w:w="146"/>
        <w:gridCol w:w="196"/>
        <w:gridCol w:w="691"/>
        <w:gridCol w:w="241"/>
        <w:gridCol w:w="146"/>
        <w:gridCol w:w="196"/>
        <w:gridCol w:w="601"/>
        <w:gridCol w:w="146"/>
        <w:gridCol w:w="146"/>
        <w:gridCol w:w="223"/>
        <w:gridCol w:w="438"/>
        <w:gridCol w:w="241"/>
        <w:gridCol w:w="146"/>
        <w:gridCol w:w="196"/>
        <w:gridCol w:w="691"/>
        <w:gridCol w:w="241"/>
        <w:gridCol w:w="146"/>
        <w:gridCol w:w="196"/>
        <w:gridCol w:w="691"/>
        <w:gridCol w:w="241"/>
        <w:gridCol w:w="146"/>
        <w:gridCol w:w="196"/>
        <w:gridCol w:w="691"/>
        <w:gridCol w:w="146"/>
        <w:gridCol w:w="146"/>
        <w:gridCol w:w="223"/>
        <w:gridCol w:w="438"/>
        <w:gridCol w:w="28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191,185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156,871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565,001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454,511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research and development expense for the three and nine months ended September 30, 2024 compared to the same period in 2023 was primarily due to the following:</w:t>
      </w:r>
    </w:p>
    <w:tbl>
      <w:tblPr>
        <w:tblW w:w="5250" w:type="dxa"/>
        <w:jc w:val="left"/>
        <w:tblInd w:w="0" w:type="dxa"/>
        <w:tblLayout w:type="fixed"/>
        <w:tblCellMar>
          <w:top w:w="28" w:type="dxa"/>
          <w:left w:w="28" w:type="dxa"/>
          <w:bottom w:w="28" w:type="dxa"/>
          <w:right w:w="28" w:type="dxa"/>
        </w:tblCellMar>
      </w:tblPr>
      <w:tblGrid>
        <w:gridCol w:w="2491"/>
        <w:gridCol w:w="146"/>
        <w:gridCol w:w="264"/>
        <w:gridCol w:w="846"/>
        <w:gridCol w:w="146"/>
        <w:gridCol w:w="146"/>
        <w:gridCol w:w="217"/>
        <w:gridCol w:w="803"/>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101,100</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Professional fees increased due to an increase in the use of third-party services and contractors.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Professional fees increased due to an increase in the use of third-party services and contractors.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w:t>
        <w:br/>
      </w:r>
      <w:r>
        <w:rPr>
          <w:rFonts w:ascii="Times New Roman" w:hAnsi="Times New Roman"/>
          <w:color w:val="000000"/>
          <w:sz w:val="20"/>
        </w:rPr>
        <w:t> </w:t>
      </w:r>
    </w:p>
    <w:tbl>
      <w:tblPr>
        <w:tblW w:w="10376" w:type="dxa"/>
        <w:jc w:val="left"/>
        <w:tblInd w:w="0" w:type="dxa"/>
        <w:tblLayout w:type="fixed"/>
        <w:tblCellMar>
          <w:top w:w="28" w:type="dxa"/>
          <w:left w:w="28" w:type="dxa"/>
          <w:bottom w:w="28" w:type="dxa"/>
          <w:right w:w="28" w:type="dxa"/>
        </w:tblCellMar>
      </w:tblPr>
      <w:tblGrid>
        <w:gridCol w:w="871"/>
        <w:gridCol w:w="146"/>
        <w:gridCol w:w="196"/>
        <w:gridCol w:w="691"/>
        <w:gridCol w:w="241"/>
        <w:gridCol w:w="146"/>
        <w:gridCol w:w="196"/>
        <w:gridCol w:w="691"/>
        <w:gridCol w:w="241"/>
        <w:gridCol w:w="146"/>
        <w:gridCol w:w="196"/>
        <w:gridCol w:w="601"/>
        <w:gridCol w:w="146"/>
        <w:gridCol w:w="146"/>
        <w:gridCol w:w="223"/>
        <w:gridCol w:w="438"/>
        <w:gridCol w:w="241"/>
        <w:gridCol w:w="146"/>
        <w:gridCol w:w="196"/>
        <w:gridCol w:w="691"/>
        <w:gridCol w:w="241"/>
        <w:gridCol w:w="146"/>
        <w:gridCol w:w="196"/>
        <w:gridCol w:w="691"/>
        <w:gridCol w:w="241"/>
        <w:gridCol w:w="146"/>
        <w:gridCol w:w="196"/>
        <w:gridCol w:w="691"/>
        <w:gridCol w:w="146"/>
        <w:gridCol w:w="146"/>
        <w:gridCol w:w="223"/>
        <w:gridCol w:w="438"/>
        <w:gridCol w:w="28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Sales and marketing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309,928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271,448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904,010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787,423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sales and marketing expense for the three and nine months ended September 30, 2024 compared to the same period in 2023 was primarily due to the following:</w:t>
        <w:br/>
        <w:t> </w:t>
      </w:r>
    </w:p>
    <w:tbl>
      <w:tblPr>
        <w:tblW w:w="5390" w:type="dxa"/>
        <w:jc w:val="left"/>
        <w:tblInd w:w="0" w:type="dxa"/>
        <w:tblLayout w:type="fixed"/>
        <w:tblCellMar>
          <w:top w:w="28" w:type="dxa"/>
          <w:left w:w="28" w:type="dxa"/>
          <w:bottom w:w="28" w:type="dxa"/>
          <w:right w:w="28" w:type="dxa"/>
        </w:tblCellMar>
      </w:tblPr>
      <w:tblGrid>
        <w:gridCol w:w="2611"/>
        <w:gridCol w:w="146"/>
        <w:gridCol w:w="264"/>
        <w:gridCol w:w="846"/>
        <w:gridCol w:w="146"/>
        <w:gridCol w:w="146"/>
        <w:gridCol w:w="217"/>
        <w:gridCol w:w="803"/>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101,911</w:t>
            </w:r>
          </w:p>
        </w:tc>
        <w:tc>
          <w:tcPr>
            <w:tcW w:w="21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programs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21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w:t>
            </w:r>
          </w:p>
        </w:tc>
        <w:tc>
          <w:tcPr>
            <w:tcW w:w="21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Solutions Partner commissions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Allocated overhead expenses increased due to an increase in shared company expenses associated with our systems and infrastructure. Solutions Partner commissions increased as a result of increased revenue generated through our Solutions Partners, partially offset by certain costs that are deferred and amortized over two to four years as we changed the duration of certain Solutions Partner commissions term from lifetime to three years.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Allocated overhead expenses increased due to an increase in shared company expenses associated with our systems and infrastructure. Solutions Partner commissions decreased as we changed the duration of certain Solutions Partner commissions term from lifetime to three years and began to defer these costs and amortize over a period of approximately two to four years in the first quarter of 2023. This was partially offset by increases in Solutions Partner commissions as a result of increased revenue generated through our Solutions Partners.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10331" w:type="dxa"/>
        <w:jc w:val="left"/>
        <w:tblInd w:w="0" w:type="dxa"/>
        <w:tblLayout w:type="fixed"/>
        <w:tblCellMar>
          <w:top w:w="28" w:type="dxa"/>
          <w:left w:w="28" w:type="dxa"/>
          <w:bottom w:w="28" w:type="dxa"/>
          <w:right w:w="28" w:type="dxa"/>
        </w:tblCellMar>
      </w:tblPr>
      <w:tblGrid>
        <w:gridCol w:w="1096"/>
        <w:gridCol w:w="146"/>
        <w:gridCol w:w="196"/>
        <w:gridCol w:w="601"/>
        <w:gridCol w:w="241"/>
        <w:gridCol w:w="146"/>
        <w:gridCol w:w="196"/>
        <w:gridCol w:w="601"/>
        <w:gridCol w:w="241"/>
        <w:gridCol w:w="146"/>
        <w:gridCol w:w="196"/>
        <w:gridCol w:w="601"/>
        <w:gridCol w:w="146"/>
        <w:gridCol w:w="146"/>
        <w:gridCol w:w="223"/>
        <w:gridCol w:w="438"/>
        <w:gridCol w:w="241"/>
        <w:gridCol w:w="146"/>
        <w:gridCol w:w="196"/>
        <w:gridCol w:w="691"/>
        <w:gridCol w:w="241"/>
        <w:gridCol w:w="146"/>
        <w:gridCol w:w="196"/>
        <w:gridCol w:w="691"/>
        <w:gridCol w:w="241"/>
        <w:gridCol w:w="146"/>
        <w:gridCol w:w="196"/>
        <w:gridCol w:w="601"/>
        <w:gridCol w:w="146"/>
        <w:gridCol w:w="146"/>
        <w:gridCol w:w="223"/>
        <w:gridCol w:w="438"/>
        <w:gridCol w:w="28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77,928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61,308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219,380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179,939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general and administrative expense for the three and nine months ended September 30, 2024 compared to the same period in 2023 was primarily due to the following: </w:t>
        <w:br/>
        <w:t> </w:t>
      </w:r>
    </w:p>
    <w:tbl>
      <w:tblPr>
        <w:tblW w:w="5250" w:type="dxa"/>
        <w:jc w:val="left"/>
        <w:tblInd w:w="0" w:type="dxa"/>
        <w:tblLayout w:type="fixed"/>
        <w:tblCellMar>
          <w:top w:w="28" w:type="dxa"/>
          <w:left w:w="28" w:type="dxa"/>
          <w:bottom w:w="28" w:type="dxa"/>
          <w:right w:w="28" w:type="dxa"/>
        </w:tblCellMar>
      </w:tblPr>
      <w:tblGrid>
        <w:gridCol w:w="2491"/>
        <w:gridCol w:w="146"/>
        <w:gridCol w:w="264"/>
        <w:gridCol w:w="846"/>
        <w:gridCol w:w="146"/>
        <w:gridCol w:w="146"/>
        <w:gridCol w:w="242"/>
        <w:gridCol w:w="77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26,563</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card fees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grew our business and required additional personnel to support our expanded operations. Customer credit card fees increased due to increased customer transactions as we continued to grow our business. Allocated overhead expenses increased due to an increase in shared company expenses associated with our systems and infrastructure as we continued to grow our business. Professional fees increased due to an increase in the use of third-party services and contractors.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grew our business and required additional personnel to support our expanded operations. Customer credit card fees increased due to increased customer transactions as we continued to grow our business. Allocated overhead expenses increased due to an increase in shared company expenses associated with our systems and infrastructure as we continued to grow our business. Professional fees increased due to an increase in the use of third-party services and contractors.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Restructuring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363"/>
        <w:gridCol w:w="146"/>
        <w:gridCol w:w="251"/>
        <w:gridCol w:w="482"/>
        <w:gridCol w:w="187"/>
        <w:gridCol w:w="187"/>
        <w:gridCol w:w="251"/>
        <w:gridCol w:w="482"/>
        <w:gridCol w:w="146"/>
        <w:gridCol w:w="146"/>
        <w:gridCol w:w="226"/>
        <w:gridCol w:w="435"/>
        <w:gridCol w:w="146"/>
        <w:gridCol w:w="146"/>
        <w:gridCol w:w="223"/>
        <w:gridCol w:w="438"/>
        <w:gridCol w:w="241"/>
        <w:gridCol w:w="146"/>
        <w:gridCol w:w="224"/>
        <w:gridCol w:w="585"/>
        <w:gridCol w:w="167"/>
        <w:gridCol w:w="167"/>
        <w:gridCol w:w="224"/>
        <w:gridCol w:w="688"/>
        <w:gridCol w:w="241"/>
        <w:gridCol w:w="146"/>
        <w:gridCol w:w="196"/>
        <w:gridCol w:w="661"/>
        <w:gridCol w:w="166"/>
        <w:gridCol w:w="146"/>
        <w:gridCol w:w="196"/>
        <w:gridCol w:w="465"/>
        <w:gridCol w:w="291"/>
      </w:tblGrid>
      <w:tr>
        <w:trPr/>
        <w:tc>
          <w:tcPr>
            <w:tcW w:w="1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1" w:type="dxa"/>
            <w:tcBorders/>
            <w:shd w:fill="FFFFFF" w:val="clear"/>
            <w:vAlign w:val="center"/>
          </w:tcPr>
          <w:p>
            <w:pPr>
              <w:pStyle w:val="TableContents"/>
              <w:bidi w:val="0"/>
              <w:spacing w:before="0" w:after="283"/>
              <w:jc w:val="center"/>
              <w:rPr/>
            </w:pPr>
            <w:r>
              <w:rPr/>
              <w:t> </w:t>
            </w:r>
          </w:p>
        </w:tc>
      </w:tr>
      <w:tr>
        <w:trPr/>
        <w:tc>
          <w:tcPr>
            <w:tcW w:w="1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Restructuring</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8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987</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8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2,847</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93,296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(90,449</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w:t>
            </w:r>
          </w:p>
        </w:tc>
        <w:tc>
          <w:tcPr>
            <w:tcW w:w="29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6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733"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7"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733"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9"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7"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Restructuring charges in the three and nine months ended September 30, 2024 consists of only variable facilities-related costs on unused space. Restructuring charges were $0.8 million in the three months ended September 30, 2023 due to the implementation of the Restructuring Plan in the first quarter of 2023 and its continued execution during the third quarter. Restructuring costs consisted primarily of facilities related costs for the terminations and abandonments of leases globally.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Nine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Restructuring charges in the nine months ended September 30, 2024 consists of only variable facilities-related costs on unused space. Restructuring charges were $93.3 million in the nine months ended September 30, 2023 due to the implementation of the Restructuring Plan in the first quarter of 2023 and its continued execution during the third quarter. Restructuring costs primarily consisted of $26.9 million of severance, employee related benefits and other costs, and $66.4 million related to facilities for the termination and abandonment of leases globally. </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Interest income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042"/>
        <w:gridCol w:w="146"/>
        <w:gridCol w:w="206"/>
        <w:gridCol w:w="633"/>
        <w:gridCol w:w="253"/>
        <w:gridCol w:w="153"/>
        <w:gridCol w:w="206"/>
        <w:gridCol w:w="633"/>
        <w:gridCol w:w="241"/>
        <w:gridCol w:w="146"/>
        <w:gridCol w:w="196"/>
        <w:gridCol w:w="511"/>
        <w:gridCol w:w="146"/>
        <w:gridCol w:w="146"/>
        <w:gridCol w:w="223"/>
        <w:gridCol w:w="438"/>
        <w:gridCol w:w="241"/>
        <w:gridCol w:w="146"/>
        <w:gridCol w:w="205"/>
        <w:gridCol w:w="629"/>
        <w:gridCol w:w="252"/>
        <w:gridCol w:w="152"/>
        <w:gridCol w:w="205"/>
        <w:gridCol w:w="629"/>
        <w:gridCol w:w="241"/>
        <w:gridCol w:w="146"/>
        <w:gridCol w:w="196"/>
        <w:gridCol w:w="601"/>
        <w:gridCol w:w="146"/>
        <w:gridCol w:w="146"/>
        <w:gridCol w:w="223"/>
        <w:gridCol w:w="438"/>
        <w:gridCol w:w="290"/>
      </w:tblGrid>
      <w:tr>
        <w:trPr/>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0" w:type="dxa"/>
            <w:tcBorders/>
            <w:shd w:fill="FFFFFF" w:val="clear"/>
            <w:vAlign w:val="center"/>
          </w:tcPr>
          <w:p>
            <w:pPr>
              <w:pStyle w:val="TableContents"/>
              <w:bidi w:val="0"/>
              <w:spacing w:before="0" w:after="283"/>
              <w:jc w:val="center"/>
              <w:rPr/>
            </w:pPr>
            <w:r>
              <w:rPr/>
              <w:t> </w:t>
            </w:r>
          </w:p>
        </w:tc>
      </w:tr>
      <w:tr>
        <w:trPr/>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4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income</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21,780</w:t>
            </w:r>
          </w:p>
        </w:tc>
        <w:tc>
          <w:tcPr>
            <w:tcW w:w="2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16,181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60,877</w:t>
            </w:r>
          </w:p>
        </w:tc>
        <w:tc>
          <w:tcPr>
            <w:tcW w:w="2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40,195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290"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4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5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3"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5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2"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and 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invested cash and cash equivalents balances and investments. The increase during the three and nine months ended September 30, 2024 is due to an increase in yields on our investment balances. </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325"/>
        <w:gridCol w:w="146"/>
        <w:gridCol w:w="250"/>
        <w:gridCol w:w="558"/>
        <w:gridCol w:w="212"/>
        <w:gridCol w:w="186"/>
        <w:gridCol w:w="250"/>
        <w:gridCol w:w="558"/>
        <w:gridCol w:w="166"/>
        <w:gridCol w:w="146"/>
        <w:gridCol w:w="268"/>
        <w:gridCol w:w="393"/>
        <w:gridCol w:w="146"/>
        <w:gridCol w:w="146"/>
        <w:gridCol w:w="240"/>
        <w:gridCol w:w="421"/>
        <w:gridCol w:w="264"/>
        <w:gridCol w:w="146"/>
        <w:gridCol w:w="227"/>
        <w:gridCol w:w="663"/>
        <w:gridCol w:w="192"/>
        <w:gridCol w:w="169"/>
        <w:gridCol w:w="227"/>
        <w:gridCol w:w="663"/>
        <w:gridCol w:w="166"/>
        <w:gridCol w:w="146"/>
        <w:gridCol w:w="268"/>
        <w:gridCol w:w="393"/>
        <w:gridCol w:w="146"/>
        <w:gridCol w:w="146"/>
        <w:gridCol w:w="240"/>
        <w:gridCol w:w="421"/>
        <w:gridCol w:w="317"/>
      </w:tblGrid>
      <w:tr>
        <w:trPr/>
        <w:tc>
          <w:tcPr>
            <w:tcW w:w="1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3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7" w:type="dxa"/>
            <w:tcBorders/>
            <w:shd w:fill="FFFFFF" w:val="clear"/>
            <w:vAlign w:val="center"/>
          </w:tcPr>
          <w:p>
            <w:pPr>
              <w:pStyle w:val="TableContents"/>
              <w:bidi w:val="0"/>
              <w:spacing w:before="0" w:after="283"/>
              <w:jc w:val="center"/>
              <w:rPr/>
            </w:pPr>
            <w:r>
              <w:rPr/>
              <w:t> </w:t>
            </w:r>
          </w:p>
        </w:tc>
      </w:tr>
      <w:tr>
        <w:trPr/>
        <w:tc>
          <w:tcPr>
            <w:tcW w:w="1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5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(936</w:t>
            </w:r>
          </w:p>
        </w:tc>
        <w:tc>
          <w:tcPr>
            <w:tcW w:w="21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5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(950</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6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(2,772</w:t>
            </w:r>
          </w:p>
        </w:tc>
        <w:tc>
          <w:tcPr>
            <w:tcW w:w="19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9"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1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808"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2"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right"/>
              <w:rPr/>
            </w:pPr>
            <w:r>
              <w:rPr/>
              <w:t> </w:t>
            </w:r>
          </w:p>
        </w:tc>
        <w:tc>
          <w:tcPr>
            <w:tcW w:w="808"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90"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2"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890"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317"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and 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expense primarily consists of amortization of the debt discount and issuance costs and contractual interest expense related to our 2025 Notes. Interest expense remained relatively consistent. </w:t>
      </w:r>
    </w:p>
    <w:p>
      <w:pPr>
        <w:pStyle w:val="TextBody"/>
        <w:bidi w:val="0"/>
        <w:spacing w:before="200" w:after="283"/>
        <w:jc w:val="left"/>
        <w:rPr>
          <w:rFonts w:ascii="Times New Roman" w:hAnsi="Times New Roman"/>
          <w:sz w:val="20"/>
        </w:rPr>
      </w:pPr>
      <w:r>
        <w:rPr>
          <w:rFonts w:ascii="Times New Roman" w:hAnsi="Times New Roman"/>
          <w:b/>
          <w:i/>
          <w:color w:val="000000"/>
          <w:sz w:val="20"/>
        </w:rPr>
        <w:t>Other income (expense)</w:t>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2"/>
        <w:gridCol w:w="146"/>
        <w:gridCol w:w="228"/>
        <w:gridCol w:w="508"/>
        <w:gridCol w:w="193"/>
        <w:gridCol w:w="170"/>
        <w:gridCol w:w="228"/>
        <w:gridCol w:w="665"/>
        <w:gridCol w:w="166"/>
        <w:gridCol w:w="146"/>
        <w:gridCol w:w="196"/>
        <w:gridCol w:w="511"/>
        <w:gridCol w:w="146"/>
        <w:gridCol w:w="146"/>
        <w:gridCol w:w="196"/>
        <w:gridCol w:w="465"/>
        <w:gridCol w:w="258"/>
        <w:gridCol w:w="146"/>
        <w:gridCol w:w="214"/>
        <w:gridCol w:w="658"/>
        <w:gridCol w:w="264"/>
        <w:gridCol w:w="159"/>
        <w:gridCol w:w="214"/>
        <w:gridCol w:w="625"/>
        <w:gridCol w:w="166"/>
        <w:gridCol w:w="146"/>
        <w:gridCol w:w="196"/>
        <w:gridCol w:w="601"/>
        <w:gridCol w:w="146"/>
        <w:gridCol w:w="146"/>
        <w:gridCol w:w="184"/>
        <w:gridCol w:w="477"/>
        <w:gridCol w:w="293"/>
      </w:tblGrid>
      <w:tr>
        <w:trPr/>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2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3" w:type="dxa"/>
            <w:tcBorders/>
            <w:shd w:fill="FFFFFF" w:val="clear"/>
            <w:vAlign w:val="center"/>
          </w:tcPr>
          <w:p>
            <w:pPr>
              <w:pStyle w:val="TableContents"/>
              <w:bidi w:val="0"/>
              <w:spacing w:before="0" w:after="283"/>
              <w:jc w:val="center"/>
              <w:rPr/>
            </w:pPr>
            <w:r>
              <w:rPr/>
              <w:t> </w:t>
            </w:r>
          </w:p>
        </w:tc>
      </w:tr>
      <w:tr>
        <w:trPr/>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(expense) income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0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(565</w:t>
            </w:r>
          </w:p>
        </w:tc>
        <w:tc>
          <w:tcPr>
            <w:tcW w:w="19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7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(1,664</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25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14,381</w:t>
            </w:r>
          </w:p>
        </w:tc>
        <w:tc>
          <w:tcPr>
            <w:tcW w:w="26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(2,128</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776</w:t>
            </w:r>
          </w:p>
        </w:tc>
        <w:tc>
          <w:tcPr>
            <w:tcW w:w="29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0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CFF0FC" w:val="clear"/>
            <w:vAlign w:val="center"/>
          </w:tcPr>
          <w:p>
            <w:pPr>
              <w:pStyle w:val="TableContents"/>
              <w:bidi w:val="0"/>
              <w:spacing w:before="0" w:after="283"/>
              <w:jc w:val="left"/>
              <w:rPr/>
            </w:pPr>
            <w:r>
              <w:rPr/>
              <w:t> </w:t>
            </w:r>
          </w:p>
        </w:tc>
        <w:tc>
          <w:tcPr>
            <w:tcW w:w="736" w:type="dxa"/>
            <w:gridSpan w:val="2"/>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3"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893" w:type="dxa"/>
            <w:gridSpan w:val="2"/>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6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9" w:type="dxa"/>
            <w:tcBorders/>
            <w:shd w:fill="CFF0FC" w:val="clear"/>
            <w:vAlign w:val="center"/>
          </w:tcPr>
          <w:p>
            <w:pPr>
              <w:pStyle w:val="TableContents"/>
              <w:bidi w:val="0"/>
              <w:spacing w:before="0" w:after="283"/>
              <w:jc w:val="right"/>
              <w:rPr/>
            </w:pPr>
            <w:r>
              <w:rPr/>
              <w:t> </w:t>
            </w:r>
          </w:p>
        </w:tc>
        <w:tc>
          <w:tcPr>
            <w:tcW w:w="839" w:type="dxa"/>
            <w:gridSpan w:val="2"/>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 in other income (expense) during the three and nine months ended September 30, 2024 is primarily due to the following: </w:t>
        <w:br/>
        <w:t> </w:t>
      </w:r>
    </w:p>
    <w:tbl>
      <w:tblPr>
        <w:tblW w:w="5795" w:type="dxa"/>
        <w:jc w:val="left"/>
        <w:tblInd w:w="0" w:type="dxa"/>
        <w:tblLayout w:type="fixed"/>
        <w:tblCellMar>
          <w:top w:w="28" w:type="dxa"/>
          <w:left w:w="28" w:type="dxa"/>
          <w:bottom w:w="28" w:type="dxa"/>
          <w:right w:w="28" w:type="dxa"/>
        </w:tblCellMar>
      </w:tblPr>
      <w:tblGrid>
        <w:gridCol w:w="3016"/>
        <w:gridCol w:w="146"/>
        <w:gridCol w:w="299"/>
        <w:gridCol w:w="811"/>
        <w:gridCol w:w="146"/>
        <w:gridCol w:w="146"/>
        <w:gridCol w:w="242"/>
        <w:gridCol w:w="778"/>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and losses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strategic investments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strategic investments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income (expense) primarily consists of the impact of foreign currency transaction gains and losses associated with monetary assets and liabilities. The change in foreign currency transactions is primarily attributable to the increase in the value of the Euro and British Pound Sterling relative to the U.S. Dollar.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income (expense) primarily consists of the impact of foreign currency transaction gains and losses associated with monetary assets and liabilities. The change in foreign currency transactions is primarily attributable to the increase in the value of the Euro and British Pound Sterling relative to the U.S. Dollar. The increase in the impairment of and gain on strategic investments is due to an impairment of $4.1 million and gains of $18.6 million from observable price changes in the value of certain strategic investments in the nine months ended September 30, 2024 that did not occur in 2023.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tbl>
      <w:tblPr>
        <w:tblW w:w="10205" w:type="dxa"/>
        <w:jc w:val="left"/>
        <w:tblInd w:w="0" w:type="dxa"/>
        <w:tblLayout w:type="fixed"/>
        <w:tblCellMar>
          <w:top w:w="28" w:type="dxa"/>
          <w:left w:w="28" w:type="dxa"/>
          <w:bottom w:w="28" w:type="dxa"/>
          <w:right w:w="28" w:type="dxa"/>
        </w:tblCellMar>
      </w:tblPr>
      <w:tblGrid>
        <w:gridCol w:w="1034"/>
        <w:gridCol w:w="146"/>
        <w:gridCol w:w="207"/>
        <w:gridCol w:w="604"/>
        <w:gridCol w:w="267"/>
        <w:gridCol w:w="154"/>
        <w:gridCol w:w="207"/>
        <w:gridCol w:w="541"/>
        <w:gridCol w:w="249"/>
        <w:gridCol w:w="146"/>
        <w:gridCol w:w="196"/>
        <w:gridCol w:w="571"/>
        <w:gridCol w:w="166"/>
        <w:gridCol w:w="146"/>
        <w:gridCol w:w="165"/>
        <w:gridCol w:w="496"/>
        <w:gridCol w:w="249"/>
        <w:gridCol w:w="146"/>
        <w:gridCol w:w="203"/>
        <w:gridCol w:w="685"/>
        <w:gridCol w:w="261"/>
        <w:gridCol w:w="151"/>
        <w:gridCol w:w="203"/>
        <w:gridCol w:w="592"/>
        <w:gridCol w:w="241"/>
        <w:gridCol w:w="146"/>
        <w:gridCol w:w="196"/>
        <w:gridCol w:w="571"/>
        <w:gridCol w:w="166"/>
        <w:gridCol w:w="146"/>
        <w:gridCol w:w="223"/>
        <w:gridCol w:w="438"/>
        <w:gridCol w:w="293"/>
      </w:tblGrid>
      <w:tr>
        <w:trPr/>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0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3" w:type="dxa"/>
            <w:tcBorders/>
            <w:shd w:fill="FFFFFF" w:val="clear"/>
            <w:vAlign w:val="center"/>
          </w:tcPr>
          <w:p>
            <w:pPr>
              <w:pStyle w:val="TableContents"/>
              <w:bidi w:val="0"/>
              <w:spacing w:before="0" w:after="283"/>
              <w:jc w:val="center"/>
              <w:rPr/>
            </w:pPr>
            <w:r>
              <w:rPr/>
              <w:t> </w:t>
            </w:r>
          </w:p>
        </w:tc>
      </w:tr>
      <w:tr>
        <w:trPr/>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 benefit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(2,502</w:t>
            </w:r>
          </w:p>
        </w:tc>
        <w:tc>
          <w:tcPr>
            <w:tcW w:w="26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1,412</w:t>
            </w:r>
          </w:p>
        </w:tc>
        <w:tc>
          <w:tcPr>
            <w:tcW w:w="24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w:t>
            </w:r>
          </w:p>
        </w:tc>
        <w:tc>
          <w:tcPr>
            <w:tcW w:w="24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(16,040</w:t>
            </w:r>
          </w:p>
        </w:tc>
        <w:tc>
          <w:tcPr>
            <w:tcW w:w="26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1"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(9,575</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(6,465</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29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3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Effective tax rate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67"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4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26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1"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and nine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consists of current and deferred taxes for U.S. and international jurisdictions. The increase in income tax expense was primarily due to an increase in income generated in tax paying jurisdictions.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2021, the Organization for Economic Cooperation and Development (“OECD”) released Pillar Two Global Anti-Base Erosion Model Rules (“Pillar Two”), designed to ensure large corporations are taxed at a minimum rate of 15% in all countries of operation. Although the U.S. has not yet enacted legislation implementing Pillar Two, other countries where the Company does business have enacted legislation implementing Pillar Two which are effective on January 1, 2024. The implementation of Pillar Two in each jurisdiction in which we operate does not have a material impact on our effective tax rate. We will continue to evaluate the impact as jurisdictions implement legislation.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sources of liquidity to date have been cash and cash equivalents, net accounts receivable, our common stock offerings, and our convertible notes offerings.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shows cash and cash equivalents, working capital, net cash and cash equivalents provided by operating activities, net cash and cash equivalents used in investing activities, and net cash and cash equivalents provided by financing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nine months ended September 30, 2024 and 2023. </w:t>
        <w:br/>
        <w:t> </w:t>
      </w:r>
    </w:p>
    <w:tbl>
      <w:tblPr>
        <w:tblW w:w="8156" w:type="dxa"/>
        <w:jc w:val="left"/>
        <w:tblInd w:w="0" w:type="dxa"/>
        <w:tblLayout w:type="fixed"/>
        <w:tblCellMar>
          <w:top w:w="28" w:type="dxa"/>
          <w:left w:w="28" w:type="dxa"/>
          <w:bottom w:w="28" w:type="dxa"/>
          <w:right w:w="28" w:type="dxa"/>
        </w:tblCellMar>
      </w:tblPr>
      <w:tblGrid>
        <w:gridCol w:w="5206"/>
        <w:gridCol w:w="146"/>
        <w:gridCol w:w="218"/>
        <w:gridCol w:w="871"/>
        <w:gridCol w:w="171"/>
        <w:gridCol w:w="151"/>
        <w:gridCol w:w="218"/>
        <w:gridCol w:w="964"/>
        <w:gridCol w:w="2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410,060</w:t>
            </w:r>
          </w:p>
        </w:tc>
        <w:tc>
          <w:tcPr>
            <w:tcW w:w="17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535,545</w:t>
            </w:r>
          </w:p>
        </w:tc>
        <w:tc>
          <w:tcPr>
            <w:tcW w:w="211" w:type="dxa"/>
            <w:tcBorders/>
            <w:shd w:fill="CFF0FC" w:val="cle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950,157</w:t>
            </w:r>
          </w:p>
        </w:tc>
        <w:tc>
          <w:tcPr>
            <w:tcW w:w="17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1,148,778</w:t>
            </w:r>
          </w:p>
        </w:tc>
        <w:tc>
          <w:tcPr>
            <w:tcW w:w="211" w:type="dxa"/>
            <w:tcBorders/>
            <w:shd w:fill="FFFFFF" w:val="clear"/>
            <w:vAlign w:val="center"/>
          </w:tcPr>
          <w:p>
            <w:pPr>
              <w:pStyle w:val="TableContents"/>
              <w:bidi w:val="0"/>
              <w:spacing w:before="0" w:after="283"/>
              <w:jc w:val="left"/>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operating activities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404,458</w:t>
            </w:r>
          </w:p>
        </w:tc>
        <w:tc>
          <w:tcPr>
            <w:tcW w:w="17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246,659</w:t>
            </w:r>
          </w:p>
        </w:tc>
        <w:tc>
          <w:tcPr>
            <w:tcW w:w="211" w:type="dxa"/>
            <w:tcBorders/>
            <w:shd w:fill="CFF0FC" w:val="cle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investing activities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(430,353</w:t>
            </w:r>
          </w:p>
        </w:tc>
        <w:tc>
          <w:tcPr>
            <w:tcW w:w="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43,434</w:t>
            </w:r>
          </w:p>
        </w:tc>
        <w:tc>
          <w:tcPr>
            <w:tcW w:w="171"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30,363</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cash and cash equivalents at September 30, 2024 were held for working capital purposes. At September 30, 2024, $238.8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consists primarily of net loss adjusted for certain non-cash items, including stock-based compensation, depreciation and amortization and other non-cash charges,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during the nine months ended September 30, 2024 primarily reflected our net loss of $0.4 million, $68.4 million of depreciation and amortization, $370.4 million in stock-based compensation, an impairment of strategic investments of $4.1 million, and $1.5 million of amortization of debt discount and issuance costs, offset by non-cash expenses that included $36.7 million accretion of bond discounts, a gain on strategic investments of $18.5 million, $0.6 million benefit from deferred income taxes, and $3.4 million of unrealized currency translation. Working capital sources of cash and cash equivalents primarily included a $41.1 million increase in deferred revenue primarily resulting from the growth in the number of customers invoiced during the period, a $13.9 million decrease in accounts receivable related to increased collection, a $39.3 million decrease in accrued expenses and other liabilities, and a $26.5 million increase in right-of-use asset. These sources of cash and cash equivalents were offset by a $8.6 million increase in prepaid expenses and other assets, a $32.6 million decrease in operating lease liabilities, a $61.4 million increase in deferred commissions, and a $1.4 million increase in accounts payable related to timing of bill payments.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operating activities during the nine months ended September 30, 2023 primarily reflected our net loss of $162.7 million, $30.2 million accretion of bond discounts, offset by non-cash expenses that included $53.5 million of depreciation and amortization, $318.5 million in stock-based compensation, restructuring charges of $64.9 million, and $1.5 million of amortization of debt discount and issuance costs. Working capital sources of cash and cash equivalents primarily included a $40.7 million increase in deferred revenue primarily resulting from the growth in the number of customers invoiced during the period, a $13.2 million decrease in accounts receivable related to increased collection, a $23.2 million increase in right-of-use asset, and $44.9 million increase in accrued expenses and other liabilities. These sources of cash and cash equivalents were offset by a $36.0 million increase in prepaid expenses and other assets, a $28.9 million decrease in operating lease liabilities, a $54.3 million increase in deferred commissions, and a $5.2 million increase in accounts payable related to timing of bill payments.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Used in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investing activities have consisted primarily of purchases and maturities of investments, property and equipment purchases, purchases of strategic investments, and capitalization of software development costs. Capitalized software development costs are related to new products or improvements to our existing software platform that expands the functionality for our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used in investing activities during the nine months ended September 30, 2024 consisted primarily of cash used for $1.5 billion purchases of investments, $7.6 million of purchases of strategic investments, $3.9 million in an equity method investment, $25.2 million of purchased property and equipment, and $66.7 million of capitalized software development costs, offset by $1.2 billion received related to the maturity of investments, $2.0 million of proceeds from sale of investments, and $1.9 million of proceeds from a net working capital settlement.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used in investing activities during the nine months ended September 30, 2023 consisted primarily of $1.1 billion purchases of investments and $25.0 million of purchased property and equipment, $9.3 million of purchases of strategic investments, $2.3 million in an equity method investment and $49.3 million of capitalized software development costs. These uses of cash were offset by $1.2 billion received related to the maturity of investments.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financing activities have consisted primarily of the issuance of common stock under our stock plans, and payments of employee taxes related to the net share settlement of stock-based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2024 cash provided in financing activities consisted of $61.2 million of proceeds related to issuance of common stock under stock plans, offset by $17.8 million used for payment of employee taxes related to the net share settlement of stock-based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nine months ended September 30, 2023 cash used in financing activities consisted $7.6 million used for payment of employee taxes related to the net share settlement of stock-based awards, offset by $37.9 million of proceeds related to issuance of common stock under stock plans.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nine months ended September 30, 2024 as compared to the critical accounting policies and estimates disclosed in our Annual Report on Form 10-K for the year ended December 31, 2023.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information on recent accounting pronouncements, see </w:t>
      </w:r>
      <w:r>
        <w:rPr>
          <w:rFonts w:ascii="Times New Roman" w:hAnsi="Times New Roman"/>
          <w:i/>
          <w:color w:val="000000"/>
          <w:sz w:val="20"/>
        </w:rPr>
        <w:t>Recent Accounting Pronouncements</w:t>
      </w:r>
      <w:r>
        <w:rPr>
          <w:rFonts w:ascii="Times New Roman" w:hAnsi="Times New Roman"/>
          <w:color w:val="000000"/>
          <w:sz w:val="20"/>
        </w:rPr>
        <w:t xml:space="preserve"> in the notes to the consolidated financial statements appearing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2024, we are committed to contribute additional capital of $3.0 million to the Black Economic Development Fund. There were no other material off-balance sheet arrangements.</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 In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See Note 6 in the notes to the consolidated financial statements appearing elsewhere in this Quarterly Report on Form 10-Q.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value of certain securities in our portfolio. We do not currently hedge our interest rate exposure and do not enter into financial instruments for trading or speculative purposes.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Risk and Market Interest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2020, we issued $460 million aggregate principal amount of convertible senior notes due June 1, 2025, of which $459.0 million remains outstanding as of September 30, 2024.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There continues to be uncertainty in the changing market and economic conditions, including the possibility or additional measures that could be taken by the Federal Reserve and other government agencies, related to concerns over inflation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sensitivity analysis of hypothetical 10% changes of our stock price as of September 30, 2024 and the estimated impact on the fair value of the 2025 Notes. The selected scenarios are not predictions of future events, but rather are intended to illustrate the effect such an event may have on the fair value of the 2025 Notes.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Notes</w:t>
      </w:r>
    </w:p>
    <w:tbl>
      <w:tblPr>
        <w:tblW w:w="10205" w:type="dxa"/>
        <w:jc w:val="left"/>
        <w:tblInd w:w="0" w:type="dxa"/>
        <w:tblLayout w:type="fixed"/>
        <w:tblCellMar>
          <w:top w:w="28" w:type="dxa"/>
          <w:left w:w="28" w:type="dxa"/>
          <w:bottom w:w="28" w:type="dxa"/>
          <w:right w:w="28" w:type="dxa"/>
        </w:tblCellMar>
      </w:tblPr>
      <w:tblGrid>
        <w:gridCol w:w="2605"/>
        <w:gridCol w:w="350"/>
        <w:gridCol w:w="146"/>
        <w:gridCol w:w="211"/>
        <w:gridCol w:w="781"/>
        <w:gridCol w:w="146"/>
        <w:gridCol w:w="146"/>
        <w:gridCol w:w="335"/>
        <w:gridCol w:w="1168"/>
        <w:gridCol w:w="166"/>
        <w:gridCol w:w="146"/>
        <w:gridCol w:w="1016"/>
        <w:gridCol w:w="2623"/>
        <w:gridCol w:w="366"/>
      </w:tblGrid>
      <w:tr>
        <w:trPr/>
        <w:tc>
          <w:tcPr>
            <w:tcW w:w="26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Hypothetical change in HubSpot stock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change in</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Hypothetical percentage increase (decrease) in fair value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 increase</w:t>
            </w:r>
          </w:p>
        </w:tc>
        <w:tc>
          <w:tcPr>
            <w:tcW w:w="3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left"/>
              <w:rPr/>
            </w:pPr>
            <w:r>
              <w:rPr/>
              <w:t> </w:t>
            </w:r>
          </w:p>
        </w:tc>
        <w:tc>
          <w:tcPr>
            <w:tcW w:w="2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 change</w:t>
            </w:r>
          </w:p>
        </w:tc>
        <w:tc>
          <w:tcPr>
            <w:tcW w:w="3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jc w:val="left"/>
              <w:rPr/>
            </w:pPr>
            <w:r>
              <w:rPr/>
              <w:t> </w:t>
            </w:r>
          </w:p>
        </w:tc>
        <w:tc>
          <w:tcPr>
            <w:tcW w:w="2623" w:type="dxa"/>
            <w:tcBorders/>
            <w:shd w:fill="FFFFFF" w:val="clear"/>
            <w:vAlign w:val="center"/>
          </w:tcPr>
          <w:p>
            <w:pPr>
              <w:pStyle w:val="TableContents"/>
              <w:bidi w:val="0"/>
              <w:spacing w:before="0" w:after="283"/>
              <w:jc w:val="right"/>
              <w:rPr>
                <w:color w:val="000000"/>
              </w:rPr>
            </w:pPr>
            <w:r>
              <w:rPr>
                <w:color w:val="000000"/>
              </w:rPr>
              <w:t>—</w:t>
            </w:r>
          </w:p>
        </w:tc>
        <w:tc>
          <w:tcPr>
            <w:tcW w:w="366" w:type="dxa"/>
            <w:tcBorders/>
            <w:shd w:fill="FFFFFF" w:val="clear"/>
            <w:vAlign w:val="center"/>
          </w:tcPr>
          <w:p>
            <w:pPr>
              <w:pStyle w:val="TableContents"/>
              <w:bidi w:val="0"/>
              <w:spacing w:before="0" w:after="283"/>
              <w:jc w:val="left"/>
              <w:rPr/>
            </w:pPr>
            <w:r>
              <w:rPr/>
              <w:t> </w:t>
            </w:r>
          </w:p>
        </w:tc>
      </w:tr>
      <w:tr>
        <w:trPr/>
        <w:tc>
          <w:tcPr>
            <w:tcW w:w="26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 decrease</w:t>
            </w:r>
          </w:p>
        </w:tc>
        <w:tc>
          <w:tcPr>
            <w:tcW w:w="3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16" w:type="dxa"/>
            <w:tcBorders/>
            <w:shd w:fill="CFF0FC" w:val="clear"/>
            <w:vAlign w:val="center"/>
          </w:tcPr>
          <w:p>
            <w:pPr>
              <w:pStyle w:val="TableContents"/>
              <w:bidi w:val="0"/>
              <w:spacing w:before="0" w:after="283"/>
              <w:jc w:val="left"/>
              <w:rPr/>
            </w:pPr>
            <w:r>
              <w:rPr/>
              <w:t> </w:t>
            </w:r>
          </w:p>
        </w:tc>
        <w:tc>
          <w:tcPr>
            <w:tcW w:w="26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Evaluation of Disclosure Controls and Procedures</w:t>
      </w:r>
      <w:r>
        <w:rPr>
          <w:rFonts w:ascii="Times New Roman" w:hAnsi="Times New Roman"/>
          <w:color w:val="000000"/>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three months ended September 30, 2024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Changes in Internal Control Over Financial Reporting</w:t>
      </w:r>
      <w:r>
        <w:rPr>
          <w:rFonts w:ascii="Times New Roman" w:hAnsi="Times New Roman"/>
          <w:color w:val="000000"/>
          <w:sz w:val="20"/>
        </w:rPr>
        <w:t xml:space="preserve">.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Inherent Limitations of Internal Controls</w:t>
      </w:r>
      <w:r>
        <w:rPr>
          <w:rFonts w:ascii="Times New Roman" w:hAnsi="Times New Roman"/>
          <w:color w:val="000000"/>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3" w:name="part_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left"/>
        <w:rPr/>
      </w:pPr>
      <w:r>
        <w:rPr/>
        <w:t> </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and expect to continue to derive, a substantial portion of our revenue from the sale of subscriptions to our customer platform. The market for inbound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invoiced as a liability on our balance sheet.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offering marketing, sales, customer service, operations, commerce, and content management software and other related applications, as well as internally developed software, which may harm our ability to add new customers, retain existing customers and grow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marketing, sales, customer service, operations, commerce,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artificial intelligence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jc w:val="left"/>
        <w:rPr>
          <w:rFonts w:ascii="Times New Roman" w:hAnsi="Times New Roman"/>
          <w:color w:val="000000"/>
          <w:sz w:val="20"/>
        </w:rPr>
      </w:pPr>
      <w:r>
        <w:rPr>
          <w:rFonts w:ascii="Times New Roman" w:hAnsi="Times New Roman"/>
          <w:color w:val="000000"/>
          <w:sz w:val="20"/>
        </w:rPr>
        <w:t>Our competitors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force automation and CRM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service software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After the implementation of our Restructuring Plan in January 2023, our headcount and operations continued to grow. For example, we had 8,103 full-time employees as of September 30, 2024 and 7,663 as of December 31, 2023. To date, we have opened several international offices. This growth has placed, and will continue to place, a significant strain on our management, administrative, operational and financial infrastructure. We expect to continue to grow 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more of our employees work remotely from geographic areas across the globe on a permanent basis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effectively develop and expand our marketing, sales, customer service, operations, commerce and content management capabilities could harm our ability to increase our customer base and achieve broader market acceptance of our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increase customers and achieve broader market acceptance of our customer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jc w:val="left"/>
        <w:rPr/>
      </w:pPr>
      <w:r>
        <w:rPr/>
        <w:t> </w:t>
      </w:r>
    </w:p>
    <w:p>
      <w:pPr>
        <w:pStyle w:val="TextBody"/>
        <w:bidi w:val="0"/>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our inbound thought leadership position, our business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maintaining our thought leadership position in inbound marketing, sales, services, operations, commerce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our development of the HubSpot brand is critical to achieving widespread awareness of our existing and future inbound experience solutions, and, as a result, is important to attracting new customers and maintaining existing customers.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evolving industry standards and changing customer needs or requirements, our customer platform may become less competitive.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usage of our customer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ability to introduce new products and features, including new products and features that utilize artificial intelligence,</w:t>
      </w:r>
      <w:r>
        <w:rPr>
          <w:rFonts w:ascii="Times New Roman" w:hAnsi="Times New Roman"/>
          <w:color w:val="000000"/>
          <w:sz w:val="20"/>
        </w:rPr>
        <w:t xml:space="preserve"> </w:t>
      </w:r>
      <w:r>
        <w:rPr>
          <w:rFonts w:ascii="Times New Roman" w:hAnsi="Times New Roman"/>
          <w:b/>
          <w:i/>
          <w:color w:val="000000"/>
          <w:sz w:val="20"/>
        </w:rPr>
        <w:t>is dependent on adequate research and development resources. If we do not adequately fund our research and development efforts, we may not be able to compete effectively and our business and operating results may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development of next-generation solutions that utilize new and advanced features, including AI and machine learning, such as Breeze, involves making predictions regarding the willingness of the market to adopt such technologies over legacy solutions. The Company may be required to commit significant resources to developing new products, software and services, such as Breeze, before knowing whether such investment will result in products or services that the market will accept.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Uncertainty around new and emerging AI applications such as generative AI content creation, including generative AI content creation from Breeze, may require additional investment in the development of proprietary datasets, machine learning models and systems to test for accuracy, bias and other variables, which are often complex, development of new approaches and processes to provide attribution or remuneration to content creators and building systems that enable creatives to have greater control over the use of their work in the development of AI, which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customer platform purchased or used by our customers could negatively affect our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br/>
      </w:r>
      <w:r>
        <w:rPr>
          <w:rFonts w:ascii="Times New Roman" w:hAnsi="Times New Roman"/>
          <w:color w:val="000000"/>
          <w:sz w:val="24"/>
        </w:rPr>
        <w:br/>
      </w:r>
      <w:r>
        <w:rPr>
          <w:rFonts w:ascii="Times New Roman" w:hAnsi="Times New Roman"/>
          <w:b/>
          <w:i/>
          <w:color w:val="000000"/>
          <w:sz w:val="20"/>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in the past acquired, and we may in the future acquire or invest in, businesses, products or technologies that we believe could complement or expand our platform, enhance our technical capabilities or otherwise offer growth opportunities. For example, in December 2023, we acquired Clearbit, a B2B data provider, and in October 2024, we acquired Cacheflow, a B2B subscription billing management and CPQ solution.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regulations, arising from prior or ongoing acts or omissions by the acquired businesses which are not discovered by due diligence during the acquisition process, including data handling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our company culture with a dispersed and distant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stringent regulations relating to data security and the unauthorized use of, or access to, commercial and personal data, particularly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taxes or trade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 business in new markets with diverse cultures, languages, customs, legal systems, alternative dispute systems and regulatory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uncertainty caused by global 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reinvest earnings from operations in one country to fund the capital needs of our operations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or insufficient intellectual property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disputes, wars (such as the conflict between Russia and Ukraine and the evolving events in Israel and Gaza), political instability or terrorist activities and resulting economic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tax burdens and foreign exchange controls that could make it difficult to repatriate earnings and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Adverse litigation results could affect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Employee Matters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has been working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attract and retain additional qualified personnel could prevent us from executing our business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companies with which we compete for experienced personnel have greater resources than we do. The change by companies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pStyle w:val="TextBody"/>
        <w:bidi w:val="0"/>
        <w:jc w:val="left"/>
        <w:rPr>
          <w:rFonts w:ascii="Times New Roman" w:hAnsi="Times New Roman"/>
          <w:b/>
          <w:color w:val="000000"/>
          <w:sz w:val="20"/>
        </w:rPr>
      </w:pPr>
      <w:r>
        <w:rPr>
          <w:rFonts w:ascii="Times New Roman" w:hAnsi="Times New Roman"/>
          <w:b/>
          <w:color w:val="000000"/>
          <w:sz w:val="20"/>
        </w:rPr>
        <w:br/>
        <w:t>Risks Related to Global Economic Conditions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exposed to fluctuations in currency exchange rates that could adversely affect our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We recently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tariff and trade issues. Moreover, a potential U.S. federal government shutdown resulting from budgetary decisions, a prolonged continuing resolution, breach of the federal debt ceiling, or a potential U.S. sovereign default, and the uncertainty surrounding the 2024 U.S. Presidential Election results may increase uncertainty and volatility in the global economy and financial markets.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 Further, weak market conditions have, and could in the future result in, impairment of our investments and long-lived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affect our customers’ ability or willingness to subscribe to our platform, delay prospective customers’ purchasing decisions, reduce the value or duration of their subscriptions or affect renewal rates, all of which could harm our operating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current economic downturn may lead to decreased demand for our products and services and otherwise harm our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overall performance depends, in part, on worldwide economic conditions. In recent months, we have observed increased economic uncertainty in the United States and abroad. Impacts of such economic weakness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falling overall demand for goods and services, leading to reduced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borrowing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labor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in credit, equity and foreign exchange markets;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bankruptcies.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Technical Operations Infrastructure and Dependence on Third Parties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serve the majority of our platform functions from third-party data center hosting facilities operated by Amazon Web Services in the United States and Europe. We also have several colocations which host certain critical services (for example, VPN access) in various locations around the world. In addition, we use Cloudflare Global CDN to optimize content delivery across our locations.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significant portion of our operating cost is from our third-party data hosting and transmission services, including Amazon Web Services (“AWS”), which hosts the substantial majority of our products and platform. If the costs for such services increase due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vendor consolidation, regulation, contract renegotiation, or otherwise, we may not be able to increase the fees for our customer platform or services to cover the changes, which could have a negative impact on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or cannot maintain the compatibility of our customer platform with third-party applications that our customers use in their businesses, our revenue will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Select functionality of our customer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customer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customer platform and reduce overall demand for it, or lead to significant fines, penalties or liabilities for any noncompliance or loss of any such action.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extensive access to our databases, which store our customer data, and to our APIs to facilitate our rapid pace of product development and to support our customers. If such access, unauthorized access or our own operations, cause the loss,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denial-of-service attacks, ransomware attacks, business email compromises, computer malware, viruses, social engineering (including phishing), and other compromises are prevalent in our industry, the industries of certain of our service providers and our customers' industries. We have in the past experienced threats and security incidents related to our data and systems, and we may in the future experience other threats, compromises, breaches, or incidents.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as remote work and resource access expand,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have previously been, and may in the future become, the target of cyber-attacks, incidents, or compromises by third parties seeking unauthorized access to our or our customers' data, systems, or infrastructure, or to disrupt our operations or ability to provide our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liability, our competitive position could be harmed and the further development and commercialization of our product and services could be hindered or delayed.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may suffer if it is alleged or determined that our technology infringes the intellectual property rights of others.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against their use. Claims of intellectual property infringement, even those without merit, could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copyrights and patents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third-party providers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the California Consumer Privacy Act (the “CCPA”), as amended by the California Privacy Rights Act (the “CPRA”), among other things, require covered companies to provide new disclosures to California residents and afford such individuals the ability to opt out of the sales or sharing of their personal data. In addition to increasing our potential exposure to regulatory enforcement, the CCPA also provides for violations and a limited private right of action, which may increase our exposure to civil litigation.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Numerous other states have passed comprehensive privacy and data security laws, which impose obligations on covered businesses similar – but not identical – to those under the CCPA. A number of other states have proposed similar or sector specific privacy legislation, and the U.S. Congress is considering legislation that may preempt some or all of such U.S. state privacy laws, providing a more robust private right of action. Through executive and legislative action, the federal government has also taken steps to restrict data transactions involving persons affiliated with China, Russia, and other countries of concern</w:t>
      </w:r>
      <w:r>
        <w:rPr>
          <w:rFonts w:ascii="Calibri;sans-serif" w:hAnsi="Calibri;sans-serif"/>
          <w:color w:val="222222"/>
          <w:sz w:val="22"/>
        </w:rPr>
        <w:t>.</w:t>
      </w:r>
      <w:r>
        <w:rPr>
          <w:rFonts w:ascii="Times New Roman" w:hAnsi="Times New Roman"/>
          <w:color w:val="000000"/>
          <w:sz w:val="20"/>
        </w:rPr>
        <w:t xml:space="preserve"> The evolving complexity of privacy and data security legislation in the U.S. may complicate our compliance efforts and further increase our risk of regulatory enforcement, penalties and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operation of some of our business lines, such as business intelligence services, we collect, process and share business contact information or other personal data individuals make available in their professional capacity. We may be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additional requirements under privacy and data protection laws that could lead to additional compliance costs, regulatory scrutiny,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Within the European Union, the EU GDPR, and in the United Kingdom, the EU GDPR as incorporated into the laws of the United Kingdom ("UK") (the “UK GDPR” together with the EU GDPR, the “GDPR”), impose heightened obligations and risk upon our business and substantially increases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Our customer agreements include the updated SCCs and UK IDTAs.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Separately, as the regulatory framework for machine learning technology and AI evolves, it is possible that new laws and regulations will be adopted, or that existing laws and regulations may be interpreted in ways that would affect our business and the ways in which we use AI and machine learning technology, our financial condition and our results of operations, including as a result of the cost to comply with such laws or regulations. For example, the EU’s Artificial Intelligence Act (“AI Act”) - the world’s first comprehensive AI law - entered into force on August 1, 2024 and, with some exceptions, become effective on August 2, 2026. This legislation imposes significant obligations on providers and deployers of high-risk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 </w:t>
      </w:r>
    </w:p>
    <w:p>
      <w:pPr>
        <w:pStyle w:val="TextBody"/>
        <w:bidi w:val="0"/>
        <w:jc w:val="left"/>
        <w:rPr>
          <w:rFonts w:ascii="Times New Roman" w:hAnsi="Times New Roman"/>
          <w:color w:val="000000"/>
          <w:sz w:val="20"/>
        </w:rPr>
      </w:pPr>
      <w:r>
        <w:rPr>
          <w:rFonts w:ascii="Times New Roman" w:hAnsi="Times New Roman"/>
          <w:color w:val="000000"/>
          <w:sz w:val="20"/>
        </w:rPr>
        <w:t>Several U.S. federal statutes may apply to us with respect to various customer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these statutes and case law in the United States have generally shielded us from liability for customer activities to date, court rulings in pending or future litigation may narrow the scope of protection afforded us under these laws. In addition,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HubSpot payments, our end-to-end payment solution as well as our Stripe payment processing integration (together with HubSpot payments, the “Payments” offering), are both built within Commerce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customer platform and our ability to conduct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the senders of commercial emails and text messages, website owners and other activities, and could impact the use of our customer platform and potentially subject us to regulatory enforcement or private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and could impair our attractiveness to customers, which would harm our business.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customer platform to decrease and adversely impact our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Taxation</w:t>
      </w:r>
    </w:p>
    <w:p>
      <w:pPr>
        <w:pStyle w:val="TextBody"/>
        <w:bidi w:val="0"/>
        <w:jc w:val="left"/>
        <w:rPr>
          <w:rFonts w:ascii="Times New Roman" w:hAnsi="Times New Roman"/>
          <w:sz w:val="20"/>
        </w:rPr>
      </w:pPr>
      <w:r>
        <w:rPr>
          <w:rFonts w:ascii="Times New Roman" w:hAnsi="Times New Roman"/>
          <w:b/>
          <w:color w:val="000000"/>
          <w:sz w:val="20"/>
        </w:rPr>
        <w:br/>
        <w:br/>
      </w: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customer platform and adversely impact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 which could adversely affect our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we had $861.4 million of U.S. federal and $740.0 million of state net operating loss carryforwards due to prior period losses, which have an indefinite carryforward and begin to expire in 2025 for state purposes. The state net operating loss carryforwards could expire unused and be unavailable to offset future income tax liabilities, which could adversely affect our profitability. In addition, under Section 382 and Section 383 of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achieve, maintain or increase profitability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generated net income of $0.4 million for the nine months ended September 30, 2024 and net losses of $152.1 million for the nine months ended September 30, 2023. As of September 30, 2024, we had an accumulated deficit of $804.8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operations, and content management operations, develop and enhance our customer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invest in social impact investment funds. As of September 30, 2024, we have invested $8.5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spending on marketing, sales, customer service, operations, and content management software by our current or prospective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our customer platform subscriptions effectively so that we are able to attract and retain customers without compromising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new customers for our marketing, sales, customer service, operations, and content management software, increasing our existing customers’ use of our platform and providing our customers with excellent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renewal rates and the amounts for which agreements are renewed;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awareness of our thought leadership and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 the introduction of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commission plans, quotas and other compensation-related metrics for our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sales and marketing expenses and employee benefit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while maintaining our company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existing business and future growth, including increases in the number of customers on our platform and the introduction and adoption of our customer platform in new markets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inflation in the economies in which we operate and our ability to control costs, including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in our domestic and international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common stock.</w:t>
        <w:br/>
        <w:t> </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our indebtedness, combined with our other financial obligations and contractual commitments, could have other important consequences. For example, it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us more vulnerable to adverse changes in general U.S. and worldwide economic, industry and competitive conditions and adverse changes in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place us at a disadvantage compared to our competitors who have less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ability to borrow additional amounts to fund acquisitions, for working capital and for other general corporate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the conditional conversion feature of the 2025 Notes is triggered, the holders thereof will be entitled to convert the 2025 Notes at any time during specified periods at their option. Because the last reported sale price of the Company’s common stock for at least 20 trading days during the period of 30 consecutive trading days ending on the last trading day of the calendar quarter ended September 30, 2024 was equal to or greater than 130% of the applicable conversion price on each applicable trading day, the 2025 Notes are convertible at the option of the holders thereof during the calendar quarter ending December 31, 2024. As of November 1, 2024, the Company has not received any material conversion notices with respect to the 2025 Notes. Whether the Notes that remain outstanding will be convertible following the calendar quarter ended September 30, 2024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accounting method for convertible debt securities that may be settled in cash, such as the Notes, could have a material effect on our reported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August 2020, the FASB issued guidance simplifying the accounting for convertible instruments by reducing the number of accounting models for convertible debt instruments and convertible preferred stock.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 using the modified retrospective method. Future interest expense of the convertible notes will be lower as a result of adoption of this guidance and net loss per share will be computed using the if-converted method for these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if-converted method assumes that all of the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 Options.</w:t>
      </w:r>
    </w:p>
    <w:p>
      <w:pPr>
        <w:pStyle w:val="TextBody"/>
        <w:bidi w:val="0"/>
        <w:jc w:val="left"/>
        <w:rPr>
          <w:rFonts w:ascii="Times New Roman" w:hAnsi="Times New Roman"/>
          <w:color w:val="000000"/>
          <w:sz w:val="20"/>
        </w:rPr>
      </w:pPr>
      <w:r>
        <w:rPr>
          <w:rFonts w:ascii="Times New Roman" w:hAnsi="Times New Roman"/>
          <w:color w:val="000000"/>
          <w:sz w:val="20"/>
        </w:rPr>
        <w:t>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 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currently anticipate with respect to our common stock. We can provide no assurances as to the financial stability or viability of the counterparties.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September 30, 2024. The market price of our common stock may fluctuate significantly in response to numerous factors, many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revenue and other operating results, including as a result of the addition or loss of any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cloud-based software or other technology companies,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trading of our common stock and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or the dilutive effect of our Notes or any other equity or equity-linked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or industry, including data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including changes in general economic, industry and market conditions and trends, international disputes, wars (such as the conflict between Russia and Ukraine and the evolving events in Israel and Gaza), and political stability.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We have limited experience maintaining effective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systems with our employees working in remote environments, and risks that we have not contemplated may arise and result in our failure to maintain effective disclosure controls or internal control over financial reporting.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the board,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modify,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charter documents.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br/>
        <w:br/>
      </w:r>
      <w:r>
        <w:rPr>
          <w:rFonts w:ascii="Times New Roman" w:hAnsi="Times New Roman"/>
          <w:b/>
          <w:color w:val="000000"/>
          <w:sz w:val="20"/>
        </w:rPr>
        <w:t>General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(such as the COVID-19 pandemic),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operations and, as a result, our future operating results could be adversely affected. The adverse effects of any such catastrophic event would be exacerbated if experienced at the same time as another unexpected and adverse event, such as the COVID-19 pandemic.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occurrence of regional epidemics or a global pandemic, such as the COVID-19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such as the COVID-19 pandemic,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such as the COVID-19 pandemic, harms our business and results of operations, many of the other risks described in this “Risk Factors” section, may be heightened.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Climate change may have a long-term impact on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new disclosure requirements from regulators.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7" w:name="item_3_defaults_on_senior_securities"/>
      <w:bookmarkEnd w:id="17"/>
      <w:r>
        <w:rPr>
          <w:rFonts w:ascii="Times New Roman" w:hAnsi="Times New Roman"/>
          <w:b/>
          <w:color w:val="000000"/>
          <w:sz w:val="20"/>
        </w:rPr>
        <w:t>Item 3. Defaults 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describes contracts, instructions or written plans for the sale or purchase of our securities adopted by our directors and certain officers in the three months ended September 30, 2024, each of which is intended to satisfy the affirmative defense conditions of Exchange Act Rule 10b5-1(c), referred to as Rule 10b5-1 trading plans.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6"/>
        <w:gridCol w:w="1778"/>
        <w:gridCol w:w="2864"/>
        <w:gridCol w:w="1537"/>
        <w:gridCol w:w="1590"/>
      </w:tblGrid>
      <w:tr>
        <w:trPr/>
        <w:tc>
          <w:tcPr>
            <w:tcW w:w="243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 Taken</w:t>
            </w:r>
          </w:p>
        </w:tc>
        <w:tc>
          <w:tcPr>
            <w:tcW w:w="2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Nature of Trading Arrangement</w:t>
            </w:r>
          </w:p>
        </w:tc>
        <w:tc>
          <w:tcPr>
            <w:tcW w:w="1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Duration of Trading Arrangement</w:t>
            </w:r>
          </w:p>
        </w:tc>
        <w:tc>
          <w:tcPr>
            <w:tcW w:w="1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2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Dharmesh Shah (Co-Founder and Chief Technology Officer)</w:t>
            </w:r>
          </w:p>
        </w:tc>
        <w:tc>
          <w:tcPr>
            <w:tcW w:w="17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 (August 16, 2024)</w:t>
            </w:r>
          </w:p>
        </w:tc>
        <w:tc>
          <w:tcPr>
            <w:tcW w:w="28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53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 days</w:t>
            </w:r>
          </w:p>
        </w:tc>
        <w:tc>
          <w:tcPr>
            <w:tcW w:w="159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75,000 shares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or incorporated by reference into this Report.</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26"/>
        <w:gridCol w:w="146"/>
        <w:gridCol w:w="9133"/>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sz w:val="4"/>
                <w:szCs w:val="4"/>
              </w:rPr>
            </w:pPr>
            <w:r>
              <w:rPr>
                <w:sz w:val="4"/>
                <w:szCs w:val="4"/>
              </w:rPr>
            </w:r>
          </w:p>
        </w:tc>
      </w:tr>
      <w:tr>
        <w:trPr/>
        <w:tc>
          <w:tcPr>
            <w:tcW w:w="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r>
      <w:tr>
        <w:trPr/>
        <w:tc>
          <w:tcPr>
            <w:tcW w:w="9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of the Registrant</w:t>
              </w:r>
            </w:hyperlink>
            <w:hyperlink r:id="rId4">
              <w:r>
                <w:rPr>
                  <w:rStyle w:val="InternetLink"/>
                  <w:rFonts w:ascii="Times New Roman" w:hAnsi="Times New Roman"/>
                  <w:color w:val="0000FF"/>
                  <w:sz w:val="20"/>
                </w:rPr>
                <w:t xml:space="preserve"> </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Fifth Amended and Restated Bylaws of the Registrant</w:t>
              </w:r>
            </w:hyperlink>
            <w:hyperlink r:id="rId6">
              <w:r>
                <w:rPr>
                  <w:rStyle w:val="InternetLink"/>
                  <w:rFonts w:ascii="Times New Roman" w:hAnsi="Times New Roman"/>
                  <w:color w:val="0000FF"/>
                  <w:sz w:val="20"/>
                </w:rPr>
                <w:t xml:space="preserve"> </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Common Stock certificate of the Registrant</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hyperlink w:anchor="hubs-ex10_1.htm">
              <w:r>
                <w:rPr>
                  <w:rStyle w:val="InternetLink"/>
                  <w:rFonts w:ascii="Times New Roman" w:hAnsi="Times New Roman"/>
                  <w:color w:val="0000FF"/>
                  <w:sz w:val="20"/>
                  <w:u w:val="single"/>
                </w:rPr>
                <w:t>HubSpot, Inc. 2024 Stock Option and Incentive Plan, and forms of restricted stock and option agreements thereunder</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hyperlink w:anchor="hubs-ex10_2.htm">
              <w:r>
                <w:rPr>
                  <w:rStyle w:val="InternetLink"/>
                  <w:rFonts w:ascii="Times New Roman" w:hAnsi="Times New Roman"/>
                  <w:color w:val="0000FF"/>
                  <w:sz w:val="20"/>
                  <w:u w:val="single"/>
                </w:rPr>
                <w:t>Non-Employee Director Compensation Policy (as amended and currently in effect)</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w:anchor="hubs-ex31_1.htm">
              <w:r>
                <w:rPr>
                  <w:rStyle w:val="InternetLink"/>
                  <w:rFonts w:ascii="Times New Roman" w:hAnsi="Times New Roman"/>
                  <w:color w:val="0000FF"/>
                  <w:sz w:val="20"/>
                  <w:u w:val="single"/>
                </w:rPr>
                <w:t>Certification of Principal Executive Officer pursuant to Rule 13a-14(a) or Rule 15d-14(a) of the Securities Exchange Act of 1934, as amended</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w:anchor="hubs-ex31_2.htm">
              <w:r>
                <w:rPr>
                  <w:rStyle w:val="InternetLink"/>
                  <w:rFonts w:ascii="Times New Roman" w:hAnsi="Times New Roman"/>
                  <w:color w:val="0000FF"/>
                  <w:sz w:val="20"/>
                  <w:u w:val="single"/>
                </w:rPr>
                <w:t>Certification of Principal Financial Officer pursuant to Rule 13a-14(a) or Rule 15d-14(a) of the Securities Exchange Act of 1934, as amended</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w:anchor="hubs-ex32_1.htm">
              <w:r>
                <w:rPr>
                  <w:rStyle w:val="InternetLink"/>
                  <w:rFonts w:ascii="Times New Roman" w:hAnsi="Times New Roman"/>
                  <w:color w:val="0000FF"/>
                  <w:sz w:val="20"/>
                  <w:u w:val="single"/>
                </w:rPr>
                <w:t>Certification of Principal Executive Officer and Principal Financial Officer pursuant to Section 906 of the Sarbanes-Oxley Act</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 Incorporated by reference to Exhibit 3.1 to HubSpot, Inc.’s Annual Report on Form 10-K filed on February 24, 2016.</w:t>
      </w:r>
    </w:p>
    <w:p>
      <w:pPr>
        <w:pStyle w:val="TextBody"/>
        <w:bidi w:val="0"/>
        <w:jc w:val="left"/>
        <w:rPr>
          <w:rFonts w:ascii="Times New Roman" w:hAnsi="Times New Roman"/>
          <w:color w:val="000000"/>
          <w:sz w:val="20"/>
        </w:rPr>
      </w:pPr>
      <w:r>
        <w:rPr>
          <w:rFonts w:ascii="Times New Roman" w:hAnsi="Times New Roman"/>
          <w:color w:val="000000"/>
          <w:sz w:val="20"/>
        </w:rPr>
        <w:t>(2) Incorporated by reference to Exhibit 3.1 to HubSpot Inc.’s Current Report on Form 8-K filed on June 14, 2024.</w:t>
      </w:r>
    </w:p>
    <w:p>
      <w:pPr>
        <w:pStyle w:val="TextBody"/>
        <w:bidi w:val="0"/>
        <w:jc w:val="left"/>
        <w:rPr>
          <w:rFonts w:ascii="Times New Roman" w:hAnsi="Times New Roman"/>
          <w:color w:val="000000"/>
          <w:sz w:val="20"/>
        </w:rPr>
      </w:pPr>
      <w:r>
        <w:rPr>
          <w:rFonts w:ascii="Times New Roman" w:hAnsi="Times New Roman"/>
          <w:color w:val="000000"/>
          <w:sz w:val="20"/>
        </w:rPr>
        <w:t>(3) Incorporated by reference to Exhibit 3.1 to HubSpot Inc.’s Current Report on Form 8-K filed on May 1, 2024.</w:t>
      </w:r>
    </w:p>
    <w:p>
      <w:pPr>
        <w:pStyle w:val="TextBody"/>
        <w:bidi w:val="0"/>
        <w:jc w:val="left"/>
        <w:rPr>
          <w:rFonts w:ascii="Times New Roman" w:hAnsi="Times New Roman"/>
          <w:color w:val="000000"/>
          <w:sz w:val="20"/>
        </w:rPr>
      </w:pPr>
      <w:r>
        <w:rPr>
          <w:rFonts w:ascii="Times New Roman" w:hAnsi="Times New Roman"/>
          <w:color w:val="000000"/>
          <w:sz w:val="20"/>
        </w:rPr>
        <w:t>(4) Incorporated by reference to Exhibit 4.1 to Amendment No. 1 to registrant’s Registration Statement on Form S-1 (SEC file No. 333-198333) filed on September 26, 2014.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646" w:type="dxa"/>
            <w:tcBorders/>
            <w:vAlign w:val="center"/>
          </w:tcPr>
          <w:p>
            <w:pPr>
              <w:pStyle w:val="TableContents"/>
              <w:bidi w:val="0"/>
              <w:spacing w:before="0" w:after="283"/>
              <w:jc w:val="left"/>
              <w:rPr/>
            </w:pPr>
            <w:r>
              <w:rPr/>
              <w:t> </w:t>
            </w:r>
          </w:p>
        </w:tc>
        <w:tc>
          <w:tcPr>
            <w:tcW w:w="3387" w:type="dxa"/>
            <w:gridSpan w:val="2"/>
            <w:tcBorders/>
            <w:vAlign w:val="center"/>
          </w:tcPr>
          <w:p>
            <w:pPr>
              <w:pStyle w:val="TableContents"/>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jc w:val="left"/>
              <w:rPr>
                <w:rFonts w:ascii="Times New Roman" w:hAnsi="Times New Roman"/>
                <w:sz w:val="20"/>
              </w:rPr>
            </w:pPr>
            <w:r>
              <w:rPr>
                <w:rFonts w:ascii="Times New Roman" w:hAnsi="Times New Roman"/>
                <w:i/>
                <w:color w:val="000000"/>
                <w:sz w:val="20"/>
              </w:rPr>
              <w:t>(Principal Financial and Accounting</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Officer and Authorized Signatory)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November 6,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2" w:name="hubs-ex10_1.htm"/>
      <w:bookmarkStart w:id="23" w:name="kshubsex10_1"/>
      <w:bookmarkEnd w:id="22"/>
      <w:bookmarkEnd w:id="23"/>
      <w:r>
        <w:rPr>
          <w:rFonts w:ascii="Times New Roman" w:hAnsi="Times New Roman"/>
          <w:color w:val="000000"/>
          <w:sz w:val="20"/>
        </w:rPr>
        <w:t>Exhibit 10.1</w:t>
      </w:r>
      <w:r>
        <w:br w:type="page"/>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HUBSPOT, INC.</w:t>
        <w:br/>
        <w:t>2024 STOCK OPTION AND INCENTIVE PLAN</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 xml:space="preserve">SECTION 1. </w:t>
      </w:r>
    </w:p>
    <w:p>
      <w:pPr>
        <w:pStyle w:val="TextBody"/>
        <w:bidi w:val="0"/>
        <w:spacing w:before="240" w:after="283"/>
        <w:jc w:val="left"/>
        <w:rPr>
          <w:rFonts w:ascii="Times New Roman" w:hAnsi="Times New Roman"/>
          <w:caps/>
          <w:color w:val="000000"/>
          <w:sz w:val="24"/>
          <w:u w:val="single"/>
        </w:rPr>
      </w:pPr>
      <w:r>
        <w:rPr>
          <w:rFonts w:ascii="Times New Roman" w:hAnsi="Times New Roman"/>
          <w:caps/>
          <w:color w:val="000000"/>
          <w:sz w:val="24"/>
          <w:u w:val="single"/>
        </w:rPr>
        <w:t>GENERAL PURPOSE OF THE PLAN; DEFINITIONS</w:t>
      </w:r>
    </w:p>
    <w:p>
      <w:pPr>
        <w:pStyle w:val="TextBody"/>
        <w:bidi w:val="0"/>
        <w:spacing w:before="240" w:after="283"/>
        <w:jc w:val="left"/>
        <w:rPr>
          <w:rFonts w:ascii="Times New Roman" w:hAnsi="Times New Roman"/>
          <w:sz w:val="20"/>
        </w:rPr>
      </w:pPr>
      <w:r>
        <w:rPr>
          <w:rFonts w:ascii="Times New Roman" w:hAnsi="Times New Roman"/>
          <w:color w:val="000000"/>
          <w:sz w:val="24"/>
        </w:rPr>
        <w:t>The name of the plan is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The purpose of the Plan is to encourage and enable the officers, employees, Non-Employee Directors and Consultants of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terms shall be defined as set forth below:</w:t>
      </w:r>
    </w:p>
    <w:p>
      <w:pPr>
        <w:pStyle w:val="TextBody"/>
        <w:bidi w:val="0"/>
        <w:spacing w:before="240" w:after="283"/>
        <w:jc w:val="left"/>
        <w:rPr/>
      </w:pPr>
      <w:r>
        <w:rPr>
          <w:color w:val="000000"/>
        </w:rPr>
        <w:t>“</w:t>
      </w:r>
      <w:r>
        <w:rPr>
          <w:rFonts w:ascii="Times New Roman" w:hAnsi="Times New Roman"/>
          <w:b/>
          <w:i/>
          <w:color w:val="000000"/>
          <w:sz w:val="24"/>
        </w:rPr>
        <w:t>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thereunder.</w:t>
      </w:r>
    </w:p>
    <w:p>
      <w:pPr>
        <w:pStyle w:val="TextBody"/>
        <w:bidi w:val="0"/>
        <w:spacing w:before="240" w:after="283"/>
        <w:jc w:val="left"/>
        <w:rPr/>
      </w:pPr>
      <w:r>
        <w:rPr>
          <w:color w:val="000000"/>
        </w:rPr>
        <w:t>“</w:t>
      </w:r>
      <w:r>
        <w:rPr>
          <w:rFonts w:ascii="Times New Roman" w:hAnsi="Times New Roman"/>
          <w:b/>
          <w:i/>
          <w:color w:val="000000"/>
          <w:sz w:val="24"/>
        </w:rPr>
        <w:t>Administrator</w:t>
      </w:r>
      <w:r>
        <w:rPr>
          <w:rFonts w:ascii="Times New Roman" w:hAnsi="Times New Roman"/>
          <w:color w:val="000000"/>
          <w:sz w:val="20"/>
        </w:rPr>
        <w:t xml:space="preserve">” </w:t>
      </w:r>
      <w:r>
        <w:rPr>
          <w:rFonts w:ascii="Times New Roman" w:hAnsi="Times New Roman"/>
          <w:color w:val="000000"/>
          <w:sz w:val="24"/>
        </w:rPr>
        <w:t>means either the Board or the compensation committee of the Board or a similar committee performing the functions of the compensation committee and which is comprised of not less than two Non-Employee Directors who are independent.</w:t>
      </w:r>
    </w:p>
    <w:p>
      <w:pPr>
        <w:pStyle w:val="TextBody"/>
        <w:bidi w:val="0"/>
        <w:spacing w:before="240" w:after="283"/>
        <w:jc w:val="left"/>
        <w:rPr/>
      </w:pPr>
      <w:r>
        <w:rPr>
          <w:color w:val="000000"/>
        </w:rPr>
        <w:t>“</w:t>
      </w:r>
      <w:r>
        <w:rPr>
          <w:rFonts w:ascii="Times New Roman" w:hAnsi="Times New Roman"/>
          <w:b/>
          <w:i/>
          <w:color w:val="000000"/>
          <w:sz w:val="24"/>
        </w:rPr>
        <w:t>Affiliate</w:t>
      </w:r>
      <w:r>
        <w:rPr>
          <w:rFonts w:ascii="Times New Roman" w:hAnsi="Times New Roman"/>
          <w:color w:val="000000"/>
          <w:sz w:val="20"/>
        </w:rPr>
        <w:t xml:space="preserve">” </w:t>
      </w:r>
      <w:r>
        <w:rPr>
          <w:rFonts w:ascii="Times New Roman" w:hAnsi="Times New Roman"/>
          <w:color w:val="000000"/>
          <w:sz w:val="24"/>
        </w:rPr>
        <w:t>means, at the time of determination, any “parent” or “subsidiary” of the Company as such terms are defined in Rule 405 of the Act. The Board will have the authority to determine the time or times at which “parent” or “subsidiary” status is determined within the foregoing definition.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i/>
          <w:color w:val="000000"/>
          <w:sz w:val="24"/>
        </w:rPr>
        <w:t>Award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i/>
          <w:color w:val="000000"/>
          <w:sz w:val="24"/>
        </w:rPr>
        <w:t>Awards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except where referring to a particular category of grant under the Plan, includes Incentive Stock Options, Non-Qualified Stock Options, Stock Appreciation Rights, Restricted Stock Awards, Restricted Stock Units, Unrestricted Stock Awards, Cash-Based Awards, and Dividend Equivalent Rights.</w:t>
      </w:r>
    </w:p>
    <w:p>
      <w:pPr>
        <w:pStyle w:val="TextBody"/>
        <w:bidi w:val="0"/>
        <w:spacing w:before="240" w:after="283"/>
        <w:jc w:val="left"/>
        <w:rPr/>
      </w:pPr>
      <w:r>
        <w:rPr>
          <w:color w:val="000000"/>
        </w:rPr>
        <w:t>“</w:t>
      </w:r>
      <w:r>
        <w:rPr>
          <w:rFonts w:ascii="Times New Roman" w:hAnsi="Times New Roman"/>
          <w:b/>
          <w:i/>
          <w:color w:val="000000"/>
          <w:sz w:val="24"/>
        </w:rPr>
        <w:t>Award Certificate</w:t>
      </w:r>
      <w:r>
        <w:rPr>
          <w:rFonts w:ascii="Times New Roman" w:hAnsi="Times New Roman"/>
          <w:color w:val="000000"/>
          <w:sz w:val="20"/>
        </w:rPr>
        <w:t xml:space="preserve">” </w:t>
      </w:r>
      <w:r>
        <w:rPr>
          <w:rFonts w:ascii="Times New Roman" w:hAnsi="Times New Roman"/>
          <w:color w:val="000000"/>
          <w:sz w:val="24"/>
        </w:rPr>
        <w:t>means a written or electronic document setting forth the terms and provisions applicable to an Award granted under the Plan. Each Award Certificate is subject to the terms and conditions of the Plan.</w:t>
      </w:r>
    </w:p>
    <w:p>
      <w:pPr>
        <w:pStyle w:val="TextBody"/>
        <w:bidi w:val="0"/>
        <w:spacing w:before="240" w:after="283"/>
        <w:jc w:val="left"/>
        <w:rPr/>
      </w:pPr>
      <w:r>
        <w:rPr>
          <w:color w:val="000000"/>
        </w:rPr>
        <w:t>“</w:t>
      </w:r>
      <w:r>
        <w:rPr>
          <w:rFonts w:ascii="Times New Roman" w:hAnsi="Times New Roman"/>
          <w:b/>
          <w:i/>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240" w:after="283"/>
        <w:jc w:val="left"/>
        <w:rPr/>
      </w:pPr>
      <w:r>
        <w:rPr>
          <w:color w:val="000000"/>
        </w:rPr>
        <w:t>“</w:t>
      </w:r>
      <w:r>
        <w:rPr>
          <w:rFonts w:ascii="Times New Roman" w:hAnsi="Times New Roman"/>
          <w:b/>
          <w:i/>
          <w:color w:val="000000"/>
          <w:sz w:val="24"/>
        </w:rPr>
        <w:t>Cash-Based Award</w:t>
      </w:r>
      <w:r>
        <w:rPr>
          <w:rFonts w:ascii="Times New Roman" w:hAnsi="Times New Roman"/>
          <w:color w:val="000000"/>
          <w:sz w:val="20"/>
        </w:rPr>
        <w:t xml:space="preserve">” </w:t>
      </w:r>
      <w:r>
        <w:rPr>
          <w:rFonts w:ascii="Times New Roman" w:hAnsi="Times New Roman"/>
          <w:color w:val="000000"/>
          <w:sz w:val="24"/>
        </w:rPr>
        <w:t>means an Award entitling the recipient to receive a cash-denominated payment upon the attainment of specified performance goals.</w:t>
      </w:r>
    </w:p>
    <w:p>
      <w:pPr>
        <w:pStyle w:val="TextBody"/>
        <w:bidi w:val="0"/>
        <w:spacing w:before="240" w:after="283"/>
        <w:jc w:val="left"/>
        <w:rPr/>
      </w:pPr>
      <w:r>
        <w:rPr>
          <w:color w:val="000000"/>
        </w:rPr>
        <w:t>“</w:t>
      </w:r>
      <w:r>
        <w:rPr>
          <w:rFonts w:ascii="Times New Roman" w:hAnsi="Times New Roman"/>
          <w:b/>
          <w:i/>
          <w:color w:val="000000"/>
          <w:sz w:val="24"/>
        </w:rPr>
        <w:t>Cause</w:t>
      </w:r>
      <w:r>
        <w:rPr>
          <w:rFonts w:ascii="Times New Roman" w:hAnsi="Times New Roman"/>
          <w:color w:val="000000"/>
          <w:sz w:val="20"/>
        </w:rPr>
        <w:t xml:space="preserve">” </w:t>
      </w:r>
      <w:r>
        <w:rPr>
          <w:rFonts w:ascii="Times New Roman" w:hAnsi="Times New Roman"/>
          <w:color w:val="000000"/>
          <w:sz w:val="24"/>
        </w:rPr>
        <w:t>means (i) a grantee’s dishonest statements or acts with respect to the Company or any Affiliate, or any current or prospective customers, suppliers vendors or other third parties with which such entity does business; (ii) a grantee’s commission of (A) a felony (or crime of similar magnitude under non-U.S. laws, as determined by the Administrator) or (B) any misdemeanor involving moral turpitude, deceit, dishonesty or fraud; (iii) a grantee’s failure to perform the grantee’s assigned duties and responsibilities to the reasonable satisfaction of the Company or an Affiliate, which failure continues, in the reasonable judgment of the Company or an Affiliate, after written notice given to the grantee by the Company or an Affiliate; (iv) a grantee’s gross negligence, willful misconduct or insubordination with respect to the Company or any Affiliate (including, but not limited to, any violation of the Company’s or any Affiliate’s code of conduct, insider trading, willful accounting improprieties or failure to cooperate with investigations); or (v) a grantee’s material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violation of any provision of any agreement(s) between the grantee and the Company or any Affiliate relating to noncompetition, nonsolicitation, nondisclosure and/or assignment of inventions.</w:t>
      </w:r>
    </w:p>
    <w:p>
      <w:pPr>
        <w:pStyle w:val="TextBody"/>
        <w:bidi w:val="0"/>
        <w:spacing w:before="240" w:after="283"/>
        <w:jc w:val="left"/>
        <w:rPr/>
      </w:pPr>
      <w:r>
        <w:rPr>
          <w:color w:val="000000"/>
        </w:rPr>
        <w:t>“</w:t>
      </w:r>
      <w:r>
        <w:rPr>
          <w:rFonts w:ascii="Times New Roman" w:hAnsi="Times New Roman"/>
          <w:b/>
          <w:i/>
          <w:color w:val="000000"/>
          <w:sz w:val="24"/>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and any successor Code, and related rules, regulations and interpretations.</w:t>
      </w:r>
    </w:p>
    <w:p>
      <w:pPr>
        <w:pStyle w:val="TextBody"/>
        <w:bidi w:val="0"/>
        <w:spacing w:before="240" w:after="283"/>
        <w:jc w:val="left"/>
        <w:rPr/>
      </w:pPr>
      <w:r>
        <w:rPr>
          <w:color w:val="000000"/>
        </w:rPr>
        <w:t>“</w:t>
      </w:r>
      <w:r>
        <w:rPr>
          <w:rFonts w:ascii="Times New Roman" w:hAnsi="Times New Roman"/>
          <w:b/>
          <w:i/>
          <w:color w:val="000000"/>
          <w:sz w:val="24"/>
        </w:rPr>
        <w:t>Consultant</w:t>
      </w:r>
      <w:r>
        <w:rPr>
          <w:rFonts w:ascii="Times New Roman" w:hAnsi="Times New Roman"/>
          <w:color w:val="000000"/>
          <w:sz w:val="20"/>
        </w:rPr>
        <w:t xml:space="preserve">” </w:t>
      </w:r>
      <w:r>
        <w:rPr>
          <w:rFonts w:ascii="Times New Roman" w:hAnsi="Times New Roman"/>
          <w:color w:val="000000"/>
          <w:sz w:val="24"/>
        </w:rPr>
        <w:t xml:space="preserve">means a consultant or adviser who provides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services to the Company or an Affiliate as an independent contractor and who qualifies as a consultant or advisor under Instruction A.1.(a)(1) of Form S-8 under the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4"/>
        </w:rPr>
        <w:t>Dividend Equivalent Right</w:t>
      </w:r>
      <w:r>
        <w:rPr>
          <w:rFonts w:ascii="Times New Roman" w:hAnsi="Times New Roman"/>
          <w:color w:val="000000"/>
          <w:sz w:val="20"/>
        </w:rPr>
        <w:t xml:space="preserve">” </w:t>
      </w:r>
      <w:r>
        <w:rPr>
          <w:rFonts w:ascii="Times New Roman" w:hAnsi="Times New Roman"/>
          <w:color w:val="000000"/>
          <w:sz w:val="24"/>
        </w:rPr>
        <w:t>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pStyle w:val="TextBody"/>
        <w:bidi w:val="0"/>
        <w:spacing w:before="240" w:after="283"/>
        <w:jc w:val="left"/>
        <w:rPr/>
      </w:pPr>
      <w:r>
        <w:rPr>
          <w:color w:val="000000"/>
        </w:rPr>
        <w:t>“</w:t>
      </w:r>
      <w:r>
        <w:rPr>
          <w:rFonts w:ascii="Times New Roman" w:hAnsi="Times New Roman"/>
          <w:b/>
          <w:i/>
          <w:color w:val="000000"/>
          <w:sz w:val="24"/>
        </w:rPr>
        <w:t>Effective Date</w:t>
      </w:r>
      <w:r>
        <w:rPr>
          <w:rFonts w:ascii="Times New Roman" w:hAnsi="Times New Roman"/>
          <w:color w:val="000000"/>
          <w:sz w:val="20"/>
        </w:rPr>
        <w:t xml:space="preserve">” </w:t>
      </w:r>
      <w:r>
        <w:rPr>
          <w:rFonts w:ascii="Times New Roman" w:hAnsi="Times New Roman"/>
          <w:color w:val="000000"/>
          <w:sz w:val="24"/>
        </w:rPr>
        <w:t>means the date on which the Plan becomes effective as set forth in Section 19.</w:t>
      </w:r>
    </w:p>
    <w:p>
      <w:pPr>
        <w:pStyle w:val="TextBody"/>
        <w:bidi w:val="0"/>
        <w:spacing w:before="240" w:after="283"/>
        <w:jc w:val="left"/>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thereunder.</w:t>
      </w:r>
    </w:p>
    <w:p>
      <w:pPr>
        <w:pStyle w:val="TextBody"/>
        <w:bidi w:val="0"/>
        <w:spacing w:before="240" w:after="283"/>
        <w:jc w:val="left"/>
        <w:rPr/>
      </w:pPr>
      <w:r>
        <w:rPr>
          <w:color w:val="000000"/>
        </w:rPr>
        <w:t>“</w:t>
      </w:r>
      <w:r>
        <w:rPr>
          <w:rFonts w:ascii="Times New Roman" w:hAnsi="Times New Roman"/>
          <w:b/>
          <w:i/>
          <w:color w:val="000000"/>
          <w:sz w:val="24"/>
        </w:rPr>
        <w:t>Fair Market Value</w:t>
      </w:r>
      <w:r>
        <w:rPr>
          <w:rFonts w:ascii="Times New Roman" w:hAnsi="Times New Roman"/>
          <w:color w:val="000000"/>
          <w:sz w:val="20"/>
        </w:rPr>
        <w:t xml:space="preserve">” </w:t>
      </w:r>
      <w:r>
        <w:rPr>
          <w:rFonts w:ascii="Times New Roman" w:hAnsi="Times New Roman"/>
          <w:color w:val="000000"/>
          <w:sz w:val="24"/>
        </w:rPr>
        <w:t xml:space="preserve">of the Stock on any given date means the fair market value of the Stock determined in good faith by the Administrator;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Stock is listed on the National Association of Securities Dealers Automated Quotation System (“</w:t>
      </w:r>
      <w:r>
        <w:rPr>
          <w:rFonts w:ascii="Times New Roman" w:hAnsi="Times New Roman"/>
          <w:b/>
          <w:i/>
          <w:color w:val="000000"/>
          <w:sz w:val="24"/>
        </w:rPr>
        <w:t>NASDAQ</w:t>
      </w:r>
      <w:r>
        <w:rPr>
          <w:rFonts w:ascii="Times New Roman" w:hAnsi="Times New Roman"/>
          <w:color w:val="000000"/>
          <w:sz w:val="20"/>
        </w:rPr>
        <w:t>”</w:t>
      </w:r>
      <w:r>
        <w:rPr>
          <w:rFonts w:ascii="Times New Roman" w:hAnsi="Times New Roman"/>
          <w:color w:val="000000"/>
          <w:sz w:val="24"/>
        </w:rPr>
        <w:t>), the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pStyle w:val="TextBody"/>
        <w:bidi w:val="0"/>
        <w:spacing w:before="240" w:after="283"/>
        <w:jc w:val="left"/>
        <w:rPr/>
      </w:pPr>
      <w:r>
        <w:rPr>
          <w:color w:val="000000"/>
        </w:rPr>
        <w:t>“</w:t>
      </w:r>
      <w:r>
        <w:rPr>
          <w:rFonts w:ascii="Times New Roman" w:hAnsi="Times New Roman"/>
          <w:b/>
          <w:i/>
          <w:color w:val="000000"/>
          <w:sz w:val="24"/>
        </w:rPr>
        <w:t>Good Reason</w:t>
      </w:r>
      <w:r>
        <w:rPr>
          <w:rFonts w:ascii="Times New Roman" w:hAnsi="Times New Roman"/>
          <w:color w:val="000000"/>
          <w:sz w:val="20"/>
        </w:rPr>
        <w:t xml:space="preserve">” </w:t>
      </w:r>
      <w:r>
        <w:rPr>
          <w:rFonts w:ascii="Times New Roman" w:hAnsi="Times New Roman"/>
          <w:color w:val="000000"/>
          <w:sz w:val="24"/>
        </w:rPr>
        <w:t>means (i) a material diminution in a grantee’s base salary except for across-the-board salary reductions similarly affecting all or substantially all similarly situated employees of the Company or an Affiliate or (ii) a change by the Company of more than 50 miles in the geographic location at which a grantee provides services to the Company or an Affiliate, so long as the grantee provides notice to the Company or the Affiliate within 90 days following the initial occurrence of any such event and the Company or the Affiliate fails to cure such event within 30 days of such notice (the “</w:t>
      </w:r>
      <w:r>
        <w:rPr>
          <w:rFonts w:ascii="Times New Roman" w:hAnsi="Times New Roman"/>
          <w:b/>
          <w:i/>
          <w:color w:val="000000"/>
          <w:sz w:val="24"/>
        </w:rPr>
        <w:t>Cure Period</w:t>
      </w:r>
      <w:r>
        <w:rPr>
          <w:rFonts w:ascii="Times New Roman" w:hAnsi="Times New Roman"/>
          <w:color w:val="000000"/>
          <w:sz w:val="20"/>
        </w:rPr>
        <w:t>”</w:t>
      </w:r>
      <w:r>
        <w:rPr>
          <w:rFonts w:ascii="Times New Roman" w:hAnsi="Times New Roman"/>
          <w:color w:val="000000"/>
          <w:sz w:val="24"/>
        </w:rPr>
        <w:t>) and the grantee terminates the grantee’s Service Relationship within 60 days after the end of the Cure Period.</w:t>
      </w:r>
    </w:p>
    <w:p>
      <w:pPr>
        <w:pStyle w:val="TextBody"/>
        <w:bidi w:val="0"/>
        <w:spacing w:before="240" w:after="283"/>
        <w:jc w:val="left"/>
        <w:rPr/>
      </w:pPr>
      <w:r>
        <w:rPr>
          <w:color w:val="000000"/>
        </w:rPr>
        <w:t>“</w:t>
      </w:r>
      <w:r>
        <w:rPr>
          <w:rFonts w:ascii="Times New Roman" w:hAnsi="Times New Roman"/>
          <w:b/>
          <w:i/>
          <w:color w:val="000000"/>
          <w:sz w:val="24"/>
        </w:rPr>
        <w:t>Incentive Stock Option</w:t>
      </w:r>
      <w:r>
        <w:rPr>
          <w:rFonts w:ascii="Times New Roman" w:hAnsi="Times New Roman"/>
          <w:color w:val="000000"/>
          <w:sz w:val="20"/>
        </w:rPr>
        <w:t xml:space="preserve">” </w:t>
      </w:r>
      <w:r>
        <w:rPr>
          <w:rFonts w:ascii="Times New Roman" w:hAnsi="Times New Roman"/>
          <w:color w:val="000000"/>
          <w:sz w:val="24"/>
        </w:rPr>
        <w:t>means any Stock Option designated and qualified as an “incentive stock option” as defined in Section 422 of the Code.</w:t>
      </w:r>
    </w:p>
    <w:p>
      <w:pPr>
        <w:pStyle w:val="TextBody"/>
        <w:bidi w:val="0"/>
        <w:spacing w:before="240" w:after="283"/>
        <w:jc w:val="left"/>
        <w:rPr/>
      </w:pPr>
      <w:r>
        <w:rPr>
          <w:color w:val="000000"/>
        </w:rPr>
        <w:t>“</w:t>
      </w:r>
      <w:r>
        <w:rPr>
          <w:rFonts w:ascii="Times New Roman" w:hAnsi="Times New Roman"/>
          <w:b/>
          <w:i/>
          <w:color w:val="000000"/>
          <w:sz w:val="24"/>
        </w:rPr>
        <w:t>Non-Employee Director</w:t>
      </w:r>
      <w:r>
        <w:rPr>
          <w:rFonts w:ascii="Times New Roman" w:hAnsi="Times New Roman"/>
          <w:color w:val="000000"/>
          <w:sz w:val="20"/>
        </w:rPr>
        <w:t xml:space="preserve">” </w:t>
      </w:r>
      <w:r>
        <w:rPr>
          <w:rFonts w:ascii="Times New Roman" w:hAnsi="Times New Roman"/>
          <w:color w:val="000000"/>
          <w:sz w:val="24"/>
        </w:rPr>
        <w:t>means a member of the Board who is not also an employee of the Company or any Subsidiary.</w:t>
      </w:r>
    </w:p>
    <w:p>
      <w:pPr>
        <w:pStyle w:val="TextBody"/>
        <w:bidi w:val="0"/>
        <w:spacing w:before="240" w:after="283"/>
        <w:jc w:val="left"/>
        <w:rPr/>
      </w:pPr>
      <w:r>
        <w:rPr>
          <w:color w:val="000000"/>
        </w:rPr>
        <w:t>“</w:t>
      </w:r>
      <w:r>
        <w:rPr>
          <w:rFonts w:ascii="Times New Roman" w:hAnsi="Times New Roman"/>
          <w:b/>
          <w:i/>
          <w:color w:val="000000"/>
          <w:sz w:val="24"/>
        </w:rPr>
        <w:t>Non-Qualified Stock Option</w:t>
      </w:r>
      <w:r>
        <w:rPr>
          <w:rFonts w:ascii="Times New Roman" w:hAnsi="Times New Roman"/>
          <w:color w:val="000000"/>
          <w:sz w:val="20"/>
        </w:rPr>
        <w:t xml:space="preserve">” </w:t>
      </w:r>
      <w:r>
        <w:rPr>
          <w:rFonts w:ascii="Times New Roman" w:hAnsi="Times New Roman"/>
          <w:color w:val="000000"/>
          <w:sz w:val="24"/>
        </w:rPr>
        <w:t>means any Stock Option that is not an Incentive Stock Option.</w:t>
      </w:r>
    </w:p>
    <w:p>
      <w:pPr>
        <w:pStyle w:val="TextBody"/>
        <w:bidi w:val="0"/>
        <w:spacing w:before="240" w:after="283"/>
        <w:jc w:val="left"/>
        <w:rPr/>
      </w:pPr>
      <w:r>
        <w:rPr>
          <w:color w:val="000000"/>
        </w:rPr>
        <w:t>“</w:t>
      </w:r>
      <w:r>
        <w:rPr>
          <w:rFonts w:ascii="Times New Roman" w:hAnsi="Times New Roman"/>
          <w:b/>
          <w:i/>
          <w:color w:val="000000"/>
          <w:sz w:val="24"/>
        </w:rPr>
        <w:t>Option</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i/>
          <w:color w:val="000000"/>
          <w:sz w:val="24"/>
        </w:rPr>
        <w:t>Stock Option</w:t>
      </w:r>
      <w:r>
        <w:rPr>
          <w:rFonts w:ascii="Times New Roman" w:hAnsi="Times New Roman"/>
          <w:color w:val="000000"/>
          <w:sz w:val="20"/>
        </w:rPr>
        <w:t xml:space="preserve">” </w:t>
      </w:r>
      <w:r>
        <w:rPr>
          <w:rFonts w:ascii="Times New Roman" w:hAnsi="Times New Roman"/>
          <w:color w:val="000000"/>
          <w:sz w:val="24"/>
        </w:rPr>
        <w:t>means any option to purchase shares of Stock.</w:t>
      </w:r>
    </w:p>
    <w:p>
      <w:pPr>
        <w:pStyle w:val="TextBody"/>
        <w:bidi w:val="0"/>
        <w:spacing w:before="240" w:after="283"/>
        <w:jc w:val="left"/>
        <w:rPr/>
      </w:pPr>
      <w:r>
        <w:rPr>
          <w:color w:val="000000"/>
        </w:rPr>
        <w:t>“</w:t>
      </w:r>
      <w:r>
        <w:rPr>
          <w:rFonts w:ascii="Times New Roman" w:hAnsi="Times New Roman"/>
          <w:b/>
          <w:i/>
          <w:color w:val="000000"/>
          <w:sz w:val="24"/>
        </w:rPr>
        <w:t>Prior Plans</w:t>
      </w:r>
      <w:r>
        <w:rPr>
          <w:rFonts w:ascii="Times New Roman" w:hAnsi="Times New Roman"/>
          <w:color w:val="000000"/>
          <w:sz w:val="20"/>
        </w:rPr>
        <w:t xml:space="preserve">” </w:t>
      </w:r>
      <w:r>
        <w:rPr>
          <w:rFonts w:ascii="Times New Roman" w:hAnsi="Times New Roman"/>
          <w:color w:val="000000"/>
          <w:sz w:val="24"/>
        </w:rPr>
        <w:t>means the HubSpot, Inc. 2014 Stock Option and Incentive Plan, as amended from time to time, and the HubSpot, Inc. 2007 Equity Incentive Plan.</w:t>
      </w:r>
    </w:p>
    <w:p>
      <w:pPr>
        <w:pStyle w:val="TextBody"/>
        <w:bidi w:val="0"/>
        <w:spacing w:before="240" w:after="283"/>
        <w:jc w:val="left"/>
        <w:rPr/>
      </w:pPr>
      <w:r>
        <w:rPr>
          <w:color w:val="000000"/>
        </w:rPr>
        <w:t>“</w:t>
      </w:r>
      <w:r>
        <w:rPr>
          <w:rFonts w:ascii="Times New Roman" w:hAnsi="Times New Roman"/>
          <w:b/>
          <w:i/>
          <w:color w:val="000000"/>
          <w:sz w:val="24"/>
        </w:rPr>
        <w:t>Restricted Shares</w:t>
      </w:r>
      <w:r>
        <w:rPr>
          <w:rFonts w:ascii="Times New Roman" w:hAnsi="Times New Roman"/>
          <w:color w:val="000000"/>
          <w:sz w:val="20"/>
        </w:rPr>
        <w:t xml:space="preserve">” </w:t>
      </w:r>
      <w:r>
        <w:rPr>
          <w:rFonts w:ascii="Times New Roman" w:hAnsi="Times New Roman"/>
          <w:color w:val="000000"/>
          <w:sz w:val="24"/>
        </w:rPr>
        <w:t>means the shares of Stock underlying a Restricted Stock Award that remain subject to a risk of forfeiture or the Company’s right of repurchase.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pPr>
      <w:r>
        <w:rPr>
          <w:color w:val="000000"/>
        </w:rPr>
        <w:t>“</w:t>
      </w:r>
      <w:r>
        <w:rPr>
          <w:rFonts w:ascii="Times New Roman" w:hAnsi="Times New Roman"/>
          <w:b/>
          <w:i/>
          <w:color w:val="000000"/>
          <w:sz w:val="24"/>
        </w:rPr>
        <w:t>Restricted Stock Award</w:t>
      </w:r>
      <w:r>
        <w:rPr>
          <w:rFonts w:ascii="Times New Roman" w:hAnsi="Times New Roman"/>
          <w:color w:val="000000"/>
          <w:sz w:val="20"/>
        </w:rPr>
        <w:t xml:space="preserve">” </w:t>
      </w:r>
      <w:r>
        <w:rPr>
          <w:rFonts w:ascii="Times New Roman" w:hAnsi="Times New Roman"/>
          <w:color w:val="000000"/>
          <w:sz w:val="24"/>
        </w:rPr>
        <w:t>means an Award of Restricted Shares.</w:t>
      </w:r>
    </w:p>
    <w:p>
      <w:pPr>
        <w:pStyle w:val="TextBody"/>
        <w:bidi w:val="0"/>
        <w:spacing w:before="240" w:after="283"/>
        <w:jc w:val="left"/>
        <w:rPr/>
      </w:pPr>
      <w:r>
        <w:rPr>
          <w:color w:val="000000"/>
        </w:rPr>
        <w:t>“</w:t>
      </w:r>
      <w:r>
        <w:rPr>
          <w:rFonts w:ascii="Times New Roman" w:hAnsi="Times New Roman"/>
          <w:b/>
          <w:i/>
          <w:color w:val="000000"/>
          <w:sz w:val="24"/>
        </w:rPr>
        <w:t>Restricted Stock Units</w:t>
      </w:r>
      <w:r>
        <w:rPr>
          <w:rFonts w:ascii="Times New Roman" w:hAnsi="Times New Roman"/>
          <w:color w:val="000000"/>
          <w:sz w:val="20"/>
        </w:rPr>
        <w:t xml:space="preserve">” </w:t>
      </w:r>
      <w:r>
        <w:rPr>
          <w:rFonts w:ascii="Times New Roman" w:hAnsi="Times New Roman"/>
          <w:color w:val="000000"/>
          <w:sz w:val="24"/>
        </w:rPr>
        <w:t>means an Award of stock units.</w:t>
      </w:r>
    </w:p>
    <w:p>
      <w:pPr>
        <w:pStyle w:val="TextBody"/>
        <w:bidi w:val="0"/>
        <w:spacing w:before="240" w:after="283"/>
        <w:jc w:val="left"/>
        <w:rPr/>
      </w:pPr>
      <w:r>
        <w:rPr>
          <w:color w:val="000000"/>
        </w:rPr>
        <w:t>“</w:t>
      </w:r>
      <w:r>
        <w:rPr>
          <w:rFonts w:ascii="Times New Roman" w:hAnsi="Times New Roman"/>
          <w:b/>
          <w:i/>
          <w:color w:val="000000"/>
          <w:sz w:val="24"/>
        </w:rPr>
        <w:t>Sale Event</w:t>
      </w:r>
      <w:r>
        <w:rPr>
          <w:rFonts w:ascii="Times New Roman" w:hAnsi="Times New Roman"/>
          <w:color w:val="000000"/>
          <w:sz w:val="20"/>
        </w:rPr>
        <w:t xml:space="preserve">” </w:t>
      </w:r>
      <w:r>
        <w:rPr>
          <w:rFonts w:ascii="Times New Roman" w:hAnsi="Times New Roman"/>
          <w:color w:val="000000"/>
          <w:sz w:val="24"/>
        </w:rPr>
        <w:t>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before="240" w:after="283"/>
        <w:jc w:val="left"/>
        <w:rPr/>
      </w:pPr>
      <w:r>
        <w:rPr>
          <w:color w:val="000000"/>
        </w:rPr>
        <w:t>“</w:t>
      </w:r>
      <w:r>
        <w:rPr>
          <w:rFonts w:ascii="Times New Roman" w:hAnsi="Times New Roman"/>
          <w:b/>
          <w:i/>
          <w:color w:val="000000"/>
          <w:sz w:val="24"/>
        </w:rPr>
        <w:t>Sale Price</w:t>
      </w:r>
      <w:r>
        <w:rPr>
          <w:rFonts w:ascii="Times New Roman" w:hAnsi="Times New Roman"/>
          <w:color w:val="000000"/>
          <w:sz w:val="20"/>
        </w:rPr>
        <w:t xml:space="preserve">” </w:t>
      </w:r>
      <w:r>
        <w:rPr>
          <w:rFonts w:ascii="Times New Roman" w:hAnsi="Times New Roman"/>
          <w:color w:val="000000"/>
          <w:sz w:val="24"/>
        </w:rPr>
        <w:t>means the value as determined by the Administrator of the consideration payable, or otherwise to be received by stockholders, per share of Stock pursuant to a Sale Event.</w:t>
      </w:r>
    </w:p>
    <w:p>
      <w:pPr>
        <w:pStyle w:val="TextBody"/>
        <w:bidi w:val="0"/>
        <w:spacing w:before="240" w:after="283"/>
        <w:jc w:val="left"/>
        <w:rPr/>
      </w:pPr>
      <w:r>
        <w:rPr>
          <w:color w:val="000000"/>
        </w:rPr>
        <w:t>“</w:t>
      </w:r>
      <w:r>
        <w:rPr>
          <w:rFonts w:ascii="Times New Roman" w:hAnsi="Times New Roman"/>
          <w:b/>
          <w:i/>
          <w:color w:val="000000"/>
          <w:sz w:val="24"/>
        </w:rPr>
        <w:t>Section 409A</w:t>
      </w:r>
      <w:r>
        <w:rPr>
          <w:rFonts w:ascii="Times New Roman" w:hAnsi="Times New Roman"/>
          <w:color w:val="000000"/>
          <w:sz w:val="20"/>
        </w:rPr>
        <w:t xml:space="preserve">” </w:t>
      </w:r>
      <w:r>
        <w:rPr>
          <w:rFonts w:ascii="Times New Roman" w:hAnsi="Times New Roman"/>
          <w:color w:val="000000"/>
          <w:sz w:val="24"/>
        </w:rPr>
        <w:t>means Section 409A of the Code and the regulations and other guidance promulgated thereunder.</w:t>
      </w:r>
    </w:p>
    <w:p>
      <w:pPr>
        <w:pStyle w:val="TextBody"/>
        <w:bidi w:val="0"/>
        <w:spacing w:before="240" w:after="283"/>
        <w:jc w:val="left"/>
        <w:rPr/>
      </w:pPr>
      <w:r>
        <w:rPr>
          <w:color w:val="000000"/>
        </w:rPr>
        <w:t>“</w:t>
      </w:r>
      <w:r>
        <w:rPr>
          <w:rFonts w:ascii="Times New Roman" w:hAnsi="Times New Roman"/>
          <w:b/>
          <w:i/>
          <w:color w:val="000000"/>
          <w:sz w:val="24"/>
        </w:rPr>
        <w:t>Service Relationship</w:t>
      </w:r>
      <w:r>
        <w:rPr>
          <w:rFonts w:ascii="Times New Roman" w:hAnsi="Times New Roman"/>
          <w:color w:val="000000"/>
          <w:sz w:val="20"/>
        </w:rPr>
        <w:t xml:space="preserve">” </w:t>
      </w:r>
      <w:r>
        <w:rPr>
          <w:rFonts w:ascii="Times New Roman" w:hAnsi="Times New Roman"/>
          <w:color w:val="000000"/>
          <w:sz w:val="24"/>
        </w:rPr>
        <w:t>means any relationship as an officer, employee, director or Consultant of the Company or any Affiliate (e.g., a Service Relationship shall be deemed to continue without interruption in the event an individual’s status changes from full-time employee to part-time employee or Consultant or vice versa).</w:t>
      </w:r>
    </w:p>
    <w:p>
      <w:pPr>
        <w:pStyle w:val="TextBody"/>
        <w:bidi w:val="0"/>
        <w:spacing w:before="240" w:after="283"/>
        <w:jc w:val="left"/>
        <w:rPr/>
      </w:pPr>
      <w:r>
        <w:rPr>
          <w:color w:val="000000"/>
        </w:rPr>
        <w:t>“</w:t>
      </w:r>
      <w:r>
        <w:rPr>
          <w:rFonts w:ascii="Times New Roman" w:hAnsi="Times New Roman"/>
          <w:b/>
          <w:i/>
          <w:color w:val="000000"/>
          <w:sz w:val="24"/>
        </w:rPr>
        <w:t>Stock</w:t>
      </w:r>
      <w:r>
        <w:rPr>
          <w:rFonts w:ascii="Times New Roman" w:hAnsi="Times New Roman"/>
          <w:color w:val="000000"/>
          <w:sz w:val="20"/>
        </w:rPr>
        <w:t xml:space="preserve">” </w:t>
      </w:r>
      <w:r>
        <w:rPr>
          <w:rFonts w:ascii="Times New Roman" w:hAnsi="Times New Roman"/>
          <w:color w:val="000000"/>
          <w:sz w:val="24"/>
        </w:rPr>
        <w:t>means the Common Stock, par value $0.001 per share, of the Company, subject to adjustments pursuant to Section 3.</w:t>
      </w:r>
    </w:p>
    <w:p>
      <w:pPr>
        <w:pStyle w:val="TextBody"/>
        <w:bidi w:val="0"/>
        <w:spacing w:before="240" w:after="283"/>
        <w:jc w:val="left"/>
        <w:rPr/>
      </w:pPr>
      <w:r>
        <w:rPr>
          <w:color w:val="000000"/>
        </w:rPr>
        <w:t>“</w:t>
      </w:r>
      <w:r>
        <w:rPr>
          <w:rFonts w:ascii="Times New Roman" w:hAnsi="Times New Roman"/>
          <w:b/>
          <w:i/>
          <w:color w:val="000000"/>
          <w:sz w:val="24"/>
        </w:rPr>
        <w:t>Stock Appreciation Right</w:t>
      </w:r>
      <w:r>
        <w:rPr>
          <w:rFonts w:ascii="Times New Roman" w:hAnsi="Times New Roman"/>
          <w:color w:val="000000"/>
          <w:sz w:val="20"/>
        </w:rPr>
        <w:t xml:space="preserve">” </w:t>
      </w:r>
      <w:r>
        <w:rPr>
          <w:rFonts w:ascii="Times New Roman" w:hAnsi="Times New Roman"/>
          <w:color w:val="000000"/>
          <w:sz w:val="24"/>
        </w:rPr>
        <w:t>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is exercised.</w:t>
      </w:r>
    </w:p>
    <w:p>
      <w:pPr>
        <w:pStyle w:val="TextBody"/>
        <w:bidi w:val="0"/>
        <w:spacing w:before="240" w:after="283"/>
        <w:jc w:val="left"/>
        <w:rPr/>
      </w:pPr>
      <w:r>
        <w:rPr>
          <w:color w:val="000000"/>
        </w:rPr>
        <w:t>“</w:t>
      </w:r>
      <w:r>
        <w:rPr>
          <w:rFonts w:ascii="Times New Roman" w:hAnsi="Times New Roman"/>
          <w:b/>
          <w:i/>
          <w:color w:val="000000"/>
          <w:sz w:val="24"/>
        </w:rPr>
        <w:t>Subsidiary</w:t>
      </w:r>
      <w:r>
        <w:rPr>
          <w:rFonts w:ascii="Times New Roman" w:hAnsi="Times New Roman"/>
          <w:color w:val="000000"/>
          <w:sz w:val="20"/>
        </w:rPr>
        <w:t xml:space="preserve">” </w:t>
      </w:r>
      <w:r>
        <w:rPr>
          <w:rFonts w:ascii="Times New Roman" w:hAnsi="Times New Roman"/>
          <w:color w:val="000000"/>
          <w:sz w:val="24"/>
        </w:rPr>
        <w:t>means any corporation or other entity (other than the Company) in which the Company has at least a 50 percent interest, either directly or indirectly.</w:t>
      </w:r>
    </w:p>
    <w:p>
      <w:pPr>
        <w:pStyle w:val="TextBody"/>
        <w:bidi w:val="0"/>
        <w:spacing w:before="240" w:after="283"/>
        <w:jc w:val="left"/>
        <w:rPr/>
      </w:pPr>
      <w:r>
        <w:rPr>
          <w:color w:val="000000"/>
        </w:rPr>
        <w:t>“</w:t>
      </w:r>
      <w:r>
        <w:rPr>
          <w:rFonts w:ascii="Times New Roman" w:hAnsi="Times New Roman"/>
          <w:b/>
          <w:i/>
          <w:color w:val="000000"/>
          <w:sz w:val="24"/>
        </w:rPr>
        <w:t>Substitute Awards</w:t>
      </w:r>
      <w:r>
        <w:rPr>
          <w:rFonts w:ascii="Times New Roman" w:hAnsi="Times New Roman"/>
          <w:color w:val="000000"/>
          <w:sz w:val="20"/>
        </w:rPr>
        <w:t xml:space="preserve">” </w:t>
      </w:r>
      <w:r>
        <w:rPr>
          <w:rFonts w:ascii="Times New Roman" w:hAnsi="Times New Roman"/>
          <w:color w:val="000000"/>
          <w:sz w:val="24"/>
        </w:rPr>
        <w:t>means Awards granted or Stock issued by the Company in assumption of, or in substitution or exchange for, awards previously granted, in each case by a company acquired by the Company or any Affiliate or with which the Company or any Affiliate combines.</w:t>
      </w:r>
    </w:p>
    <w:p>
      <w:pPr>
        <w:pStyle w:val="TextBody"/>
        <w:bidi w:val="0"/>
        <w:spacing w:before="240" w:after="283"/>
        <w:jc w:val="left"/>
        <w:rPr/>
      </w:pPr>
      <w:r>
        <w:rPr>
          <w:color w:val="000000"/>
        </w:rPr>
        <w:t>“</w:t>
      </w:r>
      <w:r>
        <w:rPr>
          <w:rFonts w:ascii="Times New Roman" w:hAnsi="Times New Roman"/>
          <w:b/>
          <w:i/>
          <w:color w:val="000000"/>
          <w:sz w:val="24"/>
        </w:rPr>
        <w:t>Ten Percent Owner</w:t>
      </w:r>
      <w:r>
        <w:rPr>
          <w:rFonts w:ascii="Times New Roman" w:hAnsi="Times New Roman"/>
          <w:color w:val="000000"/>
          <w:sz w:val="20"/>
        </w:rPr>
        <w:t xml:space="preserve">” </w:t>
      </w:r>
      <w:r>
        <w:rPr>
          <w:rFonts w:ascii="Times New Roman" w:hAnsi="Times New Roman"/>
          <w:color w:val="000000"/>
          <w:sz w:val="24"/>
        </w:rPr>
        <w:t>means an employee of the Company or any Subsidiary that is a “subsidiary corporation” within the meaning of Section 424(f) of the Code who owns or is deemed to own (by reason of the attribution rules of Section 424(d) of the Code) more than 10 percent of the combined voting power of all classes of stock of the Company or any parent or subsidiary corporation.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i/>
          <w:color w:val="000000"/>
          <w:sz w:val="24"/>
        </w:rPr>
        <w:t>Unrestricted Stock Award</w:t>
      </w:r>
      <w:r>
        <w:rPr>
          <w:rFonts w:ascii="Times New Roman" w:hAnsi="Times New Roman"/>
          <w:color w:val="000000"/>
          <w:sz w:val="20"/>
        </w:rPr>
        <w:t xml:space="preserve">” </w:t>
      </w:r>
      <w:r>
        <w:rPr>
          <w:rFonts w:ascii="Times New Roman" w:hAnsi="Times New Roman"/>
          <w:color w:val="000000"/>
          <w:sz w:val="24"/>
        </w:rPr>
        <w:t>means an Award of shares of Stock free of any restrictions.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2.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ADMINISTRATION OF PLAN; ADMINISTRATOR AUTHORITY TO SELECT GRANTEES AND DETERMINE AWARDS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Administration of Plan</w:t>
      </w:r>
      <w:r>
        <w:rPr>
          <w:rFonts w:ascii="Times New Roman" w:hAnsi="Times New Roman"/>
          <w:color w:val="000000"/>
          <w:sz w:val="24"/>
        </w:rPr>
        <w:t>. The Plan shall be administered by the Administrator.</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Powers of Administrator</w:t>
      </w:r>
      <w:r>
        <w:rPr>
          <w:rFonts w:ascii="Times New Roman" w:hAnsi="Times New Roman"/>
          <w:color w:val="000000"/>
          <w:sz w:val="24"/>
        </w:rPr>
        <w:t>. The Administrator shall have the power and authority to grant Awards consistent with the terms of the Plan, including the power and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select the individuals to whom Awards may from time to time be granted;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the number of shares of Stock or, in the case of a Cash-Based Award, the amount of cash, to be covered by any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and, subject to Section 16,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accelerate at any time the exercisability or vesting of all or any portion of any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the provisions of Section 5(c) or Section 6(d), as applicable, to extend at any time the period in which Stock Options and Stock Appreciation Rights may be exercised;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at any time to adopt, alter and repeal such rules, guidelines and practices for administration of the Plan and for its own acts and proceedings as it deems advisable;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interpret the terms and provisions of the Plan and any Award (including related written instruments);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make all determinations it deems advisable for the administration of the Plan; to decide all disputes arising in connection with the Plan;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otherwise supervise the administration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decisions and interpretations of the Administrator shall be binding on all persons, including the Company and Plan grantees.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Delegation of Authority to Grant Awards</w:t>
      </w:r>
      <w:r>
        <w:rPr>
          <w:rFonts w:ascii="Times New Roman" w:hAnsi="Times New Roman"/>
          <w:color w:val="000000"/>
          <w:sz w:val="24"/>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Award Certificate</w:t>
      </w:r>
      <w:r>
        <w:rPr>
          <w:rFonts w:ascii="Times New Roman" w:hAnsi="Times New Roman"/>
          <w:color w:val="000000"/>
          <w:sz w:val="24"/>
        </w:rPr>
        <w:t>. Other than with respect to Cash-Based Awards,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4"/>
          <w:u w:val="single"/>
        </w:rPr>
        <w:t>Indemnification</w:t>
      </w:r>
      <w:r>
        <w:rPr>
          <w:rFonts w:ascii="Times New Roman" w:hAnsi="Times New Roman"/>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left"/>
        <w:rPr/>
      </w:pPr>
      <w:r>
        <w:rPr>
          <w:rFonts w:ascii="Times New Roman" w:hAnsi="Times New Roman"/>
          <w:color w:val="000000"/>
          <w:sz w:val="24"/>
          <w:u w:val="single"/>
        </w:rPr>
        <w:t>Non-U.S. Award Recipients</w:t>
      </w:r>
      <w:r>
        <w:rPr>
          <w:rFonts w:ascii="Times New Roman" w:hAnsi="Times New Roman"/>
          <w:color w:val="000000"/>
          <w:sz w:val="24"/>
        </w:rPr>
        <w:t xml:space="preserve">.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non-U.S. laws; (iv) establish subplans and modify exercise procedures and other terms and procedures, to the extent the Administrator determines such actions to be necessary or advisable (and such subplans and/or modifications shall be attached to this Plan as appendices);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subplans and/or modifications shall increase the share limitations contained in Section 3(a) hereof; and (v) take any action, before or after</w:t>
      </w:r>
      <w:r>
        <w:rPr>
          <w:color w:val="000000"/>
        </w:rPr>
        <w:t xml:space="preserve"> </w:t>
      </w:r>
      <w:r>
        <w:rPr>
          <w:rFonts w:ascii="Times New Roman" w:hAnsi="Times New Roman"/>
          <w:color w:val="000000"/>
          <w:sz w:val="24"/>
        </w:rPr>
        <w:t>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3.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ISSUABLE UNDER THE PLAN; MERGERS; SUBSTITUTION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Stock Issuable</w:t>
      </w:r>
      <w:r>
        <w:rPr>
          <w:rFonts w:ascii="Times New Roman" w:hAnsi="Times New Roman"/>
          <w:color w:val="000000"/>
          <w:sz w:val="24"/>
        </w:rPr>
        <w:t xml:space="preserve">. Subject to adjustment as provided in this Section 3, the maximum number of shares of Stock reserved and available for issuance under the Plan shall be 3,950,000 shares less one share for every one share of Stock subject to an award granted under the Prior Plans after April 1, 2024. For purposes of this limitation, the shares of Stock underlying any awards under the Plan and under the Prior Plans that are forfeited, canceled, cash-settled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Shares of Stock tendered or held back to cover tax withholding with respect to an Award other than an Option or Stock Appreciation Right or, after April 1, 2024, an award other than an option or stock appreciation right under the Prior Plans shall be added to the shares available for Awards under the Plan. Notwithstanding the foregoing, the following shares shall not be added to the shares authorized for grant under the Plan: (i) shares tendered or held back upon exercise of an Option or settlement of an Option or Stock Appreciation Right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3,950,000 shares of the Stock may be issued in the form of Incentive Stock Options. The shares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issuance under the Plan may be authorized but unissued shares of Stock, treasury Stock or shares of Stock reacquired by the Company. Upon effectiveness of the Plan, no new awards shall be granted under the Prior Plans.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Substitute Awards</w:t>
      </w:r>
      <w:r>
        <w:rPr>
          <w:rFonts w:ascii="Times New Roman" w:hAnsi="Times New Roman"/>
          <w:color w:val="000000"/>
          <w:sz w:val="24"/>
        </w:rPr>
        <w:t xml:space="preserve">.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3(a) above);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Changes in Stock</w:t>
      </w:r>
      <w:r>
        <w:rPr>
          <w:rFonts w:ascii="Times New Roman" w:hAnsi="Times New Roman"/>
          <w:color w:val="000000"/>
          <w:sz w:val="24"/>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Mergers and Other Transactions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the extent the parties to such Sale Event do not provide for the assumption, continuation or substitution of Awards, upon the effective time of the Sale Event, the Plan and all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Awards granted hereunder shall terminate. In such case, except as may be otherwise provided in the relevant Award Certificate, all Awards shall become fully vested and nonforfeitable as of the effective time of the Sale Event (with performance-based Awards being deemed earned at the greater of the target level of performance or actual performance). In the event of a termination of outstanding Awards granted under the Plan upon a Sale Event,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the parties to a Sale Event provide for the assumption, continuation or substitution of Awards, except as may be otherwise provided in the relevant Award Certificate, each such assumed, continued or substituted Award shall become immediately vested and exercisable or nonforfeitable (with performance-based Awards being deemed earned at the greater of the target level of performance or actual performance) upon the termination of a grantee’s Service Relationship if such termination occurs (a) within 12 months after such Sale Event or 90 days prior to such Sale Event, and (b) such termination is by the Company or any Subsidiary or successor entity without Cause or by the grantee for Good Reason. For the avoidance of doubt, upon the termination of a grantee’s Service Relationship without Cause or for Good Reason prior to the consummation of a Sale Event (1) all then unvested shares of Stock underlying Awards held by the grantee as of the date of termination will remain outstanding for a period of 90 days thereafter and remain eligible to become vested upon the consummation of such Sale Event during such period and (2) on the 90th day following such termination of employment without Cause or for Good Reason (to the extent such shares of Stock do not become vested in accordance with the terms set forth in this Section 3(d) prior to such date), all then-unvested shares of Stock underlying Awards held by such grantee will automatically and without further action be canceled and forfeited.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4"/>
          <w:u w:val="single"/>
        </w:rPr>
        <w:t>Maximum Awards to Non-Employee Directors</w:t>
      </w:r>
      <w:r>
        <w:rPr>
          <w:rFonts w:ascii="Times New Roman" w:hAnsi="Times New Roman"/>
          <w:color w:val="000000"/>
          <w:sz w:val="24"/>
        </w:rPr>
        <w:t>. Notwithstanding anything to the contrary in this Plan, the value of all Awards awarded under this Plan and all other cash compensation paid by the Company to any Non-Employee Director in any calendar year for services as a Non-Employee Director shall not exceed $1,000,000. For the purpose of these limitations, the value of any Award shall be its grant date fair value, as determined in accordance with FASB ASC 718 or successor provision but excluding the impact of estimated forfeitures related to service-based vesting provisions.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4.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ELIGIBILITY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Grantees under the Plan will be such officers, employees, Non-Employee Directors or Consultants of the Company and its Affiliates as are selected from time to time by the Administrator in its sole discretion;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Awards may not be granted to officers,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5.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OPTIONS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Award of Stock Options</w:t>
      </w:r>
      <w:r>
        <w:rPr>
          <w:rFonts w:ascii="Times New Roman" w:hAnsi="Times New Roman"/>
          <w:color w:val="000000"/>
          <w:sz w:val="24"/>
        </w:rPr>
        <w:t>. The Administrator may grant Stock Options under the Plan, subject to such restrictions and conditions as the Administrator may determine. Conditions may be based on continuing employment (or other Service Relationship) and/or achievement of pre-established performance goals and objectives. 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Stock Options shall be subject to the following terms and conditions and shall contain such additional terms and conditions, not inconsistent with the terms of the Plan, as the Administrator deems desirable. If the Administrator so determines, Stock Options may be granted in lieu of cash compensation at the grantee’s election, subject to such terms and conditions as the Administrator may establish.</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Exercise Price</w:t>
      </w:r>
      <w:r>
        <w:rPr>
          <w:rFonts w:ascii="Times New Roman" w:hAnsi="Times New Roman"/>
          <w:color w:val="000000"/>
          <w:sz w:val="24"/>
        </w:rPr>
        <w:t>. The exercise price per share for the Stock covered by a Stock Option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Option Term</w:t>
      </w:r>
      <w:r>
        <w:rPr>
          <w:rFonts w:ascii="Times New Roman" w:hAnsi="Times New Roman"/>
          <w:color w:val="000000"/>
          <w:sz w:val="24"/>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Notwithstanding the foregoing, to the extent permitted by Section 409A of the Code, in the event that on the last business day of the term of a Stock Option other than an Incentive Stock Option (x) the exercise of the Stock Option is prohibited by applicable law or (y) Stock may not be purchased or sold by the holder of such Stock Option due to the “black-out period” of a Company policy or a “lock-up” agreement undertaken in connection with an issuance of securities by the Company, the term of the Stock Option shall be extended to the date that is 30 days following the end of the legal prohibition, black-out period or lock-up agreement and provided further that no extension will be made if the exercise price of such Stock Option at the date the initial term would otherwise expire is equal to or in excess of the Fair Market Value of a share of Stock on such date.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Exercisability; Rights of a Stockholder</w:t>
      </w:r>
      <w:r>
        <w:rPr>
          <w:rFonts w:ascii="Times New Roman" w:hAnsi="Times New Roman"/>
          <w:color w:val="000000"/>
          <w:sz w:val="24"/>
        </w:rPr>
        <w:t>. Stock Options shall become exercisable at such time or times, whether or not in installments, as determined by the Administrator at or after the grant date. A grantee shall have the rights of a stockholder only as to shares acquired upon the exercise of a Stock Option and not as to unexercised Stock Options.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4"/>
          <w:u w:val="single"/>
        </w:rPr>
        <w:t>Method of Exercise</w:t>
      </w:r>
      <w:r>
        <w:rPr>
          <w:rFonts w:ascii="Times New Roman" w:hAnsi="Times New Roman"/>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cash, by certified or bank check or other instrument acceptable to the Administrator;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Through the delivery (or attestation to the ownership following such procedures as the Company may prescribe) of shares of Stock that are owned by the grantee and not then subject to restrictions under any Company plan. Such surrendered shares shall be valued at Fair Market Value on the exercise date;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in the event the grantee chooses to pay the purchase price as so provided, the grantee and the broker shall comply with such procedures and enter into such agreements of indemnity and other agreements as the Company prescribes as a condition of such payment procedure;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Payment instruments will be received subject to collection. The transfer to the grantee on the records of the Company or of the transfer agent of the shares of Stock to be purchased pursuant to the exercise of a Stock Option will be contingent upon receipt from the grantee (or a purchaser acting in the grantee’s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grantee). In the event a grantee chooses to pay the purchase price by previously-owned shares of Stock through the attestation method, the number of shares of Stock transferred to the grantee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left"/>
        <w:rPr/>
      </w:pPr>
      <w:r>
        <w:rPr>
          <w:rFonts w:ascii="Times New Roman" w:hAnsi="Times New Roman"/>
          <w:color w:val="000000"/>
          <w:sz w:val="24"/>
          <w:u w:val="single"/>
        </w:rPr>
        <w:t>Annual Limit on Incentive Stock Options</w:t>
      </w:r>
      <w:r>
        <w:rPr>
          <w:rFonts w:ascii="Times New Roman" w:hAnsi="Times New Roman"/>
          <w:color w:val="000000"/>
          <w:sz w:val="24"/>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 grantee during any calendar year shall not exceed $100,000. To the extent that any Stock Option exceeds this limit, it shall constitute a Non-Qualified Stock Option.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6.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APPRECIATION RIGHTS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Award of Stock Appreciation Rights</w:t>
      </w:r>
      <w:r>
        <w:rPr>
          <w:rFonts w:ascii="Times New Roman" w:hAnsi="Times New Roman"/>
          <w:color w:val="000000"/>
          <w:sz w:val="24"/>
        </w:rPr>
        <w:t>. The Administrator may grant Stock Appreciation Rights under the Plan, subject to such restrictions and conditions as the Administrator may determine. Conditions may be based on continuing employment (or other Service Relationship) and/or achievement of pre-established performance goals and objectives..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Exercise Price of Stock Appreciation Rights</w:t>
      </w:r>
      <w:r>
        <w:rPr>
          <w:rFonts w:ascii="Times New Roman" w:hAnsi="Times New Roman"/>
          <w:color w:val="000000"/>
          <w:sz w:val="24"/>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Grant and Exercise of Stock Appreciation Rights</w:t>
      </w:r>
      <w:r>
        <w:rPr>
          <w:rFonts w:ascii="Times New Roman" w:hAnsi="Times New Roman"/>
          <w:color w:val="000000"/>
          <w:sz w:val="24"/>
        </w:rPr>
        <w:t>. Stock Appreciation Rights may be granted by the Administrator independently of any Stock Option.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Terms and Conditions of Stock Appreciation Rights</w:t>
      </w:r>
      <w:r>
        <w:rPr>
          <w:rFonts w:ascii="Times New Roman" w:hAnsi="Times New Roman"/>
          <w:color w:val="000000"/>
          <w:sz w:val="24"/>
        </w:rPr>
        <w:t xml:space="preserve">. Stock Appreciation Rights shall be subject to such terms and conditions as shall be determined on or after the date of grant by the Administrator, and such terms and conditions may differ among individual Awards and grantees. The term of a Stock Appreciation Right may not exceed ten years. Notwithstanding the foregoing, to the extent permitted by Section 409A of the Code, in the event that on the last business day of the term of a Stock Appreciation Right (x) the exercise of the Stock Appreciation Right is prohibited by applicable law or (y) shares may not be purchased or sold by the holder of such Stock Appreciation Right due to the “black-out period” of a Company policy or a “lock-up” agreement undertaken in connection with an issuance of securities by the Company, the term of the Stock Appreciation Right shall be extended to the date that is 30 days following the end of the legal prohibition, black-out period or lock-up agreement and provided further that no extension will be made if the exercise price of such Stock Appreciation Right at the date the initial term would otherwise expire is equal to or in excess of the Fair Market Value of a share of Stock on such date.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7.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RESTRICTED STOCK AWARDS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Nature of Restricted Stock Awards</w:t>
      </w:r>
      <w:r>
        <w:rPr>
          <w:rFonts w:ascii="Times New Roman" w:hAnsi="Times New Roman"/>
          <w:color w:val="000000"/>
          <w:sz w:val="24"/>
        </w:rPr>
        <w:t>. The Administrator may grant Restricted Stock Awards under the Plan, subject to such restrictions and conditions as the Administrator may determine. Conditions may be based on continuing employment (or other Service Relationship) and/or achievement of pre-established performance goals and objectives.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Rights as a Stockholder</w:t>
      </w:r>
      <w:r>
        <w:rPr>
          <w:rFonts w:ascii="Times New Roman" w:hAnsi="Times New Roman"/>
          <w:color w:val="000000"/>
          <w:sz w:val="24"/>
        </w:rPr>
        <w:t xml:space="preserve">. Upon the grant of the Restricted Stock Award and payment of any applicable purchase price, a grantee shall have the rights of a stockholder with respect to the voting of the Restricted Shares and receipt of dividends; </w:t>
      </w:r>
      <w:r>
        <w:rPr>
          <w:rFonts w:ascii="Times New Roman" w:hAnsi="Times New Roman"/>
          <w:i/>
          <w:color w:val="000000"/>
          <w:sz w:val="24"/>
        </w:rPr>
        <w:t>provided</w:t>
      </w:r>
      <w:r>
        <w:rPr>
          <w:color w:val="000000"/>
        </w:rPr>
        <w:t xml:space="preserve"> </w:t>
      </w:r>
      <w:r>
        <w:rPr>
          <w:rFonts w:ascii="Times New Roman" w:hAnsi="Times New Roman"/>
          <w:color w:val="000000"/>
          <w:sz w:val="24"/>
        </w:rPr>
        <w:t>that any dividends paid by the Company during the vesting period shall accrue and shall not be paid to the grantee until and only to the extent the Restricted Stock Award vests. Unless the Administrator otherwise determines,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prescribes.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Restrictions</w:t>
      </w:r>
      <w:r>
        <w:rPr>
          <w:rFonts w:ascii="Times New Roman" w:hAnsi="Times New Roman"/>
          <w:color w:val="000000"/>
          <w:sz w:val="24"/>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Vesting of Restricted Shares</w:t>
      </w:r>
      <w:r>
        <w:rPr>
          <w:rFonts w:ascii="Times New Roman" w:hAnsi="Times New Roman"/>
          <w:color w:val="000000"/>
          <w:sz w:val="24"/>
        </w:rPr>
        <w:t xml:space="preserve">. The Administrator shall specify the date or dates and/or the attainment of pre-established performance goals, objectives and other conditions on which the non-transferability of the Restricted Shares and the Company’s right of repurchase or forfeiture shall lapse.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8.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RESTRICTED STOCK UNITS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Nature of Restricted Stock Units</w:t>
      </w:r>
      <w:r>
        <w:rPr>
          <w:rFonts w:ascii="Times New Roman" w:hAnsi="Times New Roman"/>
          <w:color w:val="000000"/>
          <w:sz w:val="24"/>
        </w:rPr>
        <w:t>. The Administrator may grant Restricted Stock Units under the Plan, subject to such restrictions and conditions as the Administrator may determine. Conditions may be based on continuing employment (or other Service Relationship) and/or achievement of pre-established performance goals and objectives. Restricted Stock Units may be settled in shares of Stock (or cash, to the extent explicitly provided for in the Award Certificate) upon the satisfaction of such restrictions and conditions.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applicable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Election to Receive Restricted Stock Units in Lieu of Compensation</w:t>
      </w:r>
      <w:r>
        <w:rPr>
          <w:rFonts w:ascii="Times New Roman" w:hAnsi="Times New Roman"/>
          <w:color w:val="000000"/>
          <w:sz w:val="24"/>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Rights as a Stockholder</w:t>
      </w:r>
      <w:r>
        <w:rPr>
          <w:rFonts w:ascii="Times New Roman" w:hAnsi="Times New Roman"/>
          <w:color w:val="000000"/>
          <w:sz w:val="24"/>
        </w:rPr>
        <w:t xml:space="preserve">. A grantee shall have the rights as a stockholder only as to shares of Stock acquired by the grantee upon settlement of Restricted Stock Units;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grantee may be credited with Dividend Equivalent Rights with respect to the grantee’s Restricted Stock Units, subject to the provisions of Section 11 and such terms and conditions as the Administrator may determine.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UNRESTRICTED STOCK AWARDS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Grant or Sale of Unrestricted Stock</w:t>
      </w:r>
      <w:r>
        <w:rPr>
          <w:rFonts w:ascii="Times New Roman" w:hAnsi="Times New Roman"/>
          <w:color w:val="000000"/>
          <w:sz w:val="24"/>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10.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CASH-BASED AWARDS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Grant of Cash-Based Awards</w:t>
      </w:r>
      <w:r>
        <w:rPr>
          <w:rFonts w:ascii="Times New Roman" w:hAnsi="Times New Roman"/>
          <w:color w:val="000000"/>
          <w:sz w:val="24"/>
        </w:rPr>
        <w:t>. The Administrator may grant Cash-Based Awards under the Plan.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11.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DIVIDEND EQUIVALENT RIGHTS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Dividend Equivalent Rights</w:t>
      </w:r>
      <w:r>
        <w:rPr>
          <w:rFonts w:ascii="Times New Roman" w:hAnsi="Times New Roman"/>
          <w:color w:val="000000"/>
          <w:sz w:val="24"/>
        </w:rPr>
        <w:t>. The Administrator may grant Dividend Equivalent Rights under the Plan.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 Notwithstanding anything to the contrary, no Dividend Equivalent Rights shall be granted with respect to any Stock Options or Stock Appreciation Rights.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12.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Transferability of Awards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Transferability</w:t>
      </w:r>
      <w:r>
        <w:rPr>
          <w:rFonts w:ascii="Times New Roman" w:hAnsi="Times New Roman"/>
          <w:color w:val="000000"/>
          <w:sz w:val="24"/>
        </w:rPr>
        <w:t>. Except as provided in Section 12(b) below, during a grantee’s lifetime, such grantee’s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Administrator Action</w:t>
      </w:r>
      <w:r>
        <w:rPr>
          <w:rFonts w:ascii="Times New Roman" w:hAnsi="Times New Roman"/>
          <w:color w:val="000000"/>
          <w:sz w:val="24"/>
        </w:rPr>
        <w:t xml:space="preserve">. Notwithstanding Section 12(a), the Administrator, in its discretion, may provide either in the Award Certificate regarding a given Award or by subsequent written approval that the grantee may transfer the grantee’s Awards (other than Incentive Stock Options) to the grantee’s immediate family members, to trusts for the benefit of such family members or to partnerships in which such family members are the only partners,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transferee agrees in writing with the Company to be bound by all of the terms and conditions of this Plan and the applicable Award. In no event may an Award be transferred by a grantee for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Family Member</w:t>
      </w:r>
      <w:r>
        <w:rPr>
          <w:rFonts w:ascii="Times New Roman" w:hAnsi="Times New Roman"/>
          <w:color w:val="000000"/>
          <w:sz w:val="24"/>
        </w:rPr>
        <w:t>.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Designation of Beneficiary</w:t>
      </w:r>
      <w:r>
        <w:rPr>
          <w:rFonts w:ascii="Times New Roman" w:hAnsi="Times New Roman"/>
          <w:color w:val="000000"/>
          <w:sz w:val="24"/>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13.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TAX WITHHOLDING</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Payment by Grantee</w:t>
      </w:r>
      <w:r>
        <w:rPr>
          <w:rFonts w:ascii="Times New Roman" w:hAnsi="Times New Roman"/>
          <w:color w:val="000000"/>
          <w:sz w:val="24"/>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Payment in Stock</w:t>
      </w:r>
      <w:r>
        <w:rPr>
          <w:rFonts w:ascii="Times New Roman" w:hAnsi="Times New Roman"/>
          <w:color w:val="000000"/>
          <w:sz w:val="24"/>
        </w:rPr>
        <w:t xml:space="preserve">. The Administrator may require the Company or any Affiliate’s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 or any Affiliate’s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14.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Section 409A awards</w:t>
      </w:r>
    </w:p>
    <w:p>
      <w:pPr>
        <w:pStyle w:val="TextBody"/>
        <w:bidi w:val="0"/>
        <w:spacing w:before="0" w:after="240"/>
        <w:jc w:val="left"/>
        <w:rPr>
          <w:rFonts w:ascii="Times New Roman" w:hAnsi="Times New Roman"/>
          <w:sz w:val="20"/>
        </w:rPr>
      </w:pPr>
      <w:r>
        <w:rPr>
          <w:rFonts w:ascii="Times New Roman" w:hAnsi="Times New Roman"/>
          <w:color w:val="000000"/>
          <w:sz w:val="24"/>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hAnsi="Times New Roman"/>
          <w:b/>
          <w:i/>
          <w:color w:val="000000"/>
          <w:sz w:val="24"/>
        </w:rPr>
        <w:t>409A Award</w:t>
      </w:r>
      <w:r>
        <w:rPr>
          <w:rFonts w:ascii="Times New Roman" w:hAnsi="Times New Roman"/>
          <w:color w:val="000000"/>
          <w:sz w:val="20"/>
        </w:rPr>
        <w:t>”</w:t>
      </w:r>
      <w:r>
        <w:rPr>
          <w:rFonts w:ascii="Times New Roman" w:hAnsi="Times New Roman"/>
          <w:color w:val="000000"/>
          <w:sz w:val="24"/>
        </w:rPr>
        <w:t>), the Award shall be subject to such additional rules and requirements as specified by the Administrator from time to time in order to comply with Section 409A.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with respect to Awards under the Plan, including under Section 409A.</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15.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TERMINATION OF SERVICE RELATIONSHIP, TRANSFER, LEAVE OF ABSENCE, ETC.</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Termination of Service Relationship</w:t>
      </w:r>
      <w:r>
        <w:rPr>
          <w:rFonts w:ascii="Times New Roman" w:hAnsi="Times New Roman"/>
          <w:color w:val="000000"/>
          <w:sz w:val="24"/>
        </w:rPr>
        <w:t xml:space="preserve">. If the grantee’s Service Relationship is with an Affiliate and such Affiliate ceases to be an Affiliate, the grantee shall be deemed to have terminated the grantee’s Service Relationship for purposes of the Plan.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the Plan, the following events shall not be deemed a termination of a Service Relationship:</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transfer of employment from the Company to an Affiliate or vice versa, or from one Affiliate to another;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16.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AMENDMENTS AND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or take any other action with respect to a Stock Option or Stock Appreciation Right that would be treated as a repricing under the rules and regulations of the principal U.S. national securities exchange on which the Stock is listed. To the extent determined by the Administrator to be required under the rules of any securities exchange or market system on which the Stock is listed, or by the Code to ensure that Incentive Stock Options granted under the Plan are qualified under Section 422 of the Code, Plan amendments shall be subject to approval by Company stockholders entitled to vote at a meeting of stockholders. Nothing in this Section 16 shall limit the Administrator’s authority to take any action permitted pursuant to Section 3(c) or 3(d).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17.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STATUS OF PLAN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existence of such trusts or other arrangements is consistent with the foregoing sentence.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18.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GENERAL PROVISIONS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No Distribution</w:t>
      </w:r>
      <w:r>
        <w:rPr>
          <w:rFonts w:ascii="Times New Roman" w:hAnsi="Times New Roman"/>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Issuance of Stock</w:t>
      </w:r>
      <w:r>
        <w:rPr>
          <w:rFonts w:ascii="Times New Roman" w:hAnsi="Times New Roman"/>
          <w:color w:val="000000"/>
          <w:sz w:val="24"/>
        </w:rPr>
        <w:t xml:space="preserve">.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Uncertificated Stock shall be deemed delivered for all purposes when the Company or a Stock transfer agent of the Company has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has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No Fractional Shares</w:t>
      </w:r>
      <w:r>
        <w:rPr>
          <w:rFonts w:ascii="Times New Roman" w:hAnsi="Times New Roman"/>
          <w:color w:val="000000"/>
          <w:sz w:val="24"/>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Stockholder Rights</w:t>
      </w:r>
      <w:r>
        <w:rPr>
          <w:rFonts w:ascii="Times New Roman" w:hAnsi="Times New Roman"/>
          <w:color w:val="000000"/>
          <w:sz w:val="24"/>
        </w:rPr>
        <w:t>. Except as otherwise provided in this Plan or an Award Certificate,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4"/>
          <w:u w:val="single"/>
        </w:rPr>
        <w:t>Other Compensation Arrangements; No Employment Rights</w:t>
      </w:r>
      <w:r>
        <w:rPr>
          <w:rFonts w:ascii="Times New Roman" w:hAnsi="Times New Roman"/>
          <w:color w:val="000000"/>
          <w:sz w:val="24"/>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left"/>
        <w:rPr/>
      </w:pPr>
      <w:r>
        <w:rPr>
          <w:rFonts w:ascii="Times New Roman" w:hAnsi="Times New Roman"/>
          <w:color w:val="000000"/>
          <w:sz w:val="24"/>
          <w:u w:val="single"/>
        </w:rPr>
        <w:t>Trading Policy Restrictions</w:t>
      </w:r>
      <w:r>
        <w:rPr>
          <w:rFonts w:ascii="Times New Roman" w:hAnsi="Times New Roman"/>
          <w:color w:val="000000"/>
          <w:sz w:val="24"/>
        </w:rPr>
        <w:t>. Option exercises and other Awards under the Plan shall be subject to the Company’s insider trading policies and procedures, as in effect from time to time.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left"/>
        <w:rPr/>
      </w:pPr>
      <w:r>
        <w:rPr>
          <w:rFonts w:ascii="Times New Roman" w:hAnsi="Times New Roman"/>
          <w:color w:val="000000"/>
          <w:sz w:val="24"/>
          <w:u w:val="single"/>
        </w:rPr>
        <w:t>Clawback Policy</w:t>
      </w:r>
      <w:r>
        <w:rPr>
          <w:rFonts w:ascii="Times New Roman" w:hAnsi="Times New Roman"/>
          <w:color w:val="000000"/>
          <w:sz w:val="24"/>
        </w:rPr>
        <w:t xml:space="preserve">. All Awards shall be subject to reduction, cancellation, forfeiture or recoupment to the extent necessary to comply with (i) any clawback, forfeiture or other similar policy adopted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the Board or Administrator and as in effect from time to time, including the Company’s Compensation Recovery Policy (as such policy may be amended and/or restated from time to time); and (ii) applicable law. 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grantee shall be required to repay any such excess amount to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EFFECTIVE DATE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shall become effective upon stockholder approval in accordance with applicable state law, the Company’s bylaws and articles of incorporation and applicable stock exchange rules. No Awards may be granted hereunder after the tenth anniversary of the Effective Date and no Incentive Stock Options may be granted hereunder after the tenth anniversary of the date the Plan is approved by the Board.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20.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GOVERNING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and all Awards and actions taken thereunder shall be governed by, and construed in accordance with, the laws of the State of Delaware, applied without regard to conflict of law principles.</w:t>
      </w:r>
    </w:p>
    <w:p>
      <w:pPr>
        <w:pStyle w:val="TextBody"/>
        <w:bidi w:val="0"/>
        <w:spacing w:before="600" w:after="240"/>
        <w:jc w:val="left"/>
        <w:rPr>
          <w:rFonts w:ascii="Times New Roman" w:hAnsi="Times New Roman"/>
          <w:color w:val="000000"/>
          <w:sz w:val="24"/>
        </w:rPr>
      </w:pPr>
      <w:r>
        <w:rPr>
          <w:rFonts w:ascii="Times New Roman" w:hAnsi="Times New Roman"/>
          <w:color w:val="000000"/>
          <w:sz w:val="24"/>
        </w:rPr>
        <w:t>DATE APPROVED BY BOARD OF DIRECTORS: April 9, 2024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APPROVED BY STOCKHOLDERS: June 11,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GLOBAL INCENTIVE STOCK OPTION AGREEMENT</w:t>
        <w:br/>
        <w:t>UNDER THE HUBSPOT, INC.</w:t>
        <w:b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of Optionee: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of Option Shares: </w:t>
      </w:r>
    </w:p>
    <w:p>
      <w:pPr>
        <w:pStyle w:val="TextBody"/>
        <w:bidi w:val="0"/>
        <w:jc w:val="both"/>
        <w:rPr>
          <w:rFonts w:ascii="Times New Roman" w:hAnsi="Times New Roman"/>
          <w:color w:val="000000"/>
          <w:sz w:val="24"/>
        </w:rPr>
      </w:pPr>
      <w:r>
        <w:rPr>
          <w:rFonts w:ascii="Times New Roman" w:hAnsi="Times New Roman"/>
          <w:color w:val="000000"/>
          <w:sz w:val="24"/>
        </w:rPr>
        <w:t>Option Exercise Price per Share: $</w:t>
      </w:r>
    </w:p>
    <w:p>
      <w:pPr>
        <w:pStyle w:val="TextBody"/>
        <w:bidi w:val="0"/>
        <w:jc w:val="both"/>
        <w:rPr>
          <w:rFonts w:ascii="Times New Roman" w:hAnsi="Times New Roman"/>
          <w:b/>
          <w:color w:val="000000"/>
          <w:sz w:val="24"/>
        </w:rPr>
      </w:pPr>
      <w:r>
        <w:rPr>
          <w:rFonts w:ascii="Times New Roman" w:hAnsi="Times New Roman"/>
          <w:b/>
          <w:color w:val="000000"/>
          <w:sz w:val="24"/>
        </w:rPr>
        <w:t>[FMV on Grant Date (110% of FMV if a 10% owner)]</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 xml:space="preserve">Grant Date: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 xml:space="preserve">Vesting Commencement Date: </w:t>
      </w:r>
    </w:p>
    <w:p>
      <w:pPr>
        <w:pStyle w:val="TextBody"/>
        <w:bidi w:val="0"/>
        <w:jc w:val="both"/>
        <w:rPr>
          <w:rFonts w:ascii="Times New Roman" w:hAnsi="Times New Roman"/>
          <w:color w:val="000000"/>
          <w:sz w:val="24"/>
        </w:rPr>
      </w:pPr>
      <w:r>
        <w:rPr>
          <w:rFonts w:ascii="Times New Roman" w:hAnsi="Times New Roman"/>
          <w:color w:val="000000"/>
          <w:sz w:val="24"/>
        </w:rPr>
        <w:t xml:space="preserve">Expiration Date: </w:t>
      </w:r>
    </w:p>
    <w:p>
      <w:pPr>
        <w:pStyle w:val="TextBody"/>
        <w:bidi w:val="0"/>
        <w:jc w:val="both"/>
        <w:rPr>
          <w:rFonts w:ascii="Times New Roman" w:hAnsi="Times New Roman"/>
          <w:b/>
          <w:color w:val="000000"/>
          <w:sz w:val="24"/>
        </w:rPr>
      </w:pPr>
      <w:r>
        <w:rPr>
          <w:rFonts w:ascii="Times New Roman" w:hAnsi="Times New Roman"/>
          <w:b/>
          <w:color w:val="000000"/>
          <w:sz w:val="24"/>
        </w:rPr>
        <w:t>[No more than 10 years (5 years if a 10% owner)]</w:t>
      </w:r>
    </w:p>
    <w:p>
      <w:pPr>
        <w:pStyle w:val="TextBody"/>
        <w:bidi w:val="0"/>
        <w:spacing w:before="480" w:after="240"/>
        <w:jc w:val="both"/>
        <w:rPr>
          <w:rFonts w:ascii="Times New Roman" w:hAnsi="Times New Roman"/>
          <w:sz w:val="20"/>
        </w:rPr>
      </w:pPr>
      <w:r>
        <w:rPr>
          <w:rFonts w:ascii="Times New Roman" w:hAnsi="Times New Roman"/>
          <w:color w:val="000000"/>
          <w:sz w:val="24"/>
        </w:rPr>
        <w:t>Pursuant to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Global Incentive Stock Option Award Agreement, including any additional terms and conditions for the Optionee’s country set forth in the appendix attached hereto (the “</w:t>
      </w:r>
      <w:r>
        <w:rPr>
          <w:rFonts w:ascii="Times New Roman" w:hAnsi="Times New Roman"/>
          <w:b/>
          <w:i/>
          <w:color w:val="000000"/>
          <w:sz w:val="24"/>
        </w:rPr>
        <w:t>Appendix</w:t>
      </w:r>
      <w:r>
        <w:rPr>
          <w:rFonts w:ascii="Times New Roman" w:hAnsi="Times New Roman"/>
          <w:color w:val="000000"/>
          <w:sz w:val="20"/>
        </w:rPr>
        <w:t xml:space="preserve">” </w:t>
      </w:r>
      <w:r>
        <w:rPr>
          <w:rFonts w:ascii="Times New Roman" w:hAnsi="Times New Roman"/>
          <w:color w:val="000000"/>
          <w:sz w:val="24"/>
        </w:rPr>
        <w:t>and together with the Global Incentive Stock Option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to the Optionee named above an option (the “</w:t>
      </w:r>
      <w:r>
        <w:rPr>
          <w:rFonts w:ascii="Times New Roman" w:hAnsi="Times New Roman"/>
          <w:b/>
          <w:i/>
          <w:color w:val="000000"/>
          <w:sz w:val="24"/>
        </w:rPr>
        <w:t>Stock Option</w:t>
      </w:r>
      <w:r>
        <w:rPr>
          <w:rFonts w:ascii="Times New Roman" w:hAnsi="Times New Roman"/>
          <w:color w:val="000000"/>
          <w:sz w:val="20"/>
        </w:rPr>
        <w:t>”</w:t>
      </w:r>
      <w:r>
        <w:rPr>
          <w:rFonts w:ascii="Times New Roman" w:hAnsi="Times New Roman"/>
          <w:color w:val="000000"/>
          <w:sz w:val="24"/>
        </w:rPr>
        <w:t>) to purchase on or prior to the Expiration Date specified above all or part of the number of shares of the Company’s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specified above at the Option Exercise Price per Share specified above subject to the terms and conditions set forth herein and in the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Exercisability Schedule</w:t>
      </w:r>
      <w:r>
        <w:rPr>
          <w:rFonts w:ascii="Times New Roman" w:hAnsi="Times New Roman"/>
          <w:color w:val="000000"/>
          <w:sz w:val="24"/>
        </w:rPr>
        <w:t>.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w:t>
      </w:r>
    </w:p>
    <w:tbl>
      <w:tblPr>
        <w:tblW w:w="4589" w:type="dxa"/>
        <w:jc w:val="left"/>
        <w:tblInd w:w="0" w:type="dxa"/>
        <w:tblLayout w:type="fixed"/>
        <w:tblCellMar>
          <w:top w:w="28" w:type="dxa"/>
          <w:left w:w="28" w:type="dxa"/>
          <w:bottom w:w="28" w:type="dxa"/>
          <w:right w:w="28" w:type="dxa"/>
        </w:tblCellMar>
      </w:tblPr>
      <w:tblGrid>
        <w:gridCol w:w="2626"/>
        <w:gridCol w:w="1963"/>
      </w:tblGrid>
      <w:tr>
        <w:trPr/>
        <w:tc>
          <w:tcPr>
            <w:tcW w:w="262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r>
            <w:r>
              <w:rPr>
                <w:rFonts w:ascii="Times New Roman" w:hAnsi="Times New Roman"/>
                <w:color w:val="000000"/>
                <w:sz w:val="24"/>
                <w:u w:val="single"/>
              </w:rPr>
              <w:br/>
              <w:t>Option Shares Exercisable</w:t>
            </w:r>
          </w:p>
        </w:tc>
        <w:tc>
          <w:tcPr>
            <w:tcW w:w="1963" w:type="dxa"/>
            <w:tcBorders/>
            <w:tcMar>
              <w:top w:w="0" w:type="dxa"/>
              <w:left w:w="0" w:type="dxa"/>
              <w:bottom w:w="0" w:type="dxa"/>
              <w:right w:w="0" w:type="dxa"/>
            </w:tcMar>
            <w:vAlign w:val="center"/>
          </w:tcPr>
          <w:p>
            <w:pPr>
              <w:pStyle w:val="TableContents"/>
              <w:bidi w:val="0"/>
              <w:spacing w:before="0" w:after="240"/>
              <w:ind w:left="0" w:right="0" w:firstLine="12"/>
              <w:jc w:val="center"/>
              <w:rPr>
                <w:rFonts w:ascii="Times New Roman" w:hAnsi="Times New Roman"/>
                <w:color w:val="000000"/>
                <w:sz w:val="24"/>
                <w:u w:val="single"/>
              </w:rPr>
            </w:pPr>
            <w:r>
              <w:rPr>
                <w:rFonts w:ascii="Times New Roman" w:hAnsi="Times New Roman"/>
                <w:color w:val="000000"/>
                <w:sz w:val="24"/>
                <w:u w:val="single"/>
              </w:rPr>
              <w:t>Exercisability Date</w:t>
            </w:r>
          </w:p>
        </w:tc>
      </w:tr>
      <w:tr>
        <w:trPr/>
        <w:tc>
          <w:tcPr>
            <w:tcW w:w="262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40"/>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w:t>
            </w:r>
          </w:p>
        </w:tc>
      </w:tr>
    </w:tbl>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in the event that the Optionee’s Service Relationship terminates due to the Optionee’s death, then the Option Shares shall be deemed fully vested and exercisable upon the date of the Optionee’s death.</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Once exercisable, this Stock Option shall continue to be exercisable at any time or times prior to the close of business on the Expiration Date, subject to the provisions hereof and of the Plan.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Manner of 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Optionee may exercise this Stock Option only in the following manner: from time to time on or prior to the Expiration Date of this Stock Option, the Optionee may give written notice to the Administrator of the Optionee’s election to exercise any exercisable portion of this Stock Option at the time of such notice and purchase the corresponding Option Shares. This notice shall specify the number of Option Shares to be purchased.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of the Option Exercise Price for the Option Shares may be made by one or more of the following methods: (i) in cash, by certified or bank check or other instrument acceptable to the Administrator; (ii) if permitted by the Administrator,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transfer to the Optionee on the records of the Company or of the transfer agent of the Option Shares will be contingent upon (x) the Company’s receipt from the Optionee of the full Option Exercise Price for the Option Shares, as set forth above, (y) the fulfillment of any other requirements contained herein or in the Plan or in any other agreement or provision of laws and (z)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(and the Administrator permits the Optionee) to pay the Option Exercise Price by previously-owned Shares through the attestation method, the number of Shares transferred to the Optionee upon the exercise of the Stock Option shall be net of the Shares attested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shareholder of record on the books of the Company. Thereupon, the Optionee shall have full voting, dividend and other ownership rights with respect to such Option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Notwithstanding any other provision hereof or of the Plan, no portion of this Stock Option shall be exercisable after the Expiration Date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Service Relationship</w:t>
      </w:r>
      <w:r>
        <w:rPr>
          <w:rFonts w:ascii="Times New Roman" w:hAnsi="Times New Roman"/>
          <w:color w:val="000000"/>
          <w:sz w:val="24"/>
        </w:rPr>
        <w:t>. If the Optionee’s Service Relationship terminates, the period within which to exercise the Stock Option may be subject to earlier termination as set forth below.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Termination Due to Death</w:t>
      </w:r>
      <w:r>
        <w:rPr>
          <w:rFonts w:ascii="Times New Roman" w:hAnsi="Times New Roman"/>
          <w:color w:val="000000"/>
          <w:sz w:val="24"/>
        </w:rPr>
        <w:t>. If the Optionee’s Service Relationship terminates by reason of the Optionee’s death, any portion of this Stock Option outstanding on such date may thereafter be exercised by the Optionee’s legal representative or legatee for a period of 12 months from the date of death or until the Expiration Date, if earlier.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Termination Due to Disability</w:t>
      </w:r>
      <w:r>
        <w:rPr>
          <w:rFonts w:ascii="Times New Roman" w:hAnsi="Times New Roman"/>
          <w:color w:val="000000"/>
          <w:sz w:val="24"/>
        </w:rPr>
        <w:t>.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Termination for Cause</w:t>
      </w:r>
      <w:r>
        <w:rPr>
          <w:rFonts w:ascii="Times New Roman" w:hAnsi="Times New Roman"/>
          <w:color w:val="000000"/>
          <w:sz w:val="24"/>
        </w:rPr>
        <w:t>. If the Optionee’s Service Relationship is terminated by the Company or an Affiliate for Cause, any portion of this Stock Option outstanding on such date shall terminate immediately and be of no further force and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Other Termination</w:t>
      </w:r>
      <w:r>
        <w:rPr>
          <w:rFonts w:ascii="Times New Roman" w:hAnsi="Times New Roman"/>
          <w:color w:val="000000"/>
          <w:sz w:val="24"/>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Administrator’s determination of the reason for termination and the date of termination of the Optionee’s Service Relationship shall be conclusive and binding on the Optionee and the Optionee’s representatives or legatees.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Transferability</w:t>
      </w:r>
      <w:r>
        <w:rPr>
          <w:rFonts w:ascii="Times New Roman" w:hAnsi="Times New Roman"/>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Status of the Stock Option</w:t>
      </w:r>
      <w:r>
        <w:rPr>
          <w:rFonts w:ascii="Times New Roman" w:hAnsi="Times New Roman"/>
          <w:color w:val="000000"/>
          <w:sz w:val="24"/>
        </w:rPr>
        <w:t>. This Stock Option is intended to qualify as an “incentive stock option” under Section 422 of the U.S. Internal Revenue Code of 1986, as amended (the “</w:t>
      </w:r>
      <w:r>
        <w:rPr>
          <w:rFonts w:ascii="Times New Roman" w:hAnsi="Times New Roman"/>
          <w:b/>
          <w:i/>
          <w:color w:val="000000"/>
          <w:sz w:val="24"/>
        </w:rPr>
        <w:t>Code</w:t>
      </w:r>
      <w:r>
        <w:rPr>
          <w:rFonts w:ascii="Times New Roman" w:hAnsi="Times New Roman"/>
          <w:color w:val="000000"/>
          <w:sz w:val="20"/>
        </w:rPr>
        <w:t>”</w:t>
      </w:r>
      <w:r>
        <w:rPr>
          <w:rFonts w:ascii="Times New Roman" w:hAnsi="Times New Roman"/>
          <w:color w:val="000000"/>
          <w:sz w:val="24"/>
        </w:rPr>
        <w:t xml:space="preserve">), but the Company does not represent or warrant that this Stock Option qualifies as such. The Optionee should consult with the Optionee’s own tax advisors regarding the tax effects of this Stock Option and the requirements necessary to obtain favorable income tax treatment under Section 422 of the Code, including, but not limited to, holding period requirements and that </w:t>
      </w:r>
      <w:r>
        <w:rPr>
          <w:rFonts w:ascii="Times New Roman" w:hAnsi="Times New Roman"/>
          <w:b/>
          <w:i/>
          <w:color w:val="000000"/>
          <w:sz w:val="24"/>
        </w:rPr>
        <w:t>this Stock Option must be exercised within three months after termination of employment as an employee (or 12 months in the case of death or disability) to qualify as an “incentive stock option.</w:t>
      </w:r>
      <w:r>
        <w:rPr>
          <w:rFonts w:ascii="Times New Roman" w:hAnsi="Times New Roman"/>
          <w:color w:val="000000"/>
          <w:sz w:val="20"/>
        </w:rPr>
        <w:t xml:space="preserve">” </w:t>
      </w:r>
      <w:r>
        <w:rPr>
          <w:rFonts w:ascii="Times New Roman" w:hAnsi="Times New Roman"/>
          <w:color w:val="000000"/>
          <w:sz w:val="24"/>
        </w:rPr>
        <w:t>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such shares to the Optionee, or within the two-year period beginning on the day after the grant of this Stock Option, the Optionee will so notify the Company within 30 days after such disposition.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Responsibility for 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Optionee acknowledges that, regardless of any action taken by the Company or, if different, the Affiliate employing the Optionee (the “</w:t>
      </w:r>
      <w:r>
        <w:rPr>
          <w:rFonts w:ascii="Times New Roman" w:hAnsi="Times New Roman"/>
          <w:b/>
          <w:i/>
          <w:color w:val="000000"/>
          <w:sz w:val="24"/>
        </w:rPr>
        <w:t>Employer</w:t>
      </w:r>
      <w:r>
        <w:rPr>
          <w:rFonts w:ascii="Times New Roman" w:hAnsi="Times New Roman"/>
          <w:color w:val="000000"/>
          <w:sz w:val="20"/>
        </w:rPr>
        <w:t>”</w:t>
      </w:r>
      <w:r>
        <w:rPr>
          <w:rFonts w:ascii="Times New Roman" w:hAnsi="Times New Roman"/>
          <w:color w:val="000000"/>
          <w:sz w:val="24"/>
        </w:rPr>
        <w:t>), the ultimate liability for all income tax, social insurance, payroll tax, fringe benefits tax, payment on account or other tax</w:t>
        <w:noBreakHyphen/>
        <w:t>related items related to the Optionee’s participation in the Plan and legally applicable to the Optionee or deemed by the Company or the Employer in its discretion to be an appropriate charge to the Optionee even if legally applicable to the Company or the Employer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sz w:val="20"/>
        </w:rPr>
      </w:pPr>
      <w:r>
        <w:rPr>
          <w:rFonts w:ascii="Times New Roman" w:hAnsi="Times New Roman"/>
          <w:color w:val="000000"/>
          <w:sz w:val="24"/>
        </w:rPr>
        <w:t>(b) 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or rights with regard to all Tax-Related Items by one or a combination of the following: (i) withholding from the Optionee’s wages or other cash compensation payable to the Optionee; (ii) allowing or requiring the Optionee to make a cash payment to cover the Tax-Related Items; (iii) withholding from proceeds of the sale of Shares acquired upon exercise of this Stock Option either through a voluntary sale or through a mandatory sale arranged by the Company (on the Optionee’s behalf pursuant to this authorization without further consent); (iv) withholding from the Shares to be issued to the Optionee upon exercise of this Stock Option;</w:t>
      </w:r>
      <w:r>
        <w:rPr>
          <w:rFonts w:ascii="Times New Roman" w:hAnsi="Times New Roman"/>
          <w:color w:val="000000"/>
          <w:sz w:val="20"/>
        </w:rPr>
        <w:t xml:space="preserve"> </w:t>
      </w:r>
      <w:r>
        <w:rPr>
          <w:rFonts w:ascii="Times New Roman" w:hAnsi="Times New Roman"/>
          <w:color w:val="000000"/>
          <w:sz w:val="24"/>
        </w:rPr>
        <w:t>or (v) any other method of withholding determined by the Company and permitted by applicable law; provided, however, that that if the Optionee is a Section 16 officer of the Company under the Exchange Act, the obligation for Tax-Related Items may be satisfied only by one or a combination of methods (i), (ii) and (iii)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be able to seek a refund from the local tax authorities. In the event of under-withholding, the Optionee may be required to pay additional Tax-Related Items directly to the local tax authorities or to the Company and/or the Employer. If the obligation for Tax-Related Items is satisfied by withholding in Shares, for tax purposes, the Optionee is deemed to have been issued the full number of Shares subject to the exercised Stock Option, notwithstanding that a number of the Shares is held back solely for the purpose of paying the Tax-Related Items.</w:t>
      </w:r>
    </w:p>
    <w:p>
      <w:pPr>
        <w:pStyle w:val="TextBody"/>
        <w:bidi w:val="0"/>
        <w:spacing w:before="0" w:after="240"/>
        <w:jc w:val="both"/>
        <w:rPr>
          <w:rFonts w:ascii="Times New Roman" w:hAnsi="Times New Roman"/>
          <w:sz w:val="20"/>
        </w:rPr>
      </w:pPr>
      <w:r>
        <w:rPr>
          <w:rFonts w:ascii="Times New Roman" w:hAnsi="Times New Roman"/>
          <w:color w:val="000000"/>
          <w:sz w:val="24"/>
        </w:rPr>
        <w:t>(d) The Optionee agrees to pay to the Company or the Employer any amount of Tax-Related Items that the Company or the Employer may be required to withhold or account for as a result of the Optionee’s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participation in the Plan that cannot be satisfied by the means previously described. The Company may refuse to issue or deliver the Shares, or the proceeds of the sale of Shares, if the Optionee fails to comply with the Optionee’s obligations in connection with the Tax-Related Items.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No Obligation to Continue Service Relationship</w:t>
      </w:r>
      <w:r>
        <w:rPr>
          <w:rFonts w:ascii="Times New Roman" w:hAnsi="Times New Roman"/>
          <w:color w:val="000000"/>
          <w:sz w:val="24"/>
        </w:rPr>
        <w:t>. The Employer is not obligated by or as a result of the Plan or this Agreement to continue the Optionee’s Service Relationship, and neither the Plan nor this Agreement shall interfere in any way with the right of the Employer to terminate the Optionee’s Service Relationship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Nature of Grant</w:t>
      </w:r>
      <w:r>
        <w:rPr>
          <w:rFonts w:ascii="Times New Roman" w:hAnsi="Times New Roman"/>
          <w:color w:val="000000"/>
          <w:sz w:val="24"/>
        </w:rPr>
        <w:t>. By accepting this Stock Option, the Optionee acknowledges, understands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Plan is established voluntarily by the Company, it is discretionary in nature, and may be modified, amended, suspended, or terminated by the Company at any time, to the extent permitted by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grant of this Stock Option is exceptional, voluntary, and occasional and does not create any contractual or other right to receive future grants of stock options, or benefits in lieu of stock options, even if stock options have been granted in the past;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decisions with respect to future stock option or other grants,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Optionee is voluntarily participating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this Stock Option and the Option Shares subject to this Stock Option, and the income from and value of same, are not intended to replace any pension rights or compensation;</w:t>
      </w:r>
    </w:p>
    <w:p>
      <w:pPr>
        <w:pStyle w:val="TextBody"/>
        <w:bidi w:val="0"/>
        <w:spacing w:before="0" w:after="240"/>
        <w:jc w:val="both"/>
        <w:rPr>
          <w:rFonts w:ascii="Times New Roman" w:hAnsi="Times New Roman"/>
          <w:sz w:val="20"/>
        </w:rPr>
      </w:pPr>
      <w:r>
        <w:rPr>
          <w:rFonts w:ascii="Times New Roman" w:hAnsi="Times New Roman"/>
          <w:color w:val="000000"/>
          <w:sz w:val="24"/>
        </w:rPr>
        <w:t>(f) the grant of this Stock Option shall not be interpreted as forming or amending any Service Relationship with the Company or any Affiliate (including the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unless otherwise agreed with the Company, this Stock Option and the Option Shares subject to this Stock Option, and the income from and value of same, are not granted as consideration for, or in connection with, the service the Optionee may provide as a director of a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future value of the Option Shares subject to this Stock Option is unknown, indeterminable, and cannot be predicted with certainty;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if the Option Shares subject to this Stock Option do not increase in value, this Stock Option will have no value;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if the Optionee exercises this Stock Option and acquires Shares, the value of such shares may increase or decrease in value, even below the Option Exercise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no claim or entitlement to compensation or damages shall arise from forfeiture of this Stock Option resulting from the termination of the Optionee’s Service Relationship (for any reason whatsoever, whether or not later found to be invalid or in breach of applicable employment or other laws in the jurisdiction where the Optionee is employed or the terms of the Optionee’s employment agreement,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if the Optionee resides and/or works in a country outside the United States, the following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this Stock Option and any Option Shares subject to this Stock Option, and the income from and value of same, are not part of normal or expected compensation for any purpose;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neither the Company, the Employer, or any other Affiliate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acquired upon exercise.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Appendix</w:t>
      </w:r>
      <w:r>
        <w:rPr>
          <w:rFonts w:ascii="Times New Roman" w:hAnsi="Times New Roman"/>
          <w:color w:val="000000"/>
          <w:sz w:val="24"/>
        </w:rPr>
        <w:t>. Notwithstanding any provision of this Global Incentive Stock Option Agreement, if the Optionee 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Language</w:t>
      </w:r>
      <w:r>
        <w:rPr>
          <w:rFonts w:ascii="Times New Roman" w:hAnsi="Times New Roman"/>
          <w:color w:val="000000"/>
          <w:sz w:val="24"/>
        </w:rPr>
        <w:t>. The Optionee acknowledges that the Optionee is proficient in the English language, or has consulted with an advisor who is sufficiently proficient in English, so as to allow the Optionee to understand</w:t>
      </w:r>
      <w:r>
        <w:rPr>
          <w:rFonts w:ascii="Times New Roman" w:hAnsi="Times New Roman"/>
          <w:color w:val="000000"/>
          <w:sz w:val="20"/>
        </w:rPr>
        <w:t xml:space="preserve"> </w:t>
      </w:r>
      <w:r>
        <w:rPr>
          <w:rFonts w:ascii="Times New Roman" w:hAnsi="Times New Roman"/>
          <w:color w:val="000000"/>
          <w:sz w:val="24"/>
        </w:rPr>
        <w:t>the terms and conditions</w:t>
      </w:r>
      <w:r>
        <w:rPr>
          <w:rFonts w:ascii="Times New Roman" w:hAnsi="Times New Roman"/>
          <w:color w:val="000000"/>
          <w:sz w:val="20"/>
        </w:rPr>
        <w:t xml:space="preserve"> </w:t>
      </w:r>
      <w:r>
        <w:rPr>
          <w:rFonts w:ascii="Times New Roman" w:hAnsi="Times New Roman"/>
          <w:color w:val="000000"/>
          <w:sz w:val="24"/>
        </w:rPr>
        <w:t>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 unless otherwise required under applicable laws.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Waivers</w:t>
      </w:r>
      <w:r>
        <w:rPr>
          <w:rFonts w:ascii="Times New Roman" w:hAnsi="Times New Roman"/>
          <w:color w:val="000000"/>
          <w:sz w:val="24"/>
        </w:rPr>
        <w:t>. The Optionee acknowledges that a waiver by the Company of breach of any provision of this Agreement shall not operate or be construed as a waiver of any other provision of this Agreement, or of any subsequent breach by the Optionee or any other grantee</w:t>
      </w:r>
      <w:r>
        <w:rPr>
          <w:rFonts w:ascii="Times New Roman" w:hAnsi="Times New Roman"/>
          <w:b/>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Choice of Law</w:t>
      </w:r>
      <w:r>
        <w:rPr>
          <w:rFonts w:ascii="Times New Roman" w:hAnsi="Times New Roman"/>
          <w:color w:val="000000"/>
          <w:sz w:val="24"/>
        </w:rPr>
        <w:t>. This Agreement shall be governed by, and construed in accordance with, the laws of the State of Delaware, applied without regard to conflict of law principles.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Venue</w:t>
      </w:r>
      <w:r>
        <w:rPr>
          <w:rFonts w:ascii="Times New Roman" w:hAnsi="Times New Roman"/>
          <w:color w:val="000000"/>
          <w:sz w:val="24"/>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Imposition of Other Requirements</w:t>
      </w:r>
      <w:r>
        <w:rPr>
          <w:rFonts w:ascii="Times New Roman" w:hAnsi="Times New Roman"/>
          <w:color w:val="000000"/>
          <w:sz w:val="24"/>
        </w:rPr>
        <w:t>. The Company reserves the right to impose other requirements on this Stock Option and the Shares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Electronic Delivery and Participation</w:t>
      </w:r>
      <w:r>
        <w:rPr>
          <w:rFonts w:ascii="Times New Roman" w:hAnsi="Times New Roman"/>
          <w:color w:val="000000"/>
          <w:sz w:val="24"/>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Compliance with Law</w:t>
      </w:r>
      <w:r>
        <w:rPr>
          <w:rFonts w:ascii="Times New Roman" w:hAnsi="Times New Roman"/>
          <w:color w:val="000000"/>
          <w:sz w:val="24"/>
        </w:rPr>
        <w:t>.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prior to the completion of any registration or qualification of the Shares under any U.S. or non-U.S. local, state, or federal securities or other applicable law or under rulings or regulations of the U.S. Securities and Exchange Commission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with the SEC or any state or non-U.S. securities commission or to seek approval or clearance from any governmental authority for the issuance or sale of the Shares subject to this Stock Option. Further, the Optionee agrees that the Company shall have unilateral authority to amend this Agreement without the Optionee’s consent to the extent necessary to comply with securities or other laws applicable to issuance of the Shares subject to this Stock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Insider Trading Restrictions / Market Abuse Laws</w:t>
      </w:r>
      <w:r>
        <w:rPr>
          <w:rFonts w:ascii="Times New Roman" w:hAnsi="Times New Roman"/>
          <w:color w:val="000000"/>
          <w:sz w:val="24"/>
        </w:rPr>
        <w:t>. By accepting this Stock Option, the Optionee acknowledges that the Optionee is bound by all the terms and conditions of any Company’s insider trading policy as may be in effect from time to time. The Optionee further acknowledges that, depending on the Optionee’s country, the broker’s country or the country in which the Shares are listed, the Optionee may be or may become subject to insider trading restrictions and/or market abuse laws which may affect the Optionee’s ability to accept, acquire, sell, or otherwise dispose of Shares, rights to Shares (</w:t>
      </w:r>
      <w:r>
        <w:rPr>
          <w:rFonts w:ascii="Times New Roman" w:hAnsi="Times New Roman"/>
          <w:i/>
          <w:color w:val="000000"/>
          <w:sz w:val="24"/>
        </w:rPr>
        <w:t>e.g.</w:t>
      </w:r>
      <w:r>
        <w:rPr>
          <w:rFonts w:ascii="Times New Roman" w:hAnsi="Times New Roman"/>
          <w:color w:val="000000"/>
          <w:sz w:val="24"/>
        </w:rPr>
        <w:t>, this Stock Option), or rights linked to the value of Shares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The Optionee acknowledges that it is the Optionee’s responsibility to comply with any applicable restrictions, and the Optionee should speak to the Optionee’s personal advisor on this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Foreign Asset/Account, Exchange Control and Tax Reporting</w:t>
      </w:r>
      <w:r>
        <w:rPr>
          <w:rFonts w:ascii="Times New Roman" w:hAnsi="Times New Roman"/>
          <w:color w:val="000000"/>
          <w:sz w:val="24"/>
        </w:rPr>
        <w:t>. Depending on the Optionee’s country, the Optionee may be subject to foreign asset/account, exchange control, tax reporting, or other requirements which may affect the Optionee’s ability acquire or hold Stock Options or Shares under the Plan or cash received from participating in the Plan (including dividends and the proceeds arising from the sale of Shares) in a brokerage/bank account outside the Optionee’s country. The applicable laws of the Optionee’s country may require that the Optionee report such Stock Options, Shares, accounts, assets, or transactions to the applicable authorities in such country and/or repatriate funds received in connection with the Plan to the Optionee’s country within a certain time period or according to certain procedures. The Optionee acknowledges that the Optionee is responsible for ensuring compliance with any applicable requirements and should consult the Optionee’s personal legal advisor to ensure compliance with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Clawback</w:t>
      </w:r>
      <w:r>
        <w:rPr>
          <w:rFonts w:ascii="Times New Roman" w:hAnsi="Times New Roman"/>
          <w:color w:val="000000"/>
          <w:sz w:val="24"/>
        </w:rPr>
        <w:t>. The Optionee acknowledges and agrees that this Award is subject in all respects to the Company’s Compensation Recovery Policy (the “</w:t>
      </w:r>
      <w:r>
        <w:rPr>
          <w:rFonts w:ascii="Times New Roman" w:hAnsi="Times New Roman"/>
          <w:b/>
          <w:i/>
          <w:color w:val="000000"/>
          <w:sz w:val="24"/>
        </w:rPr>
        <w:t>Clawback Policy</w:t>
      </w:r>
      <w:r>
        <w:rPr>
          <w:rFonts w:ascii="Times New Roman" w:hAnsi="Times New Roman"/>
          <w:color w:val="000000"/>
          <w:sz w:val="20"/>
        </w:rPr>
        <w:t>”</w:t>
      </w:r>
      <w:r>
        <w:rPr>
          <w:rFonts w:ascii="Times New Roman" w:hAnsi="Times New Roman"/>
          <w:color w:val="000000"/>
          <w:sz w:val="24"/>
        </w:rPr>
        <w:t>), to the extent applicable, including the Company’s ability to recoup Erroneously Awarded Compensation (as defined in the Clawback Policy) thereunder. Any action by the Company to recover Erroneously Awarded Compensation under the Clawback Policy from the Optionee shall not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This Section 23 is a material term of this Agreement.</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HUBSPOT, INC.</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This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jc w:val="both"/>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Optionee’s Signature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Optionee’s name and address:</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8"/>
          <w:u w:val="single"/>
        </w:rPr>
      </w:pPr>
      <w:r>
        <w:rPr>
          <w:rFonts w:ascii="Times New Roman" w:hAnsi="Times New Roman"/>
          <w:b/>
          <w:color w:val="000000"/>
          <w:sz w:val="28"/>
          <w:u w:val="single"/>
        </w:rPr>
        <w:t>APPENDIX</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GLOBAL INCENTIVE STOCK OPTION AGREEMENT</w:t>
        <w:br/>
        <w:t>FOR EMPLOYEES</w:t>
        <w:br/>
        <w:t>UNDER THE HUBSPOT, INC.</w:t>
        <w:br/>
        <w:t>2024 STOCK OPTION AND INCENTIVE PLAN</w:t>
      </w:r>
    </w:p>
    <w:p>
      <w:pPr>
        <w:pStyle w:val="TextBody"/>
        <w:bidi w:val="0"/>
        <w:spacing w:before="0" w:after="240"/>
        <w:jc w:val="both"/>
        <w:rPr>
          <w:rFonts w:ascii="Times New Roman" w:hAnsi="Times New Roman"/>
          <w:sz w:val="20"/>
        </w:rPr>
      </w:pPr>
      <w:r>
        <w:rPr>
          <w:rFonts w:ascii="Times New Roman" w:hAnsi="Times New Roman"/>
          <w:color w:val="000000"/>
          <w:sz w:val="24"/>
        </w:rPr>
        <w:t>Capitalized terms used but not defined in this Appendix shall have the same meanings assigned to them in the Plan and/or the Global Incentive Stock Option Agreement (the “</w:t>
      </w:r>
      <w:r>
        <w:rPr>
          <w:rFonts w:ascii="Times New Roman" w:hAnsi="Times New Roman"/>
          <w:b/>
          <w:i/>
          <w:color w:val="000000"/>
          <w:sz w:val="24"/>
        </w:rPr>
        <w:t>Option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w:t>
      </w:r>
      <w:r>
        <w:rPr>
          <w:rFonts w:ascii="Times New Roman" w:hAnsi="Times New Roman"/>
          <w:b/>
          <w:color w:val="000000"/>
          <w:sz w:val="24"/>
        </w:rPr>
        <w:t>May 2024</w:t>
      </w:r>
      <w:r>
        <w:rPr>
          <w:rFonts w:ascii="Times New Roman" w:hAnsi="Times New Roman"/>
          <w:color w:val="000000"/>
          <w:sz w:val="24"/>
        </w:rPr>
        <w:t>. Such laws are often complex and change frequently. As a result, the Company strongly recommends</w:t>
      </w:r>
      <w:r>
        <w:rPr>
          <w:rFonts w:ascii="Times New Roman" w:hAnsi="Times New Roman"/>
          <w:color w:val="000000"/>
          <w:sz w:val="20"/>
        </w:rPr>
        <w:t xml:space="preserve"> </w:t>
      </w:r>
      <w:r>
        <w:rPr>
          <w:rFonts w:ascii="Times New Roman" w:hAnsi="Times New Roman"/>
          <w:color w:val="000000"/>
          <w:sz w:val="24"/>
        </w:rPr>
        <w:t>that the Optionee not rely on the information noted herein as the only source of information relating to the consequences of participation in the Plan because the information may be out-of-date at the time the Optionee exercises the Stock Option or sells any Shares acquired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Optionee’s particular situation. As a result, the Company is not in a position to assure the Optionee of any particular result. Accordingly, the Optionee should seek appropriate professional advice as to how the relevant laws in the Optionee’s country may apply to the Optionee’s individual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ALL COUNTRIES OUTSIDE THE U.S., EUROPEAN UNION, EUROPEAN ECONOMIC AREA, AND UNITED KINGDOM</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Data Privacy Notification and Consent</w:t>
      </w:r>
      <w:r>
        <w:rPr>
          <w:rFonts w:ascii="Times New Roman" w:hAnsi="Times New Roman"/>
          <w:b/>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 By accepting the Stock Option, the Optionee explicitly and unambiguously consents to the collection, use, and transfer, in electronic or other form, of the Optionee’s personal data as described in the Agreement by and among, as applicable, the Employer, the Company and its other Affiliates for the exclusive purpose of implementing, administering, and managing the Optionee’s participation in the Plan.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 The Optionee understands that the Company, the Employer, and other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or directorships held in the Company, details of all Stock Options or any other entitlement to shares awarded, canceled, vested, unvested, or outstanding in the Optionee’s favor (“Data”), for the purpose of implementing, administering, and managing the Plan</w:t>
      </w:r>
    </w:p>
    <w:p>
      <w:pPr>
        <w:pStyle w:val="TextBody"/>
        <w:bidi w:val="0"/>
        <w:spacing w:before="0" w:after="240"/>
        <w:jc w:val="both"/>
        <w:rPr>
          <w:rFonts w:ascii="Times New Roman" w:hAnsi="Times New Roman"/>
          <w:sz w:val="20"/>
        </w:rPr>
      </w:pPr>
      <w:r>
        <w:rPr>
          <w:rFonts w:ascii="Times New Roman" w:hAnsi="Times New Roman"/>
          <w:b/>
          <w:i/>
          <w:color w:val="000000"/>
          <w:sz w:val="24"/>
        </w:rPr>
        <w:t>(c) The Optionee understands that Data will be transferred to Fidelity Stock Plan Services LLC, or such other stock plan service provider as may be selected by the Company in the future, which assists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may request a list with the names and addresses of any potential recipients of the Data by contacting the Optionee’s local human resources representative. The Optionee authorizes the Company, Fidelity Stock Plan Services LLC, and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received upon exercise of the Stock Option may be deposited. The Optionee understands that Data will be held only as long as is necessary to implement, administer, and manage the Optionee’s participation in the Plan. The Optionee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the Optionee</w:t>
      </w:r>
      <w:r>
        <w:rPr>
          <w:rFonts w:ascii="Times New Roman" w:hAnsi="Times New Roman"/>
          <w:color w:val="000000"/>
          <w:sz w:val="20"/>
        </w:rPr>
        <w:t xml:space="preserve"> </w:t>
      </w:r>
      <w:r>
        <w:rPr>
          <w:rFonts w:ascii="Times New Roman" w:hAnsi="Times New Roman"/>
          <w:b/>
          <w:i/>
          <w:color w:val="000000"/>
          <w:sz w:val="24"/>
        </w:rPr>
        <w:t>is providing the consents herein on a purely voluntary basis. If the Optionee does not consent, or if the Optionee later seeks to revoke the consent, the Optionee’s Service Relationship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the Optionee’s ability to participate in the Plan. For more information on the consequences of the Optionee’s refusal to consent or withdrawal of consent, the Optionee understands that the Optionee may contact the local human resources representative.</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(d) 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the Optionee will not be able to participate in the Plan if the Optionee fails to provide any such consent or agreement requested by the Company and/or the Employer.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Non-Qualified Securities</w:t>
      </w:r>
      <w:r>
        <w:rPr>
          <w:rFonts w:ascii="Times New Roman" w:hAnsi="Times New Roman"/>
          <w:color w:val="000000"/>
          <w:sz w:val="24"/>
        </w:rPr>
        <w:t>. All or a portion of the Option Shares subject to this Stock Option may be “non-qualified securities” within the meaning of the Income Tax Act (Canada). The Company may provide the Optionee with additional information and/or appropriate notification regarding the characterization of this Stock Option for Canadian income tax purposes as may be required by the Income Tax Act (Canada) and the regulations thereunder.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Method of Exercise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 any provision of the Plan or the Option Agreement, the Optionee may not pay the Option Exercise Price by using the methods of exercise set forth in Section 2(a)(ii) of the Option Agreement or the corresponding provisions of the Plan.</w:t>
      </w:r>
    </w:p>
    <w:p>
      <w:pPr>
        <w:pStyle w:val="TextBody"/>
        <w:bidi w:val="0"/>
        <w:jc w:val="both"/>
        <w:rPr>
          <w:rFonts w:ascii="Times New Roman" w:hAnsi="Times New Roman"/>
          <w:i/>
          <w:color w:val="000000"/>
          <w:sz w:val="24"/>
        </w:rPr>
      </w:pPr>
      <w:r>
        <w:rPr>
          <w:rFonts w:ascii="Times New Roman" w:hAnsi="Times New Roman"/>
          <w:i/>
          <w:color w:val="000000"/>
          <w:sz w:val="24"/>
        </w:rPr>
        <w:t>The following terms and conditions apply if the Optionee resides in Quebec: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Data Privacy</w:t>
      </w:r>
      <w:r>
        <w:rPr>
          <w:rFonts w:ascii="Times New Roman" w:hAnsi="Times New Roman"/>
          <w:color w:val="000000"/>
          <w:sz w:val="24"/>
        </w:rPr>
        <w:t>. The following provision supplements the “Data Privacy Notification and Consent” provision above in this Appendix:</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Optionee hereby authorizes the Company and the Company’s representatives to discuss with and obtain all relevant information from all personnel, professional or non-professional, involved in the administration and operation of the Plan for purposes that relate to the administration of the Plan. The Optionee acknowledges and agrees that the Optionee’s personal information, including any sensitive personal information, may be transferred or disclosed outside of the province of Quebec, including to the U.S. The Optionee further authorizes the Company, the Employer, its other Affiliates, and the Administrator to disclose and discuss the Plan with their advisors. The Optionee further authorizes the Company, the Employer, its other Affiliates, and the Administrator to record information and to keep such information in the Optionee’s employee file. If applicable, the Optionee also acknowledges and authorizes the Company, the Employer, its other Affiliates, and the Administrator involved in the administration of the Plan to use technology for profiling purposes and to make automated decisions that may have an impact on the Optionee’s participation in the Plan or the administration of the Plan.</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Optionee is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under the symbol “HUBS.”</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Director Notification Information</w:t>
      </w:r>
      <w:r>
        <w:rPr>
          <w:rFonts w:ascii="Times New Roman" w:hAnsi="Times New Roman"/>
          <w:color w:val="000000"/>
          <w:sz w:val="24"/>
        </w:rPr>
        <w:t>. Directors, shadow directors, and secretaries of an Irish Affiliate must notify such Affiliate in writing upon (i) receiving or disposing of an interest in the Company (</w:t>
      </w:r>
      <w:r>
        <w:rPr>
          <w:rFonts w:ascii="Times New Roman" w:hAnsi="Times New Roman"/>
          <w:i/>
          <w:color w:val="000000"/>
          <w:sz w:val="24"/>
        </w:rPr>
        <w:t>e.g.</w:t>
      </w:r>
      <w:r>
        <w:rPr>
          <w:rFonts w:ascii="Times New Roman" w:hAnsi="Times New Roman"/>
          <w:color w:val="000000"/>
          <w:sz w:val="24"/>
        </w:rPr>
        <w:t>, the Stock Option,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a personal legal advisor as to whether or not this notification requirement applies.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8"/>
        </w:rPr>
        <w:t>GLOBAL NON-QUALIFIED STOCK OPTION AGREEMENT</w:t>
        <w:br/>
        <w:t>UNDER THE HubSpot, Inc.</w:t>
      </w:r>
      <w:r>
        <w:rPr>
          <w:rFonts w:ascii="Times New Roman" w:hAnsi="Times New Roman"/>
          <w:caps/>
          <w:color w:val="000000"/>
          <w:sz w:val="20"/>
        </w:rPr>
        <w:t xml:space="preserve"> </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of Optionee: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of Option Shares: </w:t>
      </w:r>
    </w:p>
    <w:p>
      <w:pPr>
        <w:pStyle w:val="TextBody"/>
        <w:bidi w:val="0"/>
        <w:jc w:val="both"/>
        <w:rPr>
          <w:rFonts w:ascii="Times New Roman" w:hAnsi="Times New Roman"/>
          <w:color w:val="000000"/>
          <w:sz w:val="24"/>
        </w:rPr>
      </w:pPr>
      <w:r>
        <w:rPr>
          <w:rFonts w:ascii="Times New Roman" w:hAnsi="Times New Roman"/>
          <w:color w:val="000000"/>
          <w:sz w:val="24"/>
        </w:rPr>
        <w:t>Option Exercise Price per Share: $</w:t>
      </w:r>
    </w:p>
    <w:p>
      <w:pPr>
        <w:pStyle w:val="TextBody"/>
        <w:bidi w:val="0"/>
        <w:jc w:val="both"/>
        <w:rPr>
          <w:rFonts w:ascii="Times New Roman" w:hAnsi="Times New Roman"/>
          <w:b/>
          <w:color w:val="000000"/>
          <w:sz w:val="24"/>
        </w:rPr>
      </w:pPr>
      <w:r>
        <w:rPr>
          <w:rFonts w:ascii="Times New Roman" w:hAnsi="Times New Roman"/>
          <w:b/>
          <w:color w:val="000000"/>
          <w:sz w:val="24"/>
        </w:rPr>
        <w:t>[FMV on Grant Date]</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Grant Date:</w:t>
      </w:r>
    </w:p>
    <w:p>
      <w:pPr>
        <w:pStyle w:val="TextBody"/>
        <w:bidi w:val="0"/>
        <w:spacing w:before="240" w:after="240"/>
        <w:jc w:val="both"/>
        <w:rPr>
          <w:rFonts w:ascii="Times New Roman" w:hAnsi="Times New Roman"/>
          <w:sz w:val="20"/>
        </w:rPr>
      </w:pPr>
      <w:r>
        <w:rPr>
          <w:rFonts w:ascii="Times New Roman" w:hAnsi="Times New Roman"/>
          <w:color w:val="000000"/>
          <w:sz w:val="24"/>
        </w:rPr>
        <w:t>Vesting Commencement Date:</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 xml:space="preserve">Expiration Date: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[No more than 10 years]</w:t>
      </w:r>
    </w:p>
    <w:p>
      <w:pPr>
        <w:pStyle w:val="TextBody"/>
        <w:bidi w:val="0"/>
        <w:spacing w:before="480" w:after="240"/>
        <w:jc w:val="both"/>
        <w:rPr>
          <w:rFonts w:ascii="Times New Roman" w:hAnsi="Times New Roman"/>
          <w:sz w:val="20"/>
        </w:rPr>
      </w:pPr>
      <w:r>
        <w:rPr>
          <w:rFonts w:ascii="Times New Roman" w:hAnsi="Times New Roman"/>
          <w:color w:val="000000"/>
          <w:sz w:val="24"/>
        </w:rPr>
        <w:t>Pursuant to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Global Non-Qualified Stock Option Award Agreement, including any additional terms and conditions for the Optionee’s country set forth in the appendix attached hereto (the “</w:t>
      </w:r>
      <w:r>
        <w:rPr>
          <w:rFonts w:ascii="Times New Roman" w:hAnsi="Times New Roman"/>
          <w:b/>
          <w:i/>
          <w:color w:val="000000"/>
          <w:sz w:val="24"/>
        </w:rPr>
        <w:t>Appendix</w:t>
      </w:r>
      <w:r>
        <w:rPr>
          <w:rFonts w:ascii="Times New Roman" w:hAnsi="Times New Roman"/>
          <w:color w:val="000000"/>
          <w:sz w:val="20"/>
        </w:rPr>
        <w:t xml:space="preserve">” </w:t>
      </w:r>
      <w:r>
        <w:rPr>
          <w:rFonts w:ascii="Times New Roman" w:hAnsi="Times New Roman"/>
          <w:color w:val="000000"/>
          <w:sz w:val="24"/>
        </w:rPr>
        <w:t>and together with the Global Non-Qualified Stock Option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to the Optionee named above an option (the “</w:t>
      </w:r>
      <w:r>
        <w:rPr>
          <w:rFonts w:ascii="Times New Roman" w:hAnsi="Times New Roman"/>
          <w:b/>
          <w:i/>
          <w:color w:val="000000"/>
          <w:sz w:val="24"/>
        </w:rPr>
        <w:t>Stock Option</w:t>
      </w:r>
      <w:r>
        <w:rPr>
          <w:rFonts w:ascii="Times New Roman" w:hAnsi="Times New Roman"/>
          <w:color w:val="000000"/>
          <w:sz w:val="20"/>
        </w:rPr>
        <w:t>”</w:t>
      </w:r>
      <w:r>
        <w:rPr>
          <w:rFonts w:ascii="Times New Roman" w:hAnsi="Times New Roman"/>
          <w:color w:val="000000"/>
          <w:sz w:val="24"/>
        </w:rPr>
        <w:t>) to purchase on or prior to the Expiration Date specified above all or part of the number of shares of the Company’s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Exercisability Schedule</w:t>
      </w:r>
      <w:r>
        <w:rPr>
          <w:rFonts w:ascii="Times New Roman" w:hAnsi="Times New Roman"/>
          <w:color w:val="000000"/>
          <w:sz w:val="24"/>
        </w:rPr>
        <w:t>.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w:t>
      </w:r>
    </w:p>
    <w:tbl>
      <w:tblPr>
        <w:tblW w:w="4577" w:type="dxa"/>
        <w:jc w:val="left"/>
        <w:tblInd w:w="0" w:type="dxa"/>
        <w:tblLayout w:type="fixed"/>
        <w:tblCellMar>
          <w:top w:w="28" w:type="dxa"/>
          <w:left w:w="28" w:type="dxa"/>
          <w:bottom w:w="28" w:type="dxa"/>
          <w:right w:w="28" w:type="dxa"/>
        </w:tblCellMar>
      </w:tblPr>
      <w:tblGrid>
        <w:gridCol w:w="2626"/>
        <w:gridCol w:w="1951"/>
      </w:tblGrid>
      <w:tr>
        <w:trPr/>
        <w:tc>
          <w:tcPr>
            <w:tcW w:w="262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r>
            <w:r>
              <w:rPr>
                <w:rFonts w:ascii="Times New Roman" w:hAnsi="Times New Roman"/>
                <w:color w:val="000000"/>
                <w:sz w:val="24"/>
                <w:u w:val="single"/>
              </w:rPr>
              <w:br/>
              <w:t>Option Shares Exercisable</w:t>
            </w:r>
          </w:p>
        </w:tc>
        <w:tc>
          <w:tcPr>
            <w:tcW w:w="19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u w:val="single"/>
              </w:rPr>
            </w:pPr>
            <w:r>
              <w:rPr>
                <w:rFonts w:ascii="Times New Roman" w:hAnsi="Times New Roman"/>
                <w:color w:val="000000"/>
                <w:sz w:val="24"/>
                <w:u w:val="single"/>
              </w:rPr>
              <w:t>Exercisability Date</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Notwithstanding the foregoing, in the event that the Optionee’s Service Relationship terminates due to the Optionee’s death, then the Option Shares shall be deemed fully vested and exercisable upon the date of the Optionee’s death.</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Manner of 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Optionee may exercise this Stock Option only in the following manner: from time to time on or prior to the Expiration Date of this Stock Option, the Optionee may give written notice to the Administrator of the Optionee’s election to exercise any exercisable portion of this Stock Option at the time of such notice and purchase the corresponding Option Shares. This notice shall specify the number of Option Shares to be purchased.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of the Option Exercise Price for the Option Shares may be made by one or more of the following methods: (i) in cash, by certified or bank check or other instrument acceptable to the Administrator; (ii) if permitted by the Administrator,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Option Shares issuable upon exercise by the largest whole number of Shares with a Fair Market Value that does not exceed the aggregate Option Exercise Price; or (v) a combination of (i), (ii), (iii) and (iv) above. Payment instruments will be received subject to collection.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transfer to the Optionee on the records of the Company or of the transfer agent of the Option Shares will be contingent upon (x) the Company’s receipt from the Optionee of the full Option Exercise Price for the Option Shares, as set forth above, (y) the fulfillment of any other requirements contained herein or in the Plan or in any other agreement or provision of laws, and (z)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(and the Administrator permits the Optionee) to pay the Option Exercise Price by previously-owned Shares through the attestation method, the number of Shares transferred to the Optionee upon the exercise of the Stock Option shall be net of the Shares attested to.</w:t>
      </w:r>
    </w:p>
    <w:p>
      <w:pPr>
        <w:pStyle w:val="TextBody"/>
        <w:bidi w:val="0"/>
        <w:spacing w:before="0" w:after="240"/>
        <w:jc w:val="both"/>
        <w:rPr>
          <w:rFonts w:ascii="Times New Roman" w:hAnsi="Times New Roman"/>
          <w:sz w:val="20"/>
        </w:rPr>
      </w:pPr>
      <w:r>
        <w:rPr>
          <w:rFonts w:ascii="Times New Roman" w:hAnsi="Times New Roman"/>
          <w:color w:val="000000"/>
          <w:sz w:val="24"/>
        </w:rPr>
        <w:t>(b) The Shares purchased upon exercise of this Stock Option shall be transferred to the Optionee on the records of the Company or of the transfer agent upon compliance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shareholder of record on the books of the Company. Thereupon, the Optionee shall have full voting, dividend and other ownership rights with respect to such Option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Notwithstanding any other provision hereof or of the Plan, no portion of this Stock Option shall be exercisable after the Expiration Date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Service Relationship</w:t>
      </w:r>
      <w:r>
        <w:rPr>
          <w:rFonts w:ascii="Times New Roman" w:hAnsi="Times New Roman"/>
          <w:color w:val="000000"/>
          <w:sz w:val="24"/>
        </w:rPr>
        <w:t>. If the Optionee’s Service Relationship terminates, the period within which to exercise the Stock Option may be subject to earlier termination as set forth below.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Termination Due to Death</w:t>
      </w:r>
      <w:r>
        <w:rPr>
          <w:rFonts w:ascii="Times New Roman" w:hAnsi="Times New Roman"/>
          <w:color w:val="000000"/>
          <w:sz w:val="24"/>
        </w:rPr>
        <w:t>. If the Optionee’s Service Relationship terminates by reason of the Optionee’s death, any portion of this Stock Option outstanding on such date may thereafter be exercised by the Optionee’s legal representative or legatee for a period of 12 months from the date of death or until the Expiration Date, if earlier.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Termination Due to Disability</w:t>
      </w:r>
      <w:r>
        <w:rPr>
          <w:rFonts w:ascii="Times New Roman" w:hAnsi="Times New Roman"/>
          <w:color w:val="000000"/>
          <w:sz w:val="24"/>
        </w:rPr>
        <w:t>.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Termination for Cause</w:t>
      </w:r>
      <w:r>
        <w:rPr>
          <w:rFonts w:ascii="Times New Roman" w:hAnsi="Times New Roman"/>
          <w:color w:val="000000"/>
          <w:sz w:val="24"/>
        </w:rPr>
        <w:t>. If the Optionee’s Service Relationship is terminated by the Company or an Affiliate for Cause, any portion of this Stock Option outstanding on such date shall terminate immediately and be of no further force and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Other Termination</w:t>
      </w:r>
      <w:r>
        <w:rPr>
          <w:rFonts w:ascii="Times New Roman" w:hAnsi="Times New Roman"/>
          <w:color w:val="000000"/>
          <w:sz w:val="24"/>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Administrator’s determination of the reason for termination and the date of termination of the Optionee’s Service Relationship shall be conclusive and binding on the Optionee and the Optionee’s representatives or legatees.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Transferability</w:t>
      </w:r>
      <w:r>
        <w:rPr>
          <w:rFonts w:ascii="Times New Roman" w:hAnsi="Times New Roman"/>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Responsibility for 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Optionee acknowledges that, regardless of any action taken by the Company or, if different, the Affiliate employing the Optionee (the “</w:t>
      </w:r>
      <w:r>
        <w:rPr>
          <w:rFonts w:ascii="Times New Roman" w:hAnsi="Times New Roman"/>
          <w:b/>
          <w:i/>
          <w:color w:val="000000"/>
          <w:sz w:val="24"/>
        </w:rPr>
        <w:t>Employer</w:t>
      </w:r>
      <w:r>
        <w:rPr>
          <w:rFonts w:ascii="Times New Roman" w:hAnsi="Times New Roman"/>
          <w:color w:val="000000"/>
          <w:sz w:val="20"/>
        </w:rPr>
        <w:t>”</w:t>
      </w:r>
      <w:r>
        <w:rPr>
          <w:rFonts w:ascii="Times New Roman" w:hAnsi="Times New Roman"/>
          <w:color w:val="000000"/>
          <w:sz w:val="24"/>
        </w:rPr>
        <w:t>), the ultimate liability for all income tax, social insurance, payroll tax, fringe benefits tax, payment on account or other tax</w:t>
        <w:noBreakHyphen/>
        <w:t>related items related to the Optionee’s participation in the Plan and legally applicable to the Optionee or deemed by the Company or the Employer in its discretion to be an appropriate charge to the Optionee even if legally applicable to the Company or the Employer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sz w:val="20"/>
        </w:rPr>
      </w:pPr>
      <w:r>
        <w:rPr>
          <w:rFonts w:ascii="Times New Roman" w:hAnsi="Times New Roman"/>
          <w:color w:val="000000"/>
          <w:sz w:val="24"/>
        </w:rPr>
        <w:t>(b) 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or rights with regard to all Tax-Related Items by one or a combination of the following: (i) withholding from the Optionee’s wages or other cash compensation payable to the Optionee; (ii) allowing or requiring the Optionee to make a cash payment to cover the Tax-Related Items; (iii) withholding from proceeds of the sale of Shares acquired upon exercise of this Stock Option either through a voluntary sale or through a mandatory sale arranged by the Company (on the Optionee’s behalf pursuant to this authorization without further consent); (iv) withholding from the Shares to be issued to the Optionee upon exercise of this Stock Option;</w:t>
      </w:r>
      <w:r>
        <w:rPr>
          <w:rFonts w:ascii="Times New Roman" w:hAnsi="Times New Roman"/>
          <w:color w:val="000000"/>
          <w:sz w:val="20"/>
        </w:rPr>
        <w:t xml:space="preserve"> </w:t>
      </w:r>
      <w:r>
        <w:rPr>
          <w:rFonts w:ascii="Times New Roman" w:hAnsi="Times New Roman"/>
          <w:color w:val="000000"/>
          <w:sz w:val="24"/>
        </w:rPr>
        <w:t>or (v) any other method of withholding determined by the Company and permitted by applicable law; provided, however, that that if the Optionee is a Section 16 officer of the Company under the Exchange Act, the obligation for Tax-Related Items may be satisfied only by one or a combination of methods (i), (ii) and (iii) above.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be able to seek a refund from the local tax authorities. In the event of under-withholding, the Optionee may be required to pay additional Tax-Related Items directly to the local tax authorities or to the Company and/or the Employer. If the obligation for Tax-Related Items is satisfied by withholding in Shares, for tax purposes, the Optionee is deemed to have been issued the full number of Shares subject to the exercised Stock Option, notwithstanding that a number of the Shares is held back solely for the purpose of paying the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Shares, if the Optionee fails to comply with the Optionee’s obligations in connection with the Tax-Related Items.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No Obligation to Continue Service Relationship</w:t>
      </w:r>
      <w:r>
        <w:rPr>
          <w:rFonts w:ascii="Times New Roman" w:hAnsi="Times New Roman"/>
          <w:color w:val="000000"/>
          <w:sz w:val="24"/>
        </w:rPr>
        <w:t>. The Employer is not obligated by or as a result of the Plan or this Agreement to continue the Optionee’s Service Relationship, and neither the Plan nor this Agreement shall interfere in any way with the right of the Employer to terminate the Optionee’s Service Relationship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Nature of Grant</w:t>
      </w:r>
      <w:r>
        <w:rPr>
          <w:rFonts w:ascii="Times New Roman" w:hAnsi="Times New Roman"/>
          <w:color w:val="000000"/>
          <w:sz w:val="24"/>
        </w:rPr>
        <w:t>. By accepting this Stock Option, the Optionee acknowledges, understands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Plan is established voluntarily by the Company, it is discretionary in nature, and may be modified, amended, suspended, or terminated by the Company at any time, to the extent permitted by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grant of this Stock Option is exceptional, voluntary, and occasional and does not create any contractual or other right to receive future grants of stock options, or benefits in lieu of stock options, even if stock options have been granted in the past;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decisions with respect to future stock option or other grants,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Optionee is voluntarily participating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this Stock Option and the Option Shares subject to this Stock Option, and the income from and value of same, are not intended to replace any pension rights or compensation;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 the grant of this Stock Option shall not be interpreted as forming or amending any Service Relationship with the Company or any Affiliate (including the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unless otherwise agreed with the Company, this Stock Option and the Option Shares subject to this Stock Option, and the income from and value of same, are not granted as consideration for, or in connection with, the service the Optionee may provide as a director of a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future value of the Option Shares subject to this Stock Option is unknown, indeterminable, and cannot be predicted with certainty;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if the Option Shares subject to this Stock Option do not increase in value, this Stock Option will have no value;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if the Optionee exercises this Stock Option and acquires Shares, the value of such shares may increase or decrease in value, even below the Option Exercise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no claim or entitlement to compensation or damages shall arise from forfeiture of this Stock Option resulting from the termination of the Optionee’s Service Relationship (for any reason whatsoever, whether or not later found to be invalid or in breach of applicable employment or other laws in the jurisdiction where the Optionee is employed or the terms of the Optionee’s employment agreement,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if the Optionee resides and/or works in a country outside the United States, the following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this Stock Option and any Option Shares subject to this Stock Option, and the income from and value of same, are not part of normal or expected compensation for any purpose;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neither the Company, the Employer, or any other Affiliate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acquired upon exercise.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Appendix</w:t>
      </w:r>
      <w:r>
        <w:rPr>
          <w:rFonts w:ascii="Times New Roman" w:hAnsi="Times New Roman"/>
          <w:color w:val="000000"/>
          <w:sz w:val="24"/>
        </w:rPr>
        <w:t>. Notwithstanding any provision of this Global Non-Qualified Stock Option Agreement, if the Optionee 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Language</w:t>
      </w:r>
      <w:r>
        <w:rPr>
          <w:rFonts w:ascii="Times New Roman" w:hAnsi="Times New Roman"/>
          <w:color w:val="000000"/>
          <w:sz w:val="24"/>
        </w:rPr>
        <w:t>. The Optionee acknowledges that the Optionee is proficient in the English language, or has consulted with an advisor who is sufficiently proficient in English, so as to allow the Optionee to understand</w:t>
      </w:r>
      <w:r>
        <w:rPr>
          <w:rFonts w:ascii="Times New Roman" w:hAnsi="Times New Roman"/>
          <w:color w:val="000000"/>
          <w:sz w:val="20"/>
        </w:rPr>
        <w:t xml:space="preserve"> </w:t>
      </w:r>
      <w:r>
        <w:rPr>
          <w:rFonts w:ascii="Times New Roman" w:hAnsi="Times New Roman"/>
          <w:color w:val="000000"/>
          <w:sz w:val="24"/>
        </w:rPr>
        <w:t>the terms and conditions</w:t>
      </w:r>
      <w:r>
        <w:rPr>
          <w:rFonts w:ascii="Times New Roman" w:hAnsi="Times New Roman"/>
          <w:color w:val="000000"/>
          <w:sz w:val="20"/>
        </w:rPr>
        <w:t xml:space="preserve"> </w:t>
      </w:r>
      <w:r>
        <w:rPr>
          <w:rFonts w:ascii="Times New Roman" w:hAnsi="Times New Roman"/>
          <w:color w:val="000000"/>
          <w:sz w:val="24"/>
        </w:rPr>
        <w:t>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 unless otherwise required under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Waivers</w:t>
      </w:r>
      <w:r>
        <w:rPr>
          <w:rFonts w:ascii="Times New Roman" w:hAnsi="Times New Roman"/>
          <w:color w:val="000000"/>
          <w:sz w:val="24"/>
        </w:rPr>
        <w:t>. The Optionee acknowledges that a waiver by the Company of breach of any provision of this Agreement shall not operate or be construed as a waiver of any other provision of this Agreement, or of any subsequent breach by the Optionee or any other grantee</w:t>
      </w:r>
      <w:r>
        <w:rPr>
          <w:rFonts w:ascii="Times New Roman" w:hAnsi="Times New Roman"/>
          <w:b/>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Choice of Law</w:t>
      </w:r>
      <w:r>
        <w:rPr>
          <w:rFonts w:ascii="Times New Roman" w:hAnsi="Times New Roman"/>
          <w:color w:val="000000"/>
          <w:sz w:val="24"/>
        </w:rPr>
        <w:t>. This Agreement shall be governed by, and construed in accordance with, the laws of the State of Delaware, applied without regard to conflict of law principles.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Venue</w:t>
      </w:r>
      <w:r>
        <w:rPr>
          <w:rFonts w:ascii="Times New Roman" w:hAnsi="Times New Roman"/>
          <w:color w:val="000000"/>
          <w:sz w:val="24"/>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Imposition of Other Requirements</w:t>
      </w:r>
      <w:r>
        <w:rPr>
          <w:rFonts w:ascii="Times New Roman" w:hAnsi="Times New Roman"/>
          <w:color w:val="000000"/>
          <w:sz w:val="24"/>
        </w:rPr>
        <w:t>. The Company reserves the right to impose other requirements on this Stock Option and the Shares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Electronic Delivery and Participation</w:t>
      </w:r>
      <w:r>
        <w:rPr>
          <w:rFonts w:ascii="Times New Roman" w:hAnsi="Times New Roman"/>
          <w:color w:val="000000"/>
          <w:sz w:val="24"/>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Compliance with Law</w:t>
      </w:r>
      <w:r>
        <w:rPr>
          <w:rFonts w:ascii="Times New Roman" w:hAnsi="Times New Roman"/>
          <w:color w:val="000000"/>
          <w:sz w:val="24"/>
        </w:rPr>
        <w:t>.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prior to the completion of any registration or qualification of the Shares under any U.S. or non-U.S. local, state, or federal securities or other applicable law or under rulings or regulations of the U.S. Securities and Exchange Commission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with the SEC or any state or non-U.S. securities commission or to seek approval or clearance from any governmental authority for the issuance or sale of the Shares subject to this Stock Option. Further, the Optionee agrees that the Company shall have unilateral authority to amend this Agreement without the Optionee’s consent to the extent necessary to comply with securities or other laws applicable to issuance of the Shares subject to this Stock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Insider Trading Restrictions / Market Abuse Laws</w:t>
      </w:r>
      <w:r>
        <w:rPr>
          <w:rFonts w:ascii="Times New Roman" w:hAnsi="Times New Roman"/>
          <w:color w:val="000000"/>
          <w:sz w:val="24"/>
        </w:rPr>
        <w:t>. By accepting this Stock Option, the Optionee acknowledges that the Optionee is bound by all the terms and conditions of any Company’s insider trading policy as may be in effect from time to time. The Optionee further acknowledges that, depending on the Optionee’s country, the broker’s country or the country in which the Shares are listed, the Optionee may be or may become subject to insider trading restrictions and/or market abuse laws which may affect the Optionee’s ability to accept, acquire, sell, or otherwise dispose of Shares, rights to Shares (</w:t>
      </w:r>
      <w:r>
        <w:rPr>
          <w:rFonts w:ascii="Times New Roman" w:hAnsi="Times New Roman"/>
          <w:i/>
          <w:color w:val="000000"/>
          <w:sz w:val="24"/>
        </w:rPr>
        <w:t>e.g.</w:t>
      </w:r>
      <w:r>
        <w:rPr>
          <w:rFonts w:ascii="Times New Roman" w:hAnsi="Times New Roman"/>
          <w:color w:val="000000"/>
          <w:sz w:val="24"/>
        </w:rPr>
        <w:t>, this Stock Option), or rights linked to the value of Shares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the Optionee’s personal advisor on this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Foreign Asset/Account, Exchange Control and Tax Reporting</w:t>
      </w:r>
      <w:r>
        <w:rPr>
          <w:rFonts w:ascii="Times New Roman" w:hAnsi="Times New Roman"/>
          <w:color w:val="000000"/>
          <w:sz w:val="24"/>
        </w:rPr>
        <w:t>. Depending on the Optionee’s country, the Optionee may be subject to foreign asset/account, exchange control, tax reporting, or other requirements which may affect the Optionee’s ability acquire or hold Stock Options or Shares under the Plan or cash received from participating in the Plan (including</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dividends and the proceeds arising from the sale of Shares) in a brokerage/bank account outside the Optionee’s country. The applicable laws of the Optionee’s country may require that the Optionee report such Stock Options, Shares, accounts, assets. or transactions to the applicable authorities in such country and/or repatriate funds received in connection with the Plan to the Optionee’s country within a certain time period or according to certain procedures. The Optionee acknowledges that the Optionee is responsible for ensuring compliance with any applicable requirements and should consult the Optionee’s personal legal advisor to ensure compliance with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Clawback</w:t>
      </w:r>
      <w:r>
        <w:rPr>
          <w:rFonts w:ascii="Times New Roman" w:hAnsi="Times New Roman"/>
          <w:color w:val="000000"/>
          <w:sz w:val="24"/>
        </w:rPr>
        <w:t>. The Optionee acknowledges and agrees that this Award is subject in all respects to the Company’s Compensation Recovery Policy (the “</w:t>
      </w:r>
      <w:r>
        <w:rPr>
          <w:rFonts w:ascii="Times New Roman" w:hAnsi="Times New Roman"/>
          <w:b/>
          <w:i/>
          <w:color w:val="000000"/>
          <w:sz w:val="24"/>
        </w:rPr>
        <w:t>Clawback Policy</w:t>
      </w:r>
      <w:r>
        <w:rPr>
          <w:rFonts w:ascii="Times New Roman" w:hAnsi="Times New Roman"/>
          <w:color w:val="000000"/>
          <w:sz w:val="20"/>
        </w:rPr>
        <w:t>”</w:t>
      </w:r>
      <w:r>
        <w:rPr>
          <w:rFonts w:ascii="Times New Roman" w:hAnsi="Times New Roman"/>
          <w:color w:val="000000"/>
          <w:sz w:val="24"/>
        </w:rPr>
        <w:t>), to the extent applicable, including the Company’s ability to recoup Erroneously Awarded Compensation (as defined in the Clawback Policy) thereunder. Any action by the Company to recover Erroneously Awarded Compensation under the Clawback Policy from the Optionee shall not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This Section 22 is a material term of this Agreement.</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HUBSPOT, INC.</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This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jc w:val="both"/>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Optionee’s Signature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Optionee’s name and address:</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aps/>
          <w:color w:val="000000"/>
          <w:sz w:val="28"/>
          <w:u w:val="single"/>
        </w:rPr>
      </w:pPr>
      <w:r>
        <w:rPr>
          <w:rFonts w:ascii="Times New Roman" w:hAnsi="Times New Roman"/>
          <w:b/>
          <w:caps/>
          <w:color w:val="000000"/>
          <w:sz w:val="28"/>
          <w:u w:val="single"/>
        </w:rPr>
        <w:t>APPENDIX</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Global NON-QUALIFIED STOCK OPTION AGREEMENT</w:t>
        <w:br/>
        <w:t>FOR EMPLOYEES</w:t>
        <w:br/>
        <w:t>UNDER THE HUBSPOT, INC.</w:t>
        <w:br/>
        <w:t>2024 STOCK OPTION AND INCENTIVE PLAN</w:t>
      </w:r>
    </w:p>
    <w:p>
      <w:pPr>
        <w:pStyle w:val="TextBody"/>
        <w:bidi w:val="0"/>
        <w:spacing w:before="0" w:after="240"/>
        <w:jc w:val="both"/>
        <w:rPr>
          <w:rFonts w:ascii="Times New Roman" w:hAnsi="Times New Roman"/>
          <w:sz w:val="20"/>
        </w:rPr>
      </w:pPr>
      <w:r>
        <w:rPr>
          <w:rFonts w:ascii="Times New Roman" w:hAnsi="Times New Roman"/>
          <w:color w:val="000000"/>
          <w:sz w:val="24"/>
        </w:rPr>
        <w:t>Capitalized terms used but not defined in this Appendix shall have the same meanings assigned to them in the Plan and/or the Global Non-Qualified Stock Option Agreement (the “</w:t>
      </w:r>
      <w:r>
        <w:rPr>
          <w:rFonts w:ascii="Times New Roman" w:hAnsi="Times New Roman"/>
          <w:b/>
          <w:i/>
          <w:color w:val="000000"/>
          <w:sz w:val="24"/>
        </w:rPr>
        <w:t>Option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w:t>
      </w:r>
      <w:r>
        <w:rPr>
          <w:rFonts w:ascii="Times New Roman" w:hAnsi="Times New Roman"/>
          <w:b/>
          <w:color w:val="000000"/>
          <w:sz w:val="24"/>
        </w:rPr>
        <w:t>May 2024</w:t>
      </w:r>
      <w:r>
        <w:rPr>
          <w:rFonts w:ascii="Times New Roman" w:hAnsi="Times New Roman"/>
          <w:color w:val="000000"/>
          <w:sz w:val="24"/>
        </w:rPr>
        <w:t>. Such laws are often complex and change frequently. As a result, the Company strongly recommends</w:t>
      </w:r>
      <w:r>
        <w:rPr>
          <w:rFonts w:ascii="Times New Roman" w:hAnsi="Times New Roman"/>
          <w:color w:val="000000"/>
          <w:sz w:val="20"/>
        </w:rPr>
        <w:t xml:space="preserve"> </w:t>
      </w:r>
      <w:r>
        <w:rPr>
          <w:rFonts w:ascii="Times New Roman" w:hAnsi="Times New Roman"/>
          <w:color w:val="000000"/>
          <w:sz w:val="24"/>
        </w:rPr>
        <w:t>that the Optionee not rely on the information noted herein as the only source of information relating to the consequences of participation in the Plan because the information may be out-of-date at the time the Optionee exercises the Stock Option or sells any Shares acquired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Optionee’s particular situation. As a result, the Company is not in a position to assure the Optionee of any particular result. Accordingly, the Optionee should seek appropriate professional advice as to how the relevant laws in the Optionee’s country may apply to the Optionee’s individual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ALL COUNTRIES OUTSIDE THE U.S., EUROPEAN UNION, EUROPEAN ECONOMIC AREA, AND UNITED KINGDOM</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Data Privacy Notification and Consent</w:t>
      </w:r>
      <w:r>
        <w:rPr>
          <w:rFonts w:ascii="Times New Roman" w:hAnsi="Times New Roman"/>
          <w:b/>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 By accepting the Stock Option, the Optionee explicitly and unambiguously consents to the collection, use, and transfer, in electronic or other form, of the Optionee’s personal data as described in the Agreement by and among, as applicable, the Employer, the Company and its other Affiliates for the exclusive purpose of implementing, administering. and managing the Optionee’s participation in the Plan.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 The Optionee understands that the Company, the Employer, and other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or directorships held in the Company, details of all Stock Options or any other entitlement to shares awarded, canceled, vested, unvested, or outstanding in the Optionee’s favor (“Data”), for the purpose of implementing, administering, and managing the Plan</w:t>
      </w:r>
    </w:p>
    <w:p>
      <w:pPr>
        <w:pStyle w:val="TextBody"/>
        <w:bidi w:val="0"/>
        <w:spacing w:before="0" w:after="240"/>
        <w:jc w:val="both"/>
        <w:rPr>
          <w:rFonts w:ascii="Times New Roman" w:hAnsi="Times New Roman"/>
          <w:sz w:val="20"/>
        </w:rPr>
      </w:pPr>
      <w:r>
        <w:rPr>
          <w:rFonts w:ascii="Times New Roman" w:hAnsi="Times New Roman"/>
          <w:b/>
          <w:i/>
          <w:color w:val="000000"/>
          <w:sz w:val="24"/>
        </w:rPr>
        <w:t>(c) The Optionee understands that Data will be transferred to Fidelity Stock Plan Services LLC, or such other stock plan service provider as may be selected by the Company in the future, which assists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may request a list with the names and addresses of any potential recipients of the Data by contacting the Optionee’s local human resources representative. The Optionee authorizes the Company, Fidelity Stock Plan Services LLC, and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received upon exercise of the Stock Option may be deposited. The Optionee understands that Data will be held only as long as is necessary to implement, administer, and manage the Optionee’s participation in the Plan. The Optionee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the Optionee is providing the consents herein on a purely voluntary basis. If the Optionee does not consent, or if the Optionee later seeks to revoke the consent, the Optionee’s Service Relationship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the Optionee’s ability to participate in the Plan. For more information on the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consequences of the Optionee’s refusal to consent or withdrawal of consent, the Optionee understands that the Optionee may contact the local human resources representative.</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(d) 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the Optionee will not be able to participate in the Plan if the Optionee fails to provide any such consent or agreement requested by the Company and/or the Employer.</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Non-Qualified Securities</w:t>
      </w:r>
      <w:r>
        <w:rPr>
          <w:rFonts w:ascii="Times New Roman" w:hAnsi="Times New Roman"/>
          <w:color w:val="000000"/>
          <w:sz w:val="24"/>
        </w:rPr>
        <w:t>. All or a portion of the Option Shares subject to this Stock Option may be “non-qualified securities” within the meaning of the Income Tax Act (Canada). The Company may provide the Optionee with additional information and/or appropriate notification regarding the characterization of this Stock Option for Canadian income tax purposes as may be required by the Income Tax Act (Canada) and the regulations thereunder.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Method of Exercise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 any provision of the Plan or the Option Agreement, the Optionee may not pay the Option Exercise Price by using the methods of exercise set forth in Section 2(a)(ii) and (iv) of the Option Agreement or the corresponding provisions of the Plan.</w:t>
      </w:r>
    </w:p>
    <w:p>
      <w:pPr>
        <w:pStyle w:val="TextBody"/>
        <w:bidi w:val="0"/>
        <w:jc w:val="both"/>
        <w:rPr>
          <w:rFonts w:ascii="Times New Roman" w:hAnsi="Times New Roman"/>
          <w:i/>
          <w:color w:val="000000"/>
          <w:sz w:val="24"/>
        </w:rPr>
      </w:pPr>
      <w:r>
        <w:rPr>
          <w:rFonts w:ascii="Times New Roman" w:hAnsi="Times New Roman"/>
          <w:i/>
          <w:color w:val="000000"/>
          <w:sz w:val="24"/>
        </w:rPr>
        <w:t>The following terms and conditions apply if the Optionee resides in Quebec: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Data Privacy</w:t>
      </w:r>
      <w:r>
        <w:rPr>
          <w:rFonts w:ascii="Times New Roman" w:hAnsi="Times New Roman"/>
          <w:color w:val="000000"/>
          <w:sz w:val="24"/>
        </w:rPr>
        <w:t>. The following provision supplements the “Data Privacy Notification and Consent” provision above in this Appendix:</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Optionee hereby authorizes the Company and the Company’s representatives to discuss with and obtain all relevant information from all personnel, professional or non-professional, involved in the administration and operation of the Plan for purposes that relate to the administration of the Plan. The Optionee acknowledges and agrees that the Optionee’s personal information, including any sensitive personal information, may be transferred or disclosed outside of the province of Quebec, including to the U.S. The Optionee further authorizes the Company, the Employer, its other Affiliates, and the Administrator to disclose and discuss the Plan with their advisors. The Optionee further authorizes the Company, the Employer, its other Affiliates, and the Administrator to record information and to keep such information in the Optionee’s employee file. If applicable, the Optionee also acknowledges and authorizes the Company, the Employer, its other Affiliates, and the Administrator involved in the administration of the Plan to use technology for profiling purposes and to make automated decisions that may have an impact on the Optionee’s participation in the Plan or the administration of the Plan.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Notifications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Optionee is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under the symbol “HUBS.”</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Director Notification Information</w:t>
      </w:r>
      <w:r>
        <w:rPr>
          <w:rFonts w:ascii="Times New Roman" w:hAnsi="Times New Roman"/>
          <w:color w:val="000000"/>
          <w:sz w:val="24"/>
        </w:rPr>
        <w:t>. Directors, shadow directors, and secretaries of an Irish Affiliate must notify such Affiliate in writing upon (i) receiving or disposing of an interest in the Company (</w:t>
      </w:r>
      <w:r>
        <w:rPr>
          <w:rFonts w:ascii="Times New Roman" w:hAnsi="Times New Roman"/>
          <w:i/>
          <w:color w:val="000000"/>
          <w:sz w:val="24"/>
        </w:rPr>
        <w:t>e.g.</w:t>
      </w:r>
      <w:r>
        <w:rPr>
          <w:rFonts w:ascii="Times New Roman" w:hAnsi="Times New Roman"/>
          <w:color w:val="000000"/>
          <w:sz w:val="24"/>
        </w:rPr>
        <w:t>, the Stock Option,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a personal legal advisor as to whether or not this notification requirement applies.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GLOBAL RESTRICTED Stock UNIT AWARD AGREEMENT</w:t>
        <w:br/>
        <w:t>UNDER THE HubSpot, inc.</w:t>
        <w:b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of Grantee: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of Restricted Stock Units: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Grant Date: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 xml:space="preserve">Vesting Commencement Date: </w:t>
      </w:r>
    </w:p>
    <w:p>
      <w:pPr>
        <w:pStyle w:val="TextBody"/>
        <w:bidi w:val="0"/>
        <w:spacing w:before="480" w:after="240"/>
        <w:jc w:val="both"/>
        <w:rPr>
          <w:rFonts w:ascii="Times New Roman" w:hAnsi="Times New Roman"/>
          <w:sz w:val="20"/>
        </w:rPr>
      </w:pPr>
      <w:r>
        <w:rPr>
          <w:rFonts w:ascii="Times New Roman" w:hAnsi="Times New Roman"/>
          <w:color w:val="000000"/>
          <w:sz w:val="24"/>
        </w:rPr>
        <w:t>Pursuant to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Global Restricted Stock Unit Award Agreement, including any additional terms and conditions for the Grantee’s country set forth in the appendix attached hereto (the “</w:t>
      </w:r>
      <w:r>
        <w:rPr>
          <w:rFonts w:ascii="Times New Roman" w:hAnsi="Times New Roman"/>
          <w:b/>
          <w:i/>
          <w:color w:val="000000"/>
          <w:sz w:val="24"/>
        </w:rPr>
        <w:t>Appendix</w:t>
      </w:r>
      <w:r>
        <w:rPr>
          <w:rFonts w:ascii="Times New Roman" w:hAnsi="Times New Roman"/>
          <w:color w:val="000000"/>
          <w:sz w:val="20"/>
        </w:rPr>
        <w:t xml:space="preserve">” </w:t>
      </w:r>
      <w:r>
        <w:rPr>
          <w:rFonts w:ascii="Times New Roman" w:hAnsi="Times New Roman"/>
          <w:color w:val="000000"/>
          <w:sz w:val="24"/>
        </w:rPr>
        <w:t>and together with the Global Restricted Stock Unit Award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an award of the number of Restricted Stock Units listed above (an “</w:t>
      </w:r>
      <w:r>
        <w:rPr>
          <w:rFonts w:ascii="Times New Roman" w:hAnsi="Times New Roman"/>
          <w:b/>
          <w:i/>
          <w:color w:val="000000"/>
          <w:sz w:val="24"/>
        </w:rPr>
        <w:t>Award</w:t>
      </w:r>
      <w:r>
        <w:rPr>
          <w:rFonts w:ascii="Times New Roman" w:hAnsi="Times New Roman"/>
          <w:color w:val="000000"/>
          <w:sz w:val="20"/>
        </w:rPr>
        <w:t>”</w:t>
      </w:r>
      <w:r>
        <w:rPr>
          <w:rFonts w:ascii="Times New Roman" w:hAnsi="Times New Roman"/>
          <w:color w:val="000000"/>
          <w:sz w:val="24"/>
        </w:rPr>
        <w:t>) to the Grantee named above. Each Restricted Stock Unit shall relate to one share of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Restrictions on Transfer of Award</w:t>
      </w:r>
      <w:r>
        <w:rPr>
          <w:rFonts w:ascii="Times New Roman" w:hAnsi="Times New Roman"/>
          <w:color w:val="000000"/>
          <w:sz w:val="24"/>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Vesting of Restricted Stock Units</w:t>
      </w:r>
      <w:r>
        <w:rPr>
          <w:rFonts w:ascii="Times New Roman" w:hAnsi="Times New Roman"/>
          <w:color w:val="000000"/>
          <w:sz w:val="24"/>
        </w:rPr>
        <w:t>. The restrictions and conditions of Paragraph 1 of this Agreement shall lapse on the vesting dates (each such date, a “</w:t>
      </w:r>
      <w:r>
        <w:rPr>
          <w:rFonts w:ascii="Times New Roman" w:hAnsi="Times New Roman"/>
          <w:b/>
          <w:i/>
          <w:color w:val="000000"/>
          <w:sz w:val="24"/>
        </w:rPr>
        <w:t>Vesting Date</w:t>
      </w:r>
      <w:r>
        <w:rPr>
          <w:rFonts w:ascii="Times New Roman" w:hAnsi="Times New Roman"/>
          <w:color w:val="000000"/>
          <w:sz w:val="20"/>
        </w:rPr>
        <w:t>”</w:t>
      </w:r>
      <w:r>
        <w:rPr>
          <w:rFonts w:ascii="Times New Roman" w:hAnsi="Times New Roman"/>
          <w:color w:val="000000"/>
          <w:sz w:val="24"/>
        </w:rPr>
        <w:t>) specified in the following schedule so long as the Grantee remains in a Service Relationship through the applicable Vesting Date. If a series of Vesting Dates is specified, then the restrictions and conditions in Paragraph 1 shall lapse only with respect to the number of Restricted Stock Units specified as vested on such Vesting Date.</w:t>
      </w:r>
    </w:p>
    <w:tbl>
      <w:tblPr>
        <w:tblW w:w="4559" w:type="dxa"/>
        <w:jc w:val="left"/>
        <w:tblInd w:w="0" w:type="dxa"/>
        <w:tblLayout w:type="fixed"/>
        <w:tblCellMar>
          <w:top w:w="28" w:type="dxa"/>
          <w:left w:w="28" w:type="dxa"/>
          <w:bottom w:w="28" w:type="dxa"/>
          <w:right w:w="28" w:type="dxa"/>
        </w:tblCellMar>
      </w:tblPr>
      <w:tblGrid>
        <w:gridCol w:w="2956"/>
        <w:gridCol w:w="1603"/>
      </w:tblGrid>
      <w:tr>
        <w:trPr/>
        <w:tc>
          <w:tcPr>
            <w:tcW w:w="295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r>
            <w:r>
              <w:rPr>
                <w:rFonts w:ascii="Times New Roman" w:hAnsi="Times New Roman"/>
                <w:color w:val="000000"/>
                <w:sz w:val="24"/>
                <w:u w:val="single"/>
              </w:rPr>
              <w:br/>
              <w:t>Restricted Stock Units Vested</w:t>
            </w:r>
          </w:p>
        </w:tc>
        <w:tc>
          <w:tcPr>
            <w:tcW w:w="1603" w:type="dxa"/>
            <w:tcBorders/>
            <w:tcMar>
              <w:top w:w="0" w:type="dxa"/>
              <w:left w:w="0" w:type="dxa"/>
              <w:bottom w:w="0" w:type="dxa"/>
              <w:right w:w="0" w:type="dxa"/>
            </w:tcMar>
            <w:vAlign w:val="center"/>
          </w:tcPr>
          <w:p>
            <w:pPr>
              <w:pStyle w:val="TableContents"/>
              <w:bidi w:val="0"/>
              <w:spacing w:before="0" w:after="240"/>
              <w:ind w:left="0" w:right="0" w:firstLine="12"/>
              <w:jc w:val="center"/>
              <w:rPr>
                <w:rFonts w:ascii="Times New Roman" w:hAnsi="Times New Roman"/>
                <w:color w:val="000000"/>
                <w:sz w:val="24"/>
                <w:u w:val="single"/>
              </w:rPr>
            </w:pPr>
            <w:r>
              <w:rPr>
                <w:rFonts w:ascii="Times New Roman" w:hAnsi="Times New Roman"/>
                <w:color w:val="000000"/>
                <w:sz w:val="24"/>
                <w:u w:val="single"/>
              </w:rPr>
              <w:t>Vesting Date</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60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60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60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956" w:type="dxa"/>
            <w:tcBorders/>
            <w:tcMar>
              <w:top w:w="0" w:type="dxa"/>
              <w:left w:w="0" w:type="dxa"/>
              <w:bottom w:w="0" w:type="dxa"/>
              <w:right w:w="0" w:type="dxa"/>
            </w:tcMar>
            <w:vAlign w:val="center"/>
          </w:tcPr>
          <w:p>
            <w:pPr>
              <w:pStyle w:val="TableContents"/>
              <w:bidi w:val="0"/>
              <w:spacing w:before="0" w:after="240"/>
              <w:ind w:left="0" w:right="0" w:firstLine="12"/>
              <w:jc w:val="center"/>
              <w:rPr>
                <w:rFonts w:ascii="Times New Roman" w:hAnsi="Times New Roman"/>
                <w:color w:val="000000"/>
                <w:sz w:val="24"/>
              </w:rPr>
            </w:pPr>
            <w:r>
              <w:rPr>
                <w:rFonts w:ascii="Times New Roman" w:hAnsi="Times New Roman"/>
                <w:color w:val="000000"/>
                <w:sz w:val="24"/>
              </w:rPr>
              <w:t>_____________ (___%)</w:t>
            </w:r>
          </w:p>
        </w:tc>
        <w:tc>
          <w:tcPr>
            <w:tcW w:w="160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w:t>
            </w:r>
          </w:p>
        </w:tc>
      </w:tr>
    </w:tbl>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in the event that the Grantee’s Service Relationship terminates due to the Grantee’s death, then the Restricted Stock Units shall be deemed fully vested upon the date of the Grantee’s death. The Administrator may at any time accelerate the vesting schedule specified in this Paragraph 2.</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Service Relationship</w:t>
      </w:r>
      <w:r>
        <w:rPr>
          <w:rFonts w:ascii="Times New Roman" w:hAnsi="Times New Roman"/>
          <w:color w:val="000000"/>
          <w:sz w:val="24"/>
        </w:rPr>
        <w:t>. If the Grantee’s Service Relationship terminates for any reason (including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Issuance of Shares</w:t>
      </w:r>
      <w:r>
        <w:rPr>
          <w:rFonts w:ascii="Times New Roman" w:hAnsi="Times New Roman"/>
          <w:color w:val="000000"/>
          <w:sz w:val="24"/>
        </w:rPr>
        <w:t>. As soon as practicable following each Vesting Date (but in no event later than two and one-half months after the end of the year in which the Vesting Date occurs), the Company shall issue to the Grantee (or in the event of the Grantee’s death, the Grantee’s designated beneficiary or the Grantee’s estate or legal heirs if the Grantee has not designated a beneficiary) the number of Shares equal to the aggregate number of Restricted Stock Units that have vested pursuant to Paragraph 2 of this Agreement on such Vesting Date, rounded down to the nearest whole share, and the Grantee (or the Grantee’s designated beneficiary or estate, as applicable) shall thereafter have all the rights of a stockholder of the Company with respect to such Shares. No fractional Shares shall be issued.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Responsibility for 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Grantee acknowledges that, regardless of any action taken by the Company or any Affiliate with which the Grantee has a Service Relationship (the “</w:t>
      </w:r>
      <w:r>
        <w:rPr>
          <w:rFonts w:ascii="Times New Roman" w:hAnsi="Times New Roman"/>
          <w:b/>
          <w:i/>
          <w:color w:val="000000"/>
          <w:sz w:val="24"/>
        </w:rPr>
        <w:t>Employer</w:t>
      </w:r>
      <w:r>
        <w:rPr>
          <w:rFonts w:ascii="Times New Roman" w:hAnsi="Times New Roman"/>
          <w:color w:val="000000"/>
          <w:sz w:val="20"/>
        </w:rPr>
        <w:t>”</w:t>
      </w:r>
      <w:r>
        <w:rPr>
          <w:rFonts w:ascii="Times New Roman" w:hAnsi="Times New Roman"/>
          <w:color w:val="000000"/>
          <w:sz w:val="24"/>
        </w:rPr>
        <w:t>), the ultimate liability for all income tax, social insurance, payroll tax, fringe benefits tax, payment on account or other tax</w:t>
        <w:noBreakHyphen/>
        <w:t>related items related to the Grantee’s participation in the Plan and legally applicable to the Grantee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are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Prior to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or rights with regard to all Tax-Related Items by one or a combination of the following: (i) withholding from the Grantee’s wages or other cash compensation payable to the Grantee; (ii) withholding from proceeds of the sale of Shares acquired upon settlement of the Restricted Stock Units either through a voluntary sale or through a mandatory sale arranged by the Company (on the Grantee’s behalf pursuant to this authorization without further consent); (iii) withholding from Shares to be issued to the Grantee upon settlement of the Restricted Stock Units;</w:t>
      </w:r>
      <w:r>
        <w:rPr>
          <w:rFonts w:ascii="Times New Roman" w:hAnsi="Times New Roman"/>
          <w:color w:val="000000"/>
          <w:sz w:val="20"/>
        </w:rPr>
        <w:t xml:space="preserve"> </w:t>
      </w:r>
      <w:r>
        <w:rPr>
          <w:rFonts w:ascii="Times New Roman" w:hAnsi="Times New Roman"/>
          <w:color w:val="000000"/>
          <w:sz w:val="24"/>
        </w:rPr>
        <w:t>or (iv) any other method of withholding determined by the Company and permitted by applicable law; provided, however, that that if the Grantee is a Section 16 officer of the Company under the Exchange Act, then any Tax-Related Items shall be withheld only by using alternative (iii).</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Depending on the withholding method, the Company and/or the Employer may withhold or account for Tax-Related Items by considering statutory or other withholding rates, including maximum rates applicable in the Grantee’s jurisdiction. In the event of over-withholding, the Grantee may receive a refund of any over-withheld amount in cash through the Employer’s normal payroll processes (with no entitlement to the equivalent in Shares) or, if not refunded, the Grantee may be able to seek a refund from the local tax authorities. In the event of under-withholding, the Grantee may be required to pay additional Tax-Related Items directly to the local tax authorities or to the Company and/or the Employer. If the obligation for Tax-Related Items is satisfied by withholding in Shares, for tax purposes, the Grantee is deemed to have been issued the full number of Shares subject to the vested Restricted Stock Units, notwithstanding that a number of the Shares is held back solely for the purpose of paying the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the Grantee’s obligations in connection with the Tax-Related Items.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Section 409A of the Code.</w:t>
      </w:r>
      <w:r>
        <w:rPr>
          <w:rFonts w:ascii="Times New Roman" w:hAnsi="Times New Roman"/>
          <w:color w:val="000000"/>
          <w:sz w:val="20"/>
        </w:rPr>
        <w:t xml:space="preserve"> </w:t>
      </w:r>
      <w:r>
        <w:rPr>
          <w:rFonts w:ascii="Times New Roman" w:hAnsi="Times New Roman"/>
          <w:color w:val="000000"/>
          <w:sz w:val="24"/>
        </w:rPr>
        <w:t>This Agreement shall be interpreted in such a manner that all provisions relating to the settlement of the Award are exempt from the requirements of Section 409A as “short-term deferrals” as described in Section 409A.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No Obligation to Continue Service Relationship</w:t>
      </w:r>
      <w:r>
        <w:rPr>
          <w:rFonts w:ascii="Times New Roman" w:hAnsi="Times New Roman"/>
          <w:color w:val="000000"/>
          <w:sz w:val="24"/>
        </w:rPr>
        <w:t>. The Employer is not obligated by or as a result of the Plan or this Agreement to continue the Grantee’s Service Relationship, and neither the Plan nor this Agreement shall interfere in any way with the right of the Employer to terminate the Grantee’s Service Relationship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Nature of Grant</w:t>
      </w:r>
      <w:r>
        <w:rPr>
          <w:rFonts w:ascii="Times New Roman" w:hAnsi="Times New Roman"/>
          <w:color w:val="000000"/>
          <w:sz w:val="24"/>
        </w:rPr>
        <w:t>. In accepting the Award, the Grantee acknowledges, understands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Plan is established voluntarily by the Company, it is discretionary in nature, and may be amended, suspended, or terminated by the Company at any time, to the extent permitted by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decisions with respect to future Restricted Stock Units or other grants,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Grantee is voluntarily participating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Restricted Stock Units and any Shares subject to the Restricted Stock Units, and the income from and value of same, are not intended to replace any pension rights or compensation;</w:t>
      </w:r>
    </w:p>
    <w:p>
      <w:pPr>
        <w:pStyle w:val="TextBody"/>
        <w:bidi w:val="0"/>
        <w:spacing w:before="0" w:after="240"/>
        <w:jc w:val="both"/>
        <w:rPr>
          <w:rFonts w:ascii="Times New Roman" w:hAnsi="Times New Roman"/>
          <w:sz w:val="20"/>
        </w:rPr>
      </w:pPr>
      <w:r>
        <w:rPr>
          <w:rFonts w:ascii="Times New Roman" w:hAnsi="Times New Roman"/>
          <w:color w:val="000000"/>
          <w:sz w:val="24"/>
        </w:rPr>
        <w:t>(f) the grant of the Restricted Stock Units shall not be interpreted as forming or amending any Service Relationship with the Company or any Affiliate (including the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unless otherwise agreed with the Company, the Restricted Stock Units and the Shares subject to the Restricted Stock Units, and the income from and value of same, are not granted as consideration for, or in connection with, the service the Grantee may provide as a director of a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Restricted Stock Units and any Shares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future value of the Shares underlying the Restricted Stock Units is unknown, indeterminable, and cannot be predicted with certainty;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no claim or entitlement to compensation or damages shall arise from forfeiture of the Restricted Stock Units resulting from the termination of the Grantee’s Service Relationship (for any reason whatsoever, whether or not later found to be invalid or in breach of labor laws in the jurisdiction where the Grantee is employed or the terms of the Grantee’s employment agreement, if any);</w:t>
      </w:r>
    </w:p>
    <w:p>
      <w:pPr>
        <w:pStyle w:val="TextBody"/>
        <w:bidi w:val="0"/>
        <w:spacing w:before="0" w:after="240"/>
        <w:jc w:val="both"/>
        <w:rPr>
          <w:rFonts w:ascii="Times New Roman" w:hAnsi="Times New Roman"/>
          <w:sz w:val="20"/>
        </w:rPr>
      </w:pPr>
      <w:r>
        <w:rPr>
          <w:rFonts w:ascii="Times New Roman" w:hAnsi="Times New Roman"/>
          <w:color w:val="000000"/>
          <w:sz w:val="24"/>
        </w:rPr>
        <w:t>(k) unless otherwise provided in the Plan or by the Company in its discretion, the Restricted Stock Units and the benefits evidenced by this Agreement do not create any entitlement to have the Restricted Stock Units or any such benefits transferred to, or assumed by,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another company nor to be exchanged, cashed out, or substituted for, in connection with any corporate transaction affecting the Shares;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if the Grantee resides and/or works in a country outside the United States, the following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Restricted Stock Units and any Shares subject to the Restricted Stock Units, and the income from and value of same, are not part of normal or expected compensation for any purpose;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neither the Company, the Employer nor any other Affiliate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acquired upon settlement.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Appendix</w:t>
      </w:r>
      <w:r>
        <w:rPr>
          <w:rFonts w:ascii="Times New Roman" w:hAnsi="Times New Roman"/>
          <w:color w:val="000000"/>
          <w:sz w:val="24"/>
        </w:rPr>
        <w:t>. Notwithstanding any provision of this Global Restricted Stock Unit Award Agreement, if the Grantee resides in a country outside the United States or is otherwise subject to the laws of a country other than the United States, the Restricted Stock Units shall be subject to the additional terms and conditions set forth in the Appendix for the Grantee’s country, if any. Moreover, if the Grantee relocates to one of the countries included in the Appendix during the term of the Restricted Stock Units, the terms and conditions for such country shall apply to the Grantee, to the extent the Company determines that the application of such terms and conditions is necessary or advisable for legal or administrative reasons. The Appendix forms part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Language</w:t>
      </w:r>
      <w:r>
        <w:rPr>
          <w:rFonts w:ascii="Times New Roman" w:hAnsi="Times New Roman"/>
          <w:color w:val="000000"/>
          <w:sz w:val="24"/>
        </w:rPr>
        <w:t>. The Grantee acknowledges that the Grantee is proficient in the English language or has consulted with an advisor who is sufficiently proficient in English, so as to allow the Grantee to understand the terms and conditions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 unless otherwise required under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Waivers</w:t>
      </w:r>
      <w:r>
        <w:rPr>
          <w:rFonts w:ascii="Times New Roman" w:hAnsi="Times New Roman"/>
          <w:color w:val="000000"/>
          <w:sz w:val="24"/>
        </w:rPr>
        <w:t>. The Grantee acknowledges that a waiver by the Company of breach of any provision of this Agreement shall not operate or be construed as a waiver of any other provision of this Agreement, or of any subsequent breach by the Grantee or any other grantee.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Choice of Law</w:t>
      </w:r>
      <w:r>
        <w:rPr>
          <w:rFonts w:ascii="Times New Roman" w:hAnsi="Times New Roman"/>
          <w:color w:val="000000"/>
          <w:sz w:val="24"/>
        </w:rPr>
        <w:t>. This Agreement shall be governed by, and construed in accordance with, the laws of the State of Delaware, applied without regard to conflict of law principles.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Venue</w:t>
      </w:r>
      <w:r>
        <w:rPr>
          <w:rFonts w:ascii="Times New Roman" w:hAnsi="Times New Roman"/>
          <w:color w:val="000000"/>
          <w:sz w:val="24"/>
        </w:rPr>
        <w:t>. For purposes of litigating any dispute that arises directly or indirectly from the relationship of the parties evidenced by this Agreement, the parties hereby submit to and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Imposition of Other Requirements</w:t>
      </w:r>
      <w:r>
        <w:rPr>
          <w:rFonts w:ascii="Times New Roman" w:hAnsi="Times New Roman"/>
          <w:color w:val="000000"/>
          <w:sz w:val="24"/>
        </w:rPr>
        <w:t>. The Company reserves the right to impose other requirements on the Restricted Stock Units and the Shares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Electronic Delivery and Participation</w:t>
      </w:r>
      <w:r>
        <w:rPr>
          <w:rFonts w:ascii="Times New Roman" w:hAnsi="Times New Roman"/>
          <w:color w:val="000000"/>
          <w:sz w:val="24"/>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Compliance with Law</w:t>
      </w:r>
      <w:r>
        <w:rPr>
          <w:rFonts w:ascii="Times New Roman" w:hAnsi="Times New Roman"/>
          <w:color w:val="000000"/>
          <w:sz w:val="24"/>
        </w:rPr>
        <w:t>. Notwithstanding any other provision of the Plan or this Agreement, unless there is an available exemption from any registration, qualification, or other legal requirement applicable to the Shares, the Company shall not be required to permit the vesting of the Restricted Stock Units and/or deliver any Shares prior to the completion of any registration or qualification of the Shares under any U.S. or non-U.S. local, state or federal securities or other applicable law or under rulings or regulations of the U.S. Securities and Exchange Commission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Shares with the SEC or any state or non-U.S. securities commission or to seek approval or clearance from any governmental authority for the issuance or sale of the Shares subject to the Restricted Stock Units. Further, the Grantee agrees that the Company shall have unilateral authority to amend this Agreement without the Grantee’s consent to the extent necessary to comply with securities or other laws applicable to issuance of the Shares subject to the Restricted Stock Units.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Insider Trading Restrictions / Market Abuse Laws</w:t>
      </w:r>
      <w:r>
        <w:rPr>
          <w:rFonts w:ascii="Times New Roman" w:hAnsi="Times New Roman"/>
          <w:color w:val="000000"/>
          <w:sz w:val="24"/>
        </w:rPr>
        <w:t>. By accepting the Restricted Stock Units, the Grantee acknowledges that the Grantee is bound by all the terms and conditions of any Company’s insider trading policy as may be in effect from time to time. The Grantee further acknowledges that, depending on the Grantee’s country, the broker’s country or the country in which the Shares are listed, the Grantee may be or may become subject to insider trading restrictions and/or market abuse laws which may affect the Grantee’s ability to accept, acquire, sell or otherwise dispose of Shares, rights to Shares (</w:t>
      </w:r>
      <w:r>
        <w:rPr>
          <w:rFonts w:ascii="Times New Roman" w:hAnsi="Times New Roman"/>
          <w:i/>
          <w:color w:val="000000"/>
          <w:sz w:val="24"/>
        </w:rPr>
        <w:t>e.g.</w:t>
      </w:r>
      <w:r>
        <w:rPr>
          <w:rFonts w:ascii="Times New Roman" w:hAnsi="Times New Roman"/>
          <w:color w:val="000000"/>
          <w:sz w:val="24"/>
        </w:rPr>
        <w:t>, the Restricted Stock Units), or rights linked to the value of Shares under the Plan during such times as the Grantee is considered to have “inside information” regarding the Company (as defined by the laws in the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the Grantee’s personal advisor on this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Foreign Asset/Account, Exchange Control and Tax Reporting</w:t>
      </w:r>
      <w:r>
        <w:rPr>
          <w:rFonts w:ascii="Times New Roman" w:hAnsi="Times New Roman"/>
          <w:color w:val="000000"/>
          <w:sz w:val="24"/>
        </w:rPr>
        <w:t>. Depending on the Grantee’s country, the Grantee may be subject to foreign asset/account, exchange control, tax reporting, or other requirements which may affect the Grantee’s ability acquire or hold Restricted Stock Units or Shares under the Plan or cash received from participating in the Plan (including dividends and the proceeds arising from the sale of Shares) in a brokerage/bank account outside the Grantee’s country. The applicable laws of the Grantee’s country may require that the Grantee report such Restricted Stock Units, Shares, accounts, assets, or transactions to the applicable authorities in such country and/or repatriate funds received in connection with the Plan to the Grantee’s country within a certain time period or according to certain procedures. The Grantee acknowledges that the Grantee is responsible for ensuring compliance with any applicable requirements and should consult the Grantee’s personal legal advisor to ensure compliance with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Clawback</w:t>
      </w:r>
      <w:r>
        <w:rPr>
          <w:rFonts w:ascii="Times New Roman" w:hAnsi="Times New Roman"/>
          <w:color w:val="000000"/>
          <w:sz w:val="24"/>
        </w:rPr>
        <w:t>. The Grantee acknowledges and agrees that this Award is subject in all respects to the Company’s Compensation Recovery Policy (the “</w:t>
      </w:r>
      <w:r>
        <w:rPr>
          <w:rFonts w:ascii="Times New Roman" w:hAnsi="Times New Roman"/>
          <w:b/>
          <w:i/>
          <w:color w:val="000000"/>
          <w:sz w:val="24"/>
        </w:rPr>
        <w:t>Clawback Policy</w:t>
      </w:r>
      <w:r>
        <w:rPr>
          <w:rFonts w:ascii="Times New Roman" w:hAnsi="Times New Roman"/>
          <w:color w:val="000000"/>
          <w:sz w:val="20"/>
        </w:rPr>
        <w:t>”</w:t>
      </w:r>
      <w:r>
        <w:rPr>
          <w:rFonts w:ascii="Times New Roman" w:hAnsi="Times New Roman"/>
          <w:color w:val="000000"/>
          <w:sz w:val="24"/>
        </w:rPr>
        <w:t>), to the extent applicable, including the Company’s ability to recoup Erroneously Awarded Compensation (as defined in the Clawback Policy) thereunder. Any action by the Company to recover Erroneously Awarded Compensation under the Clawback Policy from the Grantee shall not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This Paragraph 23 is a material term of this Agreement.</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HUBSPOT, INC.</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This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jc w:val="both"/>
        <w:rPr>
          <w:rFonts w:ascii="Times New Roman" w:hAnsi="Times New Roman"/>
          <w:color w:val="000000"/>
          <w:sz w:val="24"/>
        </w:rPr>
      </w:pPr>
      <w:r>
        <w:rPr>
          <w:rFonts w:ascii="Times New Roman" w:hAnsi="Times New Roman"/>
          <w:color w:val="000000"/>
          <w:sz w:val="24"/>
        </w:rPr>
        <w:t xml:space="preserve">Dated: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Grantee’s Signature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Grantee’s name and address:</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APPENDIX</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GLOBAL RESTRICTED Stock UNIT AWARD AGREEMENT</w:t>
        <w:br/>
        <w:t>UNDER THE HubSpot, inc.</w:t>
        <w:b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but not defined in this Appendix shall have the same meanings assigned to them in the Plan and/or the Global Restricted Stock Unit Award Agreement.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w:t>
      </w:r>
      <w:r>
        <w:rPr>
          <w:rFonts w:ascii="Times New Roman" w:hAnsi="Times New Roman"/>
          <w:b/>
          <w:color w:val="000000"/>
          <w:sz w:val="24"/>
        </w:rPr>
        <w:t>May 2024</w:t>
      </w:r>
      <w:r>
        <w:rPr>
          <w:rFonts w:ascii="Times New Roman" w:hAnsi="Times New Roman"/>
          <w:color w:val="000000"/>
          <w:sz w:val="24"/>
        </w:rPr>
        <w:t>. Such laws are often complex and change frequently. As a result, the Company strongly recommends</w:t>
      </w:r>
      <w:r>
        <w:rPr>
          <w:rFonts w:ascii="Times New Roman" w:hAnsi="Times New Roman"/>
          <w:color w:val="000000"/>
          <w:sz w:val="20"/>
        </w:rPr>
        <w:t xml:space="preserve"> </w:t>
      </w:r>
      <w:r>
        <w:rPr>
          <w:rFonts w:ascii="Times New Roman" w:hAnsi="Times New Roman"/>
          <w:color w:val="000000"/>
          <w:sz w:val="24"/>
        </w:rPr>
        <w:t>that the Grantee not rely on the information noted herein as the only source of information relating to the consequences of participation in the Plan because the information may be out-of-date at the time the Grantee vests in the Restricted Stock Units or sells any Shares acquired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Grantee’s particular situation. As a result, the Company is not in a position to assure the Grantee of any particular result. Accordingly, the Grantee should seek appropriate professional advice as to how the relevant laws in the Grantee’s country may apply to the Grantee’s individual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ALL COUNTRIES OUTSIDE THE U.S., EUROPEAN UNION, EUROPEAN ECONOMIC AREA, AND UNITED KINGDOM</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Data Privacy Notification and Consent</w:t>
      </w:r>
      <w:r>
        <w:rPr>
          <w:rFonts w:ascii="Times New Roman" w:hAnsi="Times New Roman"/>
          <w:b/>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 By accepting the Award, the Grantee explicitly and unambiguously consents to the collection, use, and transfer, in electronic or other form, of the Grantee’s personal data as described in the Agreement by and among, as applicable, the Employer, the Company, and any Affiliates for the exclusive purpose of implementing, administering, and managing the Grantee’s participation in the Plan.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 The Grantee understands that the Company, the Employer, and any Affiliates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or directorships held in the Company, and details of all Restricted Stock Units or any other entitlement to shares awarded, canceled, vested, unvested, or outstanding in the Grantee’s favor (“Data”), for the purpose of implementing, administering and managing the Plan</w:t>
      </w:r>
    </w:p>
    <w:p>
      <w:pPr>
        <w:pStyle w:val="TextBody"/>
        <w:bidi w:val="0"/>
        <w:spacing w:before="0" w:after="240"/>
        <w:jc w:val="both"/>
        <w:rPr>
          <w:rFonts w:ascii="Times New Roman" w:hAnsi="Times New Roman"/>
          <w:sz w:val="20"/>
        </w:rPr>
      </w:pPr>
      <w:r>
        <w:rPr>
          <w:rFonts w:ascii="Times New Roman" w:hAnsi="Times New Roman"/>
          <w:b/>
          <w:i/>
          <w:color w:val="000000"/>
          <w:sz w:val="24"/>
        </w:rPr>
        <w:t>(c) The Grantee understands that Data will be transferred to Fidelity Stock Plan Services LLC, or such other stock plan service provider as may be selected by the Company in the future, which assists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may request a list with the names and addresses of any potential recipients of the Data by contacting the Grantee’s local human resources representative. The Grantee authorizes the Company, Fidelity Stock Plan Services LLC, and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received upon vesting of the Restricted Stock Units may be deposited. The Grantee understands that Data will be held only as long as is necessary to implement, administer, and manage the Grantee’s participation in the Plan. The Grantee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the Grantee is providing the consents herein on a purely voluntary basis. If the Grantee does not consent, or if the Grantee later seeks to revoke the Grantee’s consent, the Grantee’s Service Relationship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 affect the Grantee’s ability to participate in the Plan. For more information on the consequences of the Grantee’s refusal to consent or withdrawal of consent, the Grantee understands that the Grantee may contact the local human resources representative.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(d) 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the Grantee will not be able to participate in the Plan if the Grantee fails to provide any such consent or agreement requested by the Company and/or the Employer.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AUSTRALIA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xml:space="preserve">. This offer to participate in the Plan is being made under Division 1A, Part 7.12 of the </w:t>
      </w:r>
      <w:r>
        <w:rPr>
          <w:rFonts w:ascii="Times New Roman" w:hAnsi="Times New Roman"/>
          <w:i/>
          <w:color w:val="000000"/>
          <w:sz w:val="24"/>
        </w:rPr>
        <w:t>Corporations Act 2001 (Cth)</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Tax Information</w:t>
      </w:r>
      <w:r>
        <w:rPr>
          <w:rFonts w:ascii="Times New Roman" w:hAnsi="Times New Roman"/>
          <w:color w:val="000000"/>
          <w:sz w:val="24"/>
        </w:rPr>
        <w:t>. Subdivision 83A-C of the Income Tax Assessment Act, 1997 applies to the Restricted Stock Units granted under the Plan, such that the Restricted Stock Units are intended to be subject to deferred taxation.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b/>
          <w:color w:val="000000"/>
          <w:sz w:val="24"/>
        </w:rPr>
        <w:t xml:space="preserve">. </w:t>
      </w:r>
      <w:r>
        <w:rPr>
          <w:rFonts w:ascii="Times New Roman" w:hAnsi="Times New Roman"/>
          <w:color w:val="000000"/>
          <w:sz w:val="24"/>
        </w:rPr>
        <w:t>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BELGIUM</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Award Payable Only in Shares</w:t>
      </w:r>
      <w:r>
        <w:rPr>
          <w:rFonts w:ascii="Times New Roman" w:hAnsi="Times New Roman"/>
          <w:color w:val="000000"/>
          <w:sz w:val="24"/>
        </w:rPr>
        <w:t>. The Restricted Stock Units shall be paid in Shares only and do not provide the Grantee with any right to receive a cash payment.</w:t>
      </w:r>
    </w:p>
    <w:p>
      <w:pPr>
        <w:pStyle w:val="TextBody"/>
        <w:bidi w:val="0"/>
        <w:jc w:val="both"/>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The following terms and conditions apply if the Grantee resides in Quebec:</w:t>
      </w:r>
    </w:p>
    <w:p>
      <w:pPr>
        <w:pStyle w:val="TextBody"/>
        <w:bidi w:val="0"/>
        <w:jc w:val="both"/>
        <w:rPr>
          <w:rFonts w:ascii="Times New Roman" w:hAnsi="Times New Roman"/>
          <w:sz w:val="20"/>
        </w:rPr>
      </w:pPr>
      <w:r>
        <w:rPr>
          <w:rFonts w:ascii="Times New Roman" w:hAnsi="Times New Roman"/>
          <w:color w:val="000000"/>
          <w:sz w:val="24"/>
          <w:u w:val="single"/>
        </w:rPr>
        <w:t>Data Privacy</w:t>
      </w:r>
      <w:r>
        <w:rPr>
          <w:rFonts w:ascii="Times New Roman" w:hAnsi="Times New Roman"/>
          <w:color w:val="000000"/>
          <w:sz w:val="24"/>
        </w:rPr>
        <w:t>. The following provision supplements the “Data Privacy Notification and Consent” provision above in this Appendix:</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Grantee hereby authorizes the Company and the Company’s representatives to discuss with and obtain all relevant information from all personnel, professional or non-professional, involved in the administration and operation of the Plan for purposes that relate to the administration of the Plan. The Grantee acknowledges and agrees that the Grantee’s personal information, including any sensitive personal information, may be transferred or disclosed outside of the province of Quebec, including to the U.S. The Grantee further authorizes the Company, the Employer, its other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Affiliates, and the Administrator to disclose and discuss the Plan with their advisors. The Grantee further authorizes the Company, the Employer, its other Affiliates, and the Administrator to record all relevant information and to keep such information in the Grantee’s employee file. If applicable, the Grantee also acknowledges and authorizes the Company, the Employer, its other Affiliates, and the Administrator involved in the administration of the Plan to use technology for profiling purposes and to make automated decisions that may have an impact on the Grantee’s participation in the Plan or the administration of the Plan.</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Grantee is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under the symbol “HUBS.”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COLOMBIA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Nature of Grant</w:t>
      </w:r>
      <w:r>
        <w:rPr>
          <w:rFonts w:ascii="Times New Roman" w:hAnsi="Times New Roman"/>
          <w:color w:val="000000"/>
          <w:sz w:val="24"/>
        </w:rPr>
        <w:t>. The following provision supplements Paragraph 10 of the Global Restricted Stock Unit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The Shares are not and will not be registered in the Colombian registry of publicly traded securities (</w:t>
      </w:r>
      <w:r>
        <w:rPr>
          <w:rFonts w:ascii="Times New Roman" w:hAnsi="Times New Roman"/>
          <w:i/>
          <w:color w:val="000000"/>
          <w:sz w:val="24"/>
        </w:rPr>
        <w:t>Registro Nacional de Valores y Emisores</w:t>
      </w:r>
      <w:r>
        <w:rPr>
          <w:rFonts w:ascii="Times New Roman" w:hAnsi="Times New Roman"/>
          <w:color w:val="000000"/>
          <w:sz w:val="24"/>
        </w:rPr>
        <w:t>) and, therefore, the Shares may not be offered to the public in Colombia. Nothing in the Plan, the Agreement, or any other document evidencing the grant of the Restricted Stock Units shall be construed as the making of a public offer of securities in Colombia.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The Grantee is responsible for complying with any and all Colombian foreign exchange restrictions, approvals, and reporting requirements in connection with the Restricted Stock Units and any Shares acquired or funds received under the Plan. This may include reporting obligations to the Central Bank (</w:t>
      </w:r>
      <w:r>
        <w:rPr>
          <w:rFonts w:ascii="Times New Roman" w:hAnsi="Times New Roman"/>
          <w:i/>
          <w:color w:val="000000"/>
          <w:sz w:val="24"/>
        </w:rPr>
        <w:t>Banco de la República</w:t>
      </w:r>
      <w:r>
        <w:rPr>
          <w:rFonts w:ascii="Times New Roman" w:hAnsi="Times New Roman"/>
          <w:color w:val="000000"/>
          <w:sz w:val="24"/>
        </w:rPr>
        <w:t>). If applicable, the Grantee will be required to register the Grantee’s investment with the Central Bank, regardless of the value of investment. The Grantee should consult with a personal legal advisor regarding any obligations in connection with this reporting requirement.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FRANCE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rFonts w:ascii="Times New Roman" w:hAnsi="Times New Roman"/>
          <w:sz w:val="20"/>
        </w:rPr>
      </w:pPr>
      <w:r>
        <w:rPr>
          <w:rFonts w:ascii="Times New Roman" w:hAnsi="Times New Roman"/>
          <w:color w:val="000000"/>
          <w:sz w:val="24"/>
          <w:u w:val="single"/>
        </w:rPr>
        <w:t>Type of Grant</w:t>
      </w:r>
      <w:r>
        <w:rPr>
          <w:rFonts w:ascii="Times New Roman" w:hAnsi="Times New Roman"/>
          <w:color w:val="000000"/>
          <w:sz w:val="24"/>
        </w:rPr>
        <w:t>. The Restricted Stock Units are not granted as “French-qualified” awards and are not intended to qualify for the special tax and social security treatment applicable to shares granted for no consideration under Sections L. 225-197-1 to L. 225-197-5 and Sections L. 22-10-59 to L. 22-10-60 of the French Commercial Code, as amended.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Language</w:t>
      </w:r>
      <w:r>
        <w:rPr>
          <w:rFonts w:ascii="Times New Roman" w:hAnsi="Times New Roman"/>
          <w:color w:val="000000"/>
          <w:sz w:val="24"/>
        </w:rPr>
        <w:t>. By accepting the Restricted Stock Units, the Grantee confirms having read and understood the documents relating to the Restricted Stock Units, which were provided to the Grantee in English.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4"/>
        </w:rPr>
        <w:t xml:space="preserve">En acceptant l'attribution d’actions gratuites « Restricted </w:t>
      </w:r>
      <w:r>
        <w:rPr>
          <w:rFonts w:ascii="Times New Roman" w:hAnsi="Times New Roman"/>
          <w:color w:val="000000"/>
          <w:sz w:val="24"/>
        </w:rPr>
        <w:t xml:space="preserve">Stock </w:t>
      </w:r>
      <w:r>
        <w:rPr>
          <w:rFonts w:ascii="Times New Roman" w:hAnsi="Times New Roman"/>
          <w:i/>
          <w:color w:val="000000"/>
          <w:sz w:val="24"/>
        </w:rPr>
        <w:t xml:space="preserve">Units », le Grantee confirme avoir lu et compris les documents relatifs aux Restricted </w:t>
      </w:r>
      <w:r>
        <w:rPr>
          <w:rFonts w:ascii="Times New Roman" w:hAnsi="Times New Roman"/>
          <w:color w:val="000000"/>
          <w:sz w:val="24"/>
        </w:rPr>
        <w:t xml:space="preserve">Stock </w:t>
      </w:r>
      <w:r>
        <w:rPr>
          <w:rFonts w:ascii="Times New Roman" w:hAnsi="Times New Roman"/>
          <w:i/>
          <w:color w:val="000000"/>
          <w:sz w:val="24"/>
        </w:rPr>
        <w:t>Units qui ont été communiqués au Grantee en langue anglaise.</w:t>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GERMANY</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Certain transactions related to the Restricted Stock Units must be reported to the German Federal Bank (</w:t>
      </w:r>
      <w:r>
        <w:rPr>
          <w:rFonts w:ascii="Times New Roman" w:hAnsi="Times New Roman"/>
          <w:i/>
          <w:color w:val="000000"/>
          <w:sz w:val="24"/>
        </w:rPr>
        <w:t>Bundesbank</w:t>
      </w:r>
      <w:r>
        <w:rPr>
          <w:rFonts w:ascii="Times New Roman" w:hAnsi="Times New Roman"/>
          <w:color w:val="000000"/>
          <w:sz w:val="24"/>
        </w:rPr>
        <w:t>) if the value of the transaction exceeds €12,500 (the “</w:t>
      </w:r>
      <w:r>
        <w:rPr>
          <w:rFonts w:ascii="Times New Roman" w:hAnsi="Times New Roman"/>
          <w:b/>
          <w:i/>
          <w:color w:val="000000"/>
          <w:sz w:val="24"/>
        </w:rPr>
        <w:t>Threshold</w:t>
      </w:r>
      <w:r>
        <w:rPr>
          <w:rFonts w:ascii="Times New Roman" w:hAnsi="Times New Roman"/>
          <w:color w:val="000000"/>
          <w:sz w:val="20"/>
        </w:rPr>
        <w:t>”</w:t>
      </w:r>
      <w:r>
        <w:rPr>
          <w:rFonts w:ascii="Times New Roman" w:hAnsi="Times New Roman"/>
          <w:color w:val="000000"/>
          <w:sz w:val="24"/>
        </w:rPr>
        <w:t>). If the Grantee acquires Shares with a value in excess of the Threshold, the Employer will generally not report the acquisition of such Shares, and the Grantee may personally be obligated to report it to the Bundesbank.</w:t>
      </w:r>
    </w:p>
    <w:p>
      <w:pPr>
        <w:pStyle w:val="TextBody"/>
        <w:bidi w:val="0"/>
        <w:spacing w:before="0" w:after="240"/>
        <w:jc w:val="both"/>
        <w:rPr>
          <w:rFonts w:ascii="Times New Roman" w:hAnsi="Times New Roman"/>
          <w:sz w:val="20"/>
        </w:rPr>
      </w:pPr>
      <w:r>
        <w:rPr>
          <w:rFonts w:ascii="Times New Roman" w:hAnsi="Times New Roman"/>
          <w:color w:val="000000"/>
          <w:sz w:val="24"/>
        </w:rPr>
        <w:t>In addition, the Grantee will be required to report (i) any payment the Grantee makes or receives, (ii) any Shares withheld or sold by the Company to satisfy the Employer’s withholding obligations for Tax-Related Items, and (iii) any sale proceeds received when the Grantee subsequently sells the Shares, in either case if the value of the Shares exceeds the Threshold. Note that, if the Grantee reports the receipt of sale proceeds, the Grantee would not need to file a separate report when repatriating the sale proceeds to Germany.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report must be filed with the Bundesbank, either electronically using the “General Statistics Reporting Portal” (</w:t>
      </w:r>
      <w:r>
        <w:rPr>
          <w:rFonts w:ascii="Times New Roman" w:hAnsi="Times New Roman"/>
          <w:i/>
          <w:color w:val="000000"/>
          <w:sz w:val="24"/>
        </w:rPr>
        <w:t>Allgemeines Meldeportal Statistik</w:t>
      </w:r>
      <w:r>
        <w:rPr>
          <w:rFonts w:ascii="Times New Roman" w:hAnsi="Times New Roman"/>
          <w:color w:val="000000"/>
          <w:sz w:val="24"/>
        </w:rPr>
        <w:t xml:space="preserve">) available via the </w:t>
      </w:r>
      <w:r>
        <w:rPr>
          <w:rFonts w:ascii="Times New Roman" w:hAnsi="Times New Roman"/>
          <w:i/>
          <w:color w:val="000000"/>
          <w:sz w:val="24"/>
        </w:rPr>
        <w:t>Bundesbank’s</w:t>
      </w:r>
      <w:r>
        <w:rPr>
          <w:rFonts w:ascii="Times New Roman" w:hAnsi="Times New Roman"/>
          <w:color w:val="000000"/>
          <w:sz w:val="20"/>
        </w:rPr>
        <w:t xml:space="preserve"> </w:t>
      </w:r>
      <w:r>
        <w:rPr>
          <w:rFonts w:ascii="Times New Roman" w:hAnsi="Times New Roman"/>
          <w:color w:val="000000"/>
          <w:sz w:val="24"/>
        </w:rPr>
        <w:t>website (www.bundesbank.de) or by such other method (</w:t>
      </w:r>
      <w:r>
        <w:rPr>
          <w:rFonts w:ascii="Times New Roman" w:hAnsi="Times New Roman"/>
          <w:i/>
          <w:color w:val="000000"/>
          <w:sz w:val="24"/>
        </w:rPr>
        <w:t>e.g.</w:t>
      </w:r>
      <w:r>
        <w:rPr>
          <w:rFonts w:ascii="Times New Roman" w:hAnsi="Times New Roman"/>
          <w:color w:val="000000"/>
          <w:sz w:val="24"/>
        </w:rPr>
        <w:t xml:space="preserve">, email or telephone) as is permitted or required by the Bundesbank. The report must be submitted monthly or within such other time as is permitted or required by the Bundesbank. </w:t>
      </w:r>
      <w:r>
        <w:rPr>
          <w:rFonts w:ascii="Times New Roman" w:hAnsi="Times New Roman"/>
          <w:i/>
          <w:color w:val="000000"/>
          <w:sz w:val="24"/>
        </w:rPr>
        <w:t>The Grantee should consult a personal advisor to ensure compliance with applicable reporting obligations.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INDIA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Due to Indian exchange control regulations, the proceeds from the sale of Shares acquired at vesting of the Restricted Stock Units and any cash dividends paid on Shares acquired under the Plan must be repatriated to India within a certain period of time, 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required under applicable regulations. The Grantee will receive a foreign inward remittance certificate (the “</w:t>
      </w:r>
      <w:r>
        <w:rPr>
          <w:rFonts w:ascii="Times New Roman" w:hAnsi="Times New Roman"/>
          <w:b/>
          <w:i/>
          <w:color w:val="000000"/>
          <w:sz w:val="24"/>
        </w:rPr>
        <w:t>FIRC</w:t>
      </w:r>
      <w:r>
        <w:rPr>
          <w:rFonts w:ascii="Times New Roman" w:hAnsi="Times New Roman"/>
          <w:color w:val="000000"/>
          <w:sz w:val="20"/>
        </w:rPr>
        <w:t>”</w:t>
      </w:r>
      <w:r>
        <w:rPr>
          <w:rFonts w:ascii="Times New Roman" w:hAnsi="Times New Roman"/>
          <w:color w:val="000000"/>
          <w:sz w:val="24"/>
        </w:rPr>
        <w:t>) from the bank where the Grantee deposits the foreign currency. The Grantee should maintain the FIRC as evidence of the repatriation of fund in the event the Reserve Bank of India, the Company, or the Employer requests proof of repatriation. The Grantee may be required to provide information regarding the Shares or funds related to participation in the Plan to the Company or the Employer to facilitate their compliance with filing requirements under exchange control laws in India. The Grantee should consult with a personal advisor in this regard.</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Director Notification Information</w:t>
      </w:r>
      <w:r>
        <w:rPr>
          <w:rFonts w:ascii="Times New Roman" w:hAnsi="Times New Roman"/>
          <w:color w:val="000000"/>
          <w:sz w:val="24"/>
        </w:rPr>
        <w:t>. Directors, shadow directors, and secretaries of an Irish Affiliate must notify such Affiliate in writing upon (i) receiving or disposing of an interest in the Company (</w:t>
      </w:r>
      <w:r>
        <w:rPr>
          <w:rFonts w:ascii="Times New Roman" w:hAnsi="Times New Roman"/>
          <w:i/>
          <w:color w:val="000000"/>
          <w:sz w:val="24"/>
        </w:rPr>
        <w:t>e.g.</w:t>
      </w:r>
      <w:r>
        <w:rPr>
          <w:rFonts w:ascii="Times New Roman" w:hAnsi="Times New Roman"/>
          <w:color w:val="000000"/>
          <w:sz w:val="24"/>
        </w:rPr>
        <w:t>, the Restricted Stock Units,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a personal legal advisor as to whether or not this notification requirement applies.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JAPAN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If the Grantee acquires Shares valued at more than ¥100,000,000 in a single transaction, the Grantee must file a Securities Acquisition Report with the Ministry of Finance through the Bank of Japan within 20 days of the acquisition of the Shares.</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NETHERLANDS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SINGAPORE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Restrictions on Sale and Transferability</w:t>
      </w:r>
      <w:r>
        <w:rPr>
          <w:rFonts w:ascii="Times New Roman" w:hAnsi="Times New Roman"/>
          <w:color w:val="000000"/>
          <w:sz w:val="24"/>
        </w:rPr>
        <w:t>. The Grantee hereby agrees that any Shares acquired pursuant to the Restricted Stock Units will not be offered for sale in Singapore, unless such sale or offer is made: (1) more than six (6) months after the Grant Date or (2) pursuant to the exemptions under Part XIII Division (1) Subdivision (4) (other than section 280) of the Securities and Futures Act (Chapter 289, 2006 Ed.) (“</w:t>
      </w:r>
      <w:r>
        <w:rPr>
          <w:rFonts w:ascii="Times New Roman" w:hAnsi="Times New Roman"/>
          <w:b/>
          <w:i/>
          <w:color w:val="000000"/>
          <w:sz w:val="24"/>
        </w:rPr>
        <w:t>SFA</w:t>
      </w:r>
      <w:r>
        <w:rPr>
          <w:rFonts w:ascii="Times New Roman" w:hAnsi="Times New Roman"/>
          <w:color w:val="000000"/>
          <w:sz w:val="20"/>
        </w:rPr>
        <w:t>”</w:t>
      </w:r>
      <w:r>
        <w:rPr>
          <w:rFonts w:ascii="Times New Roman" w:hAnsi="Times New Roman"/>
          <w:color w:val="000000"/>
          <w:sz w:val="24"/>
        </w:rPr>
        <w:t>).</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The grant of the Restricted Stock Units is being made</w:t>
      </w:r>
      <w:r>
        <w:rPr>
          <w:rFonts w:ascii="Times New Roman" w:hAnsi="Times New Roman"/>
          <w:color w:val="000000"/>
          <w:sz w:val="20"/>
        </w:rPr>
        <w:t xml:space="preserve"> </w:t>
      </w:r>
      <w:r>
        <w:rPr>
          <w:rFonts w:ascii="Times New Roman" w:hAnsi="Times New Roman"/>
          <w:color w:val="000000"/>
          <w:sz w:val="24"/>
        </w:rPr>
        <w:t>pursuant to the “Qualifying Person” exemption under section 273(1)(f) of the SFA and is not made with a view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Shares being subsequently offered for sale to any other party. The Plan has not been lodged or registered as a prospectus with the Monetary Authority of Singapore.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u w:val="single"/>
        </w:rPr>
        <w:t>Director Notification Obligation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directors (including alternative directors, substitute directors, and shadow directors) of a Singaporean Affiliate are subject to certain notification requirements under the Singapore Companies Act. The directors must notify the Singaporean Affiliate in writing of an interest (</w:t>
      </w:r>
      <w:r>
        <w:rPr>
          <w:rFonts w:ascii="Times New Roman" w:hAnsi="Times New Roman"/>
          <w:i/>
          <w:color w:val="000000"/>
          <w:sz w:val="24"/>
        </w:rPr>
        <w:t>e.g.</w:t>
      </w:r>
      <w:r>
        <w:rPr>
          <w:rFonts w:ascii="Times New Roman" w:hAnsi="Times New Roman"/>
          <w:color w:val="000000"/>
          <w:sz w:val="24"/>
        </w:rPr>
        <w:t>, the Award or Shares) in the Company within two (2) business days of (i) its acquisition or disposal, (ii) any change in a previously-disclosed interest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upon vesting of the Restricted Stock Units or when Shares acquired under the Plan are subsequently sold), or (iii) becoming a director.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SPAIN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Nature of Grant</w:t>
      </w:r>
      <w:r>
        <w:rPr>
          <w:rFonts w:ascii="Times New Roman" w:hAnsi="Times New Roman"/>
          <w:color w:val="000000"/>
          <w:sz w:val="24"/>
        </w:rPr>
        <w:t>. The following provision supplements Paragraph 10 of the Global Restricted Stock Unit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Restricted Stock Unit, Grantee consents to participation in the Plan and acknowledges that Grantee has received a copy of the Plan.</w:t>
      </w:r>
    </w:p>
    <w:p>
      <w:pPr>
        <w:pStyle w:val="TextBody"/>
        <w:bidi w:val="0"/>
        <w:spacing w:before="0" w:after="240"/>
        <w:jc w:val="both"/>
        <w:rPr>
          <w:rFonts w:ascii="Times New Roman" w:hAnsi="Times New Roman"/>
          <w:sz w:val="20"/>
        </w:rPr>
      </w:pPr>
      <w:r>
        <w:rPr>
          <w:rFonts w:ascii="Times New Roman" w:hAnsi="Times New Roman"/>
          <w:color w:val="000000"/>
          <w:sz w:val="24"/>
        </w:rPr>
        <w:t>Grantee understands and agrees that, as a condition of the grant of the Restricted Stock Unit, except as provided for in the Global Restricted Stock Unit Award Agreement, the termination of Grantee’s Service Relationship for any reason (including for the reasons herein) will automatically result in the loss of the Restricted Stock Unit that may have been granted and that have not vested on the date of termination.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In particular, Grantee understands and agrees that any unvested Restricted Stock Unit as of Grantee’s termination date, unless otherwise specified in Global Restricted Stock Unit Award Agreement, will be forfeited without entitlement to the underlying Shares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 w:hAnsi="Times New Roman"/>
          <w:i/>
          <w:color w:val="000000"/>
          <w:sz w:val="24"/>
        </w:rPr>
        <w:t>i</w:t>
      </w:r>
      <w:r>
        <w:rPr>
          <w:rFonts w:ascii="Times New Roman" w:hAnsi="Times New Roman"/>
          <w:color w:val="000000"/>
          <w:sz w:val="24"/>
        </w:rPr>
        <w:t>.</w:t>
      </w:r>
      <w:r>
        <w:rPr>
          <w:rFonts w:ascii="Times New Roman" w:hAnsi="Times New Roman"/>
          <w:i/>
          <w:color w:val="000000"/>
          <w:sz w:val="24"/>
        </w:rPr>
        <w:t>e</w:t>
      </w:r>
      <w:r>
        <w:rPr>
          <w:rFonts w:ascii="Times New Roman" w:hAnsi="Times New Roman"/>
          <w:color w:val="000000"/>
          <w:sz w:val="24"/>
        </w:rPr>
        <w:t>., subject to a “</w:t>
      </w:r>
      <w:r>
        <w:rPr>
          <w:rFonts w:ascii="Times New Roman" w:hAnsi="Times New Roman"/>
          <w:i/>
          <w:color w:val="000000"/>
          <w:sz w:val="24"/>
        </w:rPr>
        <w:t>despido improcedente</w:t>
      </w:r>
      <w:r>
        <w:rPr>
          <w:rFonts w:ascii="Times New Roman" w:hAnsi="Times New Roman"/>
          <w:color w:val="000000"/>
          <w:sz w:val="20"/>
        </w:rPr>
        <w:t>”</w:t>
      </w:r>
      <w:r>
        <w:rPr>
          <w:rFonts w:ascii="Times New Roman" w:hAnsi="Times New Roman"/>
          <w:color w:val="000000"/>
          <w:sz w:val="24"/>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Furthermore, the Grantee understands that the Company has unilaterally, gratuitously, and discretionally decided to grant the Restricted Stock Unit under the Plan to individuals who may be service providers of the Company or its Affiliates. The decision is a limited decision that is entered into upon the express assumption and condition that any grant will not economically or otherwise bind the Company on an ongoing basis other than to the extent set forth in the Global Restricted Stock Unit Award Agreement. Consequently, Grantee understands that the Restricted Stock Unit is granted on the assumption and condition that the Restricted Stock Unit and the Shares issued upon vesting shall not become a part of any employment or contract (with the Company, including the Employer) and shall not be considered a mandatory benefit, salary for any purposes (including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severance compensation), or any other right whatsoever. Furthermore, the Grantee understands and freely accepts that there is no guarantee that any benefit whatsoever will arise from the Restricted Stock Unit, which is gratuitous and discretionary, since the future value of the Restricted Stock Unit and the underlying Shares is unknown and unpredictable. In addition, Grantee understands that the grant of the Restricted Stock Unit would not be made to Grantee but for the assumptions and conditions referred to above; thus, Grantee acknowledges and freely accepts that should any or all of the assumptions be mistaken or should any of the conditions not be met for any reason, then any grant to Grantee shall be null and void.</w:t>
      </w:r>
      <w:r>
        <w:rPr>
          <w:rFonts w:ascii="Times New Roman" w:hAnsi="Times New Roman"/>
          <w:smallCaps/>
          <w:color w:val="000000"/>
          <w:sz w:val="20"/>
        </w:rPr>
        <w:t xml:space="preserve">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xml:space="preserve">. No “offer of securities to the public,” as defined under Spanish law, has taken place or will take place in the Spanish territory. The Global Restricted Stock Unit Award Agreement (including this Appendix) has not been nor will it be registered with the </w:t>
      </w:r>
      <w:r>
        <w:rPr>
          <w:rFonts w:ascii="Times New Roman" w:hAnsi="Times New Roman"/>
          <w:i/>
          <w:color w:val="000000"/>
          <w:sz w:val="24"/>
        </w:rPr>
        <w:t>Comisión Nacional del Mercado de Valores</w:t>
      </w:r>
      <w:r>
        <w:rPr>
          <w:rFonts w:ascii="Times New Roman" w:hAnsi="Times New Roman"/>
          <w:color w:val="000000"/>
          <w:sz w:val="24"/>
        </w:rPr>
        <w:t>, and does not constitute a public offering prospectus.</w:t>
      </w:r>
    </w:p>
    <w:p>
      <w:pPr>
        <w:pStyle w:val="TextBody"/>
        <w:bidi w:val="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The Grantee will be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SWEDEN</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Responsibility for Taxes</w:t>
      </w:r>
      <w:r>
        <w:rPr>
          <w:rFonts w:ascii="Times New Roman" w:hAnsi="Times New Roman"/>
          <w:color w:val="000000"/>
          <w:sz w:val="24"/>
        </w:rPr>
        <w:t>. The following provision supplements Paragraph 6 of the Global Restricted Stock Unit Award Agreement: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Company’s and the Employer’s authority to satisfy their withholding obligations for Tax-Related Items as set forth in Paragraph 6 of the Global Restricted Stock Unit Award Agreement, by accepting the Restricted Stock Units, the Grantee authorizes the Company and/or the Employer to withhold Shares or to sell Shares otherwise deliverable to the Grantee upon settlement/vesting to satisfy Tax-Related Items, regardless of whether the Company and/or the Employer have an obligation to withhold such Tax-Related Items.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UNITED KINGDOM</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Responsibility for Taxes</w:t>
      </w:r>
      <w:r>
        <w:rPr>
          <w:rFonts w:ascii="Times New Roman" w:hAnsi="Times New Roman"/>
          <w:color w:val="000000"/>
          <w:sz w:val="24"/>
        </w:rPr>
        <w:t>. The following provisions supplement Paragraph 6 of the Global Restricted Stock Unit Award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Without limitation to Section 6 of the Global Restricted Stock Unit Award Agreement, the Grantee agrees that the Grantee is liable for all Tax-Related Items and hereby covenants to pay all such Tax-Related Items as and when requested by the Company or the Employer or by HM Revenue and Customs (“</w:t>
      </w:r>
      <w:r>
        <w:rPr>
          <w:rFonts w:ascii="Times New Roman" w:hAnsi="Times New Roman"/>
          <w:b/>
          <w:i/>
          <w:color w:val="000000"/>
          <w:sz w:val="24"/>
        </w:rPr>
        <w:t>HMRC</w:t>
      </w:r>
      <w:r>
        <w:rPr>
          <w:rFonts w:ascii="Times New Roman" w:hAnsi="Times New Roman"/>
          <w:color w:val="000000"/>
          <w:sz w:val="20"/>
        </w:rPr>
        <w:t>”</w:t>
      </w:r>
      <w:r>
        <w:rPr>
          <w:rFonts w:ascii="Times New Roman" w:hAnsi="Times New Roman"/>
          <w:color w:val="000000"/>
          <w:sz w:val="24"/>
        </w:rPr>
        <w:t>) (or any other tax authority or any other relevant authority). The Grantee also agrees to indemnify and keep indemnified the Company or the Employer against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Tax-Related Items that they are required to pay or withhold or have paid or will pay to HMRC (or any other tax authority or any other relevant authority) on the Grantee’s behalf.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 additional income tax and national insurance contributions (“</w:t>
      </w:r>
      <w:r>
        <w:rPr>
          <w:rFonts w:ascii="Times New Roman" w:hAnsi="Times New Roman"/>
          <w:b/>
          <w:i/>
          <w:color w:val="000000"/>
          <w:sz w:val="24"/>
        </w:rPr>
        <w:t>NICs</w:t>
      </w:r>
      <w:r>
        <w:rPr>
          <w:rFonts w:ascii="Times New Roman" w:hAnsi="Times New Roman"/>
          <w:color w:val="000000"/>
          <w:sz w:val="20"/>
        </w:rPr>
        <w:t>”</w:t>
      </w:r>
      <w:r>
        <w:rPr>
          <w:rFonts w:ascii="Times New Roman" w:hAnsi="Times New Roman"/>
          <w:color w:val="000000"/>
          <w:sz w:val="24"/>
        </w:rPr>
        <w:t>) may be payable. The Grantee will be responsible for reporting and paying any income tax due on this additional benefit directly to HMRC under the self-assessment regime and for paying to the Company or the Employer, as applicable, any employee NICs due on this additional benefit, which the Company or the Employer may recover from the Grantee by any of the means referred to in Section 6 of the Global Restricted Stock Unit Award Agreement.</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hubs-ex10_2.htm"/>
      <w:bookmarkStart w:id="25" w:name="kshubsex10_2"/>
      <w:bookmarkEnd w:id="24"/>
      <w:bookmarkEnd w:id="25"/>
      <w:r>
        <w:rPr>
          <w:rFonts w:ascii="Times New Roman" w:hAnsi="Times New Roman"/>
          <w:b/>
          <w:color w:val="000000"/>
          <w:sz w:val="20"/>
        </w:rPr>
        <w:t>Exhibit 10.2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AMENDED AND RESTATED NON-EMPLOYEE DIRECTOR COMPENSATION POLICY</w:t>
      </w:r>
    </w:p>
    <w:p>
      <w:pPr>
        <w:pStyle w:val="TextBody"/>
        <w:bidi w:val="0"/>
        <w:spacing w:before="240" w:after="283"/>
        <w:jc w:val="left"/>
        <w:rPr>
          <w:rFonts w:ascii="Times New Roman" w:hAnsi="Times New Roman"/>
          <w:sz w:val="20"/>
        </w:rPr>
      </w:pPr>
      <w:r>
        <w:rPr>
          <w:rFonts w:ascii="Times New Roman" w:hAnsi="Times New Roman"/>
          <w:color w:val="000000"/>
          <w:sz w:val="20"/>
        </w:rPr>
        <w:t>The purpose of this Amended and Restated Non-Employee Director Compensation Policy (the “</w:t>
      </w:r>
      <w:r>
        <w:rPr>
          <w:rFonts w:ascii="Times New Roman" w:hAnsi="Times New Roman"/>
          <w:b/>
          <w:color w:val="000000"/>
          <w:sz w:val="20"/>
        </w:rPr>
        <w:t>Policy</w:t>
      </w:r>
      <w:r>
        <w:rPr>
          <w:rFonts w:ascii="Times New Roman" w:hAnsi="Times New Roman"/>
          <w:color w:val="000000"/>
          <w:sz w:val="20"/>
        </w:rPr>
        <w:t>”) of HubSpot, Inc. (the “</w:t>
      </w:r>
      <w:r>
        <w:rPr>
          <w:rFonts w:ascii="Times New Roman" w:hAnsi="Times New Roman"/>
          <w:b/>
          <w:color w:val="000000"/>
          <w:sz w:val="20"/>
        </w:rPr>
        <w:t>Company</w:t>
      </w:r>
      <w:r>
        <w:rPr>
          <w:rFonts w:ascii="Times New Roman" w:hAnsi="Times New Roman"/>
          <w:color w:val="000000"/>
          <w:sz w:val="20"/>
        </w:rPr>
        <w:t>”), is to provide a total compensation package that enables the Company to attract and retain, on a long-term basis, high-caliber directors who are not employees or officers of the Company or its subsidiaries (“</w:t>
      </w:r>
      <w:r>
        <w:rPr>
          <w:rFonts w:ascii="Times New Roman" w:hAnsi="Times New Roman"/>
          <w:b/>
          <w:color w:val="000000"/>
          <w:sz w:val="20"/>
        </w:rPr>
        <w:t>Outside Directors</w:t>
      </w:r>
      <w:r>
        <w:rPr>
          <w:rFonts w:ascii="Times New Roman" w:hAnsi="Times New Roman"/>
          <w:color w:val="000000"/>
          <w:sz w:val="20"/>
        </w:rPr>
        <w:t>”). This Policy will become effective as of June 11, 2024 (the “Effective Date”). In furtherance of the purpose stated above, all Outside Directors shall be paid compensation for services provided to the Company as set forth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Cash Retainers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Annual Retainer for Board Membership</w:t>
      </w:r>
      <w:r>
        <w:rPr>
          <w:rFonts w:ascii="Times New Roman" w:hAnsi="Times New Roman"/>
          <w:color w:val="000000"/>
          <w:sz w:val="20"/>
        </w:rPr>
        <w:t>: $50,000 for general availability and participation in meetings and conference calls of the Board of Directors the (“</w:t>
      </w:r>
      <w:r>
        <w:rPr>
          <w:rFonts w:ascii="Times New Roman" w:hAnsi="Times New Roman"/>
          <w:b/>
          <w:color w:val="000000"/>
          <w:sz w:val="20"/>
        </w:rPr>
        <w:t>Board</w:t>
      </w:r>
      <w:r>
        <w:rPr>
          <w:rFonts w:ascii="Times New Roman" w:hAnsi="Times New Roman"/>
          <w:color w:val="000000"/>
          <w:sz w:val="20"/>
        </w:rPr>
        <w:t>”), to be paid quarterly in advance. No additional compensation will be paid for attending individual meetings of the Board.</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Annual Retainer for Lead Independent Director</w:t>
      </w:r>
      <w:r>
        <w:rPr>
          <w:rFonts w:ascii="Times New Roman" w:hAnsi="Times New Roman"/>
          <w:color w:val="000000"/>
          <w:sz w:val="20"/>
        </w:rPr>
        <w:t>: $25,000 to be paid quarterly, in advance.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Additional Retainers for Committee Membership to be paid quarterly, in advance:</w:t>
      </w:r>
    </w:p>
    <w:tbl>
      <w:tblPr>
        <w:tblW w:w="6883" w:type="dxa"/>
        <w:jc w:val="left"/>
        <w:tblInd w:w="0" w:type="dxa"/>
        <w:tblLayout w:type="fixed"/>
        <w:tblCellMar>
          <w:top w:w="28" w:type="dxa"/>
          <w:left w:w="28" w:type="dxa"/>
          <w:bottom w:w="28" w:type="dxa"/>
          <w:right w:w="28" w:type="dxa"/>
        </w:tblCellMar>
      </w:tblPr>
      <w:tblGrid>
        <w:gridCol w:w="5556"/>
        <w:gridCol w:w="109"/>
        <w:gridCol w:w="211"/>
        <w:gridCol w:w="676"/>
        <w:gridCol w:w="331"/>
      </w:tblGrid>
      <w:tr>
        <w:trPr/>
        <w:tc>
          <w:tcPr>
            <w:tcW w:w="5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55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Audit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5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Audit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55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5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55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Nominating and Corporate Governance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5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Nominating and Corporate Governance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 Chairperson retainers are in addition to member retainers. No equity retainers shall be paid as compensation for committee membership. No additional compensation will be paid for attending individual committee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Directors shall be entitled to retain any retainer fees paid in advance with respect to the quarter in which the Outside Director ceases to be a director or ceases to serve on a committee, as committee Chair or as Lead Independent Director.</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Equity Retainers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Annual equity grants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On the date of each annual meeting of stockholders of the Company (each, an “</w:t>
      </w:r>
      <w:r>
        <w:rPr>
          <w:rFonts w:ascii="Times New Roman" w:hAnsi="Times New Roman"/>
          <w:b/>
          <w:color w:val="000000"/>
          <w:sz w:val="20"/>
        </w:rPr>
        <w:t>Annual Meeting</w:t>
      </w:r>
      <w:r>
        <w:rPr>
          <w:rFonts w:ascii="Times New Roman" w:hAnsi="Times New Roman"/>
          <w:color w:val="000000"/>
          <w:sz w:val="20"/>
        </w:rPr>
        <w:t>”), each Outside Director will receive an annual equity award (the “</w:t>
      </w:r>
      <w:r>
        <w:rPr>
          <w:rFonts w:ascii="Times New Roman" w:hAnsi="Times New Roman"/>
          <w:b/>
          <w:color w:val="000000"/>
          <w:sz w:val="20"/>
        </w:rPr>
        <w:t>Annual Grant</w:t>
      </w:r>
      <w:r>
        <w:rPr>
          <w:rFonts w:ascii="Times New Roman" w:hAnsi="Times New Roman"/>
          <w:color w:val="000000"/>
          <w:sz w:val="20"/>
        </w:rPr>
        <w:t>”) with a Value of $250,000. Annual Grants will be in the form of restricted stock units (“</w:t>
      </w:r>
      <w:r>
        <w:rPr>
          <w:rFonts w:ascii="Times New Roman" w:hAnsi="Times New Roman"/>
          <w:b/>
          <w:color w:val="000000"/>
          <w:sz w:val="20"/>
        </w:rPr>
        <w:t>RSUs</w:t>
      </w:r>
      <w:r>
        <w:rPr>
          <w:rFonts w:ascii="Times New Roman" w:hAnsi="Times New Roman"/>
          <w:color w:val="000000"/>
          <w:sz w:val="20"/>
        </w:rPr>
        <w:t>”). Annual Grants will vest in equal quarterly installments over a one-year period from the grant date, with the final installment vesting on the earlier of (i) the first anniversary of the date of grant or (ii) the date of the next Annual Meeting following the date of grant, provided, however, that all vesting shall cease if the Outside Director ceases to serve as a member of the Board, unless the Board determines that the circumstances warrant continuation of vesting. Newly elected Outside Directors will receive a pro-rated Annual Grant in connection with their appointment or election to the Board.</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Value</w:t>
      </w:r>
      <w:r>
        <w:rPr>
          <w:rFonts w:ascii="Times New Roman" w:hAnsi="Times New Roman"/>
          <w:color w:val="000000"/>
          <w:sz w:val="20"/>
        </w:rPr>
        <w:t>: For purposes of this Policy, “</w:t>
      </w:r>
      <w:r>
        <w:rPr>
          <w:rFonts w:ascii="Times New Roman" w:hAnsi="Times New Roman"/>
          <w:b/>
          <w:color w:val="000000"/>
          <w:sz w:val="20"/>
        </w:rPr>
        <w:t>Value</w:t>
      </w:r>
      <w:r>
        <w:rPr>
          <w:rFonts w:ascii="Times New Roman" w:hAnsi="Times New Roman"/>
          <w:color w:val="000000"/>
          <w:sz w:val="20"/>
        </w:rPr>
        <w:t>” means with respect to RSUs, the product of (A) the 30-trading day trailing average of the closing price of one share of the Company’s common stock on the New York Stock Exchange (or such other market on which the Company’s common stock is then principally listed) on the grant date, and (B) the aggregate number of shares of common stock underlying such award.</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Acceleration of Equity Awards</w:t>
      </w:r>
      <w:r>
        <w:rPr>
          <w:rFonts w:ascii="Times New Roman" w:hAnsi="Times New Roman"/>
          <w:color w:val="000000"/>
          <w:sz w:val="20"/>
        </w:rPr>
        <w:t>: All unvested equity awards held by Outside Directors will accelerate and immediately vest if the Outside Director’s service relationship ends within three months prior to or twelve months following a Sale Event (as defined in the Company’s 2024 Stock Option and Incentive Plan).</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reimburse all reasonable out-of-pocket expenses incurred by non-employee directors in attending meetings of the Board or any Committee.</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Last reviewed and amended: June 11,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hubs-ex31_1.htm"/>
      <w:bookmarkStart w:id="27" w:name="kshubsex31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275" w:type="dxa"/>
        <w:jc w:val="left"/>
        <w:tblInd w:w="0" w:type="dxa"/>
        <w:tblLayout w:type="fixed"/>
        <w:tblCellMar>
          <w:top w:w="28" w:type="dxa"/>
          <w:left w:w="28" w:type="dxa"/>
          <w:bottom w:w="28" w:type="dxa"/>
          <w:right w:w="28" w:type="dxa"/>
        </w:tblCellMar>
      </w:tblPr>
      <w:tblGrid>
        <w:gridCol w:w="2101"/>
        <w:gridCol w:w="146"/>
        <w:gridCol w:w="406"/>
        <w:gridCol w:w="146"/>
        <w:gridCol w:w="24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hubs-ex31_2.htm"/>
      <w:bookmarkStart w:id="29" w:name="kshub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Kate Bueker,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215" w:type="dxa"/>
        <w:jc w:val="left"/>
        <w:tblInd w:w="0" w:type="dxa"/>
        <w:tblLayout w:type="fixed"/>
        <w:tblCellMar>
          <w:top w:w="28" w:type="dxa"/>
          <w:left w:w="28" w:type="dxa"/>
          <w:bottom w:w="28" w:type="dxa"/>
          <w:right w:w="28" w:type="dxa"/>
        </w:tblCellMar>
      </w:tblPr>
      <w:tblGrid>
        <w:gridCol w:w="2101"/>
        <w:gridCol w:w="146"/>
        <w:gridCol w:w="406"/>
        <w:gridCol w:w="14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Kate Bueker </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hubs-ex32_1.htm"/>
      <w:bookmarkStart w:id="31" w:name="kshub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pursuant to 18 U.S.C. Section 1350, as adopted pursuant to Section 906 of the Sarbanes-Oxley Act of 2002, that, to my knowledge, the Quarterly Report on Form 10-Q of HubSpot, Inc. for the period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5275" w:type="dxa"/>
        <w:jc w:val="left"/>
        <w:tblInd w:w="0" w:type="dxa"/>
        <w:tblLayout w:type="fixed"/>
        <w:tblCellMar>
          <w:top w:w="28" w:type="dxa"/>
          <w:left w:w="28" w:type="dxa"/>
          <w:bottom w:w="28" w:type="dxa"/>
          <w:right w:w="28" w:type="dxa"/>
        </w:tblCellMar>
      </w:tblPr>
      <w:tblGrid>
        <w:gridCol w:w="2101"/>
        <w:gridCol w:w="146"/>
        <w:gridCol w:w="406"/>
        <w:gridCol w:w="146"/>
        <w:gridCol w:w="24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pPr>
            <w:r>
              <w:rPr/>
              <w:t> </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6"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 Kate Bueker, certify, pursuant to 18 U.S.C. Section 1350, as adopted pursuant to Section 906 of the Sarbanes-Oxley Act of 2002, that, to my knowledge, the Quarterly Report on Form 10-Q of HubSpot, Inc. for the period ended September 30, 2024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5215" w:type="dxa"/>
        <w:jc w:val="left"/>
        <w:tblInd w:w="0" w:type="dxa"/>
        <w:tblLayout w:type="fixed"/>
        <w:tblCellMar>
          <w:top w:w="28" w:type="dxa"/>
          <w:left w:w="28" w:type="dxa"/>
          <w:bottom w:w="28" w:type="dxa"/>
          <w:right w:w="28" w:type="dxa"/>
        </w:tblCellMar>
      </w:tblPr>
      <w:tblGrid>
        <w:gridCol w:w="2101"/>
        <w:gridCol w:w="146"/>
        <w:gridCol w:w="406"/>
        <w:gridCol w:w="14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2024</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pPr>
            <w:r>
              <w:rPr/>
              <w:t> </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655/000156459016013204/hubs-ex31_768.htm" TargetMode="External"/><Relationship Id="rId3" Type="http://schemas.openxmlformats.org/officeDocument/2006/relationships/hyperlink" Target="https://www.sec.gov/Archives/edgar/data/1404655/000095017024073731/hubs-ex3_1.htm" TargetMode="External"/><Relationship Id="rId4" Type="http://schemas.openxmlformats.org/officeDocument/2006/relationships/hyperlink" Target="https://www.sec.gov/Archives/edgar/data/1404655/000095017024073731/hubs-ex3_1.htm" TargetMode="External"/><Relationship Id="rId5" Type="http://schemas.openxmlformats.org/officeDocument/2006/relationships/hyperlink" Target="https://www.sec.gov/Archives/edgar/data/1404655/000095017024051323/hubs-ex3_1.htm" TargetMode="External"/><Relationship Id="rId6" Type="http://schemas.openxmlformats.org/officeDocument/2006/relationships/hyperlink" Target="https://www.sec.gov/Archives/edgar/data/1404655/000095017024051323/hubs-ex3_1.htm" TargetMode="External"/><Relationship Id="rId7" Type="http://schemas.openxmlformats.org/officeDocument/2006/relationships/hyperlink" Target="https://www.sec.gov/Archives/edgar/data/1404655/000119312514353746/d697256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71025</Words>
  <Characters>385231</Characters>
  <CharactersWithSpaces>457524</CharactersWithSpaces>
  <Paragraphs>9526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