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207645</wp:posOffset>
            </wp:positionH>
            <wp:positionV relativeFrom="page">
              <wp:posOffset>429260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446405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159385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164465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0" w:lineRule="exact"/>
        <w:rPr>
          <w:sz w:val="24"/>
          <w:szCs w:val="24"/>
          <w:color w:val="auto"/>
        </w:rPr>
      </w:pPr>
    </w:p>
    <w:p>
      <w:pPr>
        <w:ind w:left="520" w:hanging="513"/>
        <w:spacing w:after="0"/>
        <w:tabs>
          <w:tab w:leader="none" w:pos="5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11"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02" w:lineRule="exact"/>
        <w:rPr>
          <w:sz w:val="24"/>
          <w:szCs w:val="24"/>
          <w:color w:val="auto"/>
        </w:rPr>
      </w:pPr>
    </w:p>
    <w:tbl>
      <w:tblPr>
        <w:tblLayout w:type="fixed"/>
        <w:tblInd w:w="3140" w:type="dxa"/>
        <w:tblCellMar>
          <w:top w:w="0" w:type="dxa"/>
          <w:left w:w="0" w:type="dxa"/>
          <w:bottom w:w="0" w:type="dxa"/>
          <w:right w:w="0" w:type="dxa"/>
        </w:tblCellMar>
      </w:tblPr>
      <w:tr>
        <w:trPr>
          <w:trHeight w:val="184"/>
        </w:trPr>
        <w:tc>
          <w:tcPr>
            <w:tcW w:w="306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60" w:type="dxa"/>
            <w:vAlign w:val="bottom"/>
          </w:tcPr>
          <w:p>
            <w:pPr>
              <w:ind w:left="40"/>
              <w:spacing w:after="0"/>
              <w:rPr>
                <w:sz w:val="20"/>
                <w:szCs w:val="20"/>
                <w:color w:val="auto"/>
              </w:rPr>
            </w:pPr>
            <w:r>
              <w:rPr>
                <w:rFonts w:ascii="Arial" w:cs="Arial" w:eastAsia="Arial" w:hAnsi="Arial"/>
                <w:sz w:val="16"/>
                <w:szCs w:val="16"/>
                <w:b w:val="1"/>
                <w:bCs w:val="1"/>
                <w:color w:val="auto"/>
                <w:w w:val="89"/>
              </w:rPr>
              <w:t>TO</w:t>
            </w:r>
          </w:p>
        </w:tc>
      </w:tr>
      <w:tr>
        <w:trPr>
          <w:trHeight w:val="296"/>
        </w:trPr>
        <w:tc>
          <w:tcPr>
            <w:tcW w:w="4120" w:type="dxa"/>
            <w:vAlign w:val="bottom"/>
            <w:gridSpan w:val="3"/>
          </w:tcPr>
          <w:p>
            <w:pPr>
              <w:ind w:left="980"/>
              <w:spacing w:after="0"/>
              <w:rPr>
                <w:sz w:val="20"/>
                <w:szCs w:val="20"/>
                <w:color w:val="auto"/>
              </w:rPr>
            </w:pPr>
            <w:r>
              <w:rPr>
                <w:rFonts w:ascii="Arial" w:cs="Arial" w:eastAsia="Arial" w:hAnsi="Arial"/>
                <w:sz w:val="16"/>
                <w:szCs w:val="16"/>
                <w:b w:val="1"/>
                <w:bCs w:val="1"/>
                <w:color w:val="auto"/>
              </w:rPr>
              <w:t>COMMISSION FILE NUMBER 001-36680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148590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-200025</wp:posOffset>
            </wp:positionV>
            <wp:extent cx="510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0540" cy="8255"/>
                    </a:xfrm>
                    <a:prstGeom prst="rect">
                      <a:avLst/>
                    </a:prstGeom>
                    <a:noFill/>
                  </pic:spPr>
                </pic:pic>
              </a:graphicData>
            </a:graphic>
          </wp:anchor>
        </w:drawing>
      </w: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476"/>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5"/>
          </w:tcPr>
          <w:p>
            <w:pPr>
              <w:jc w:val="center"/>
              <w:ind w:right="500"/>
              <w:spacing w:after="0"/>
              <w:rPr>
                <w:sz w:val="20"/>
                <w:szCs w:val="20"/>
                <w:color w:val="auto"/>
              </w:rPr>
            </w:pPr>
            <w:r>
              <w:rPr>
                <w:rFonts w:ascii="Arial" w:cs="Arial" w:eastAsia="Arial" w:hAnsi="Arial"/>
                <w:sz w:val="39"/>
                <w:szCs w:val="39"/>
                <w:b w:val="1"/>
                <w:bCs w:val="1"/>
                <w:color w:val="auto"/>
                <w:w w:val="93"/>
              </w:rPr>
              <w:t>HubSpot, Inc.</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80" w:type="dxa"/>
            <w:vAlign w:val="bottom"/>
            <w:gridSpan w:val="7"/>
          </w:tcPr>
          <w:p>
            <w:pPr>
              <w:jc w:val="center"/>
              <w:ind w:left="348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gridSpan w:val="2"/>
            <w:vMerge w:val="restart"/>
          </w:tcPr>
          <w:p>
            <w:pPr>
              <w:jc w:val="center"/>
              <w:ind w:left="1380"/>
              <w:spacing w:after="0"/>
              <w:rPr>
                <w:sz w:val="20"/>
                <w:szCs w:val="20"/>
                <w:color w:val="auto"/>
              </w:rPr>
            </w:pPr>
            <w:r>
              <w:rPr>
                <w:rFonts w:ascii="Arial" w:cs="Arial" w:eastAsia="Arial" w:hAnsi="Arial"/>
                <w:sz w:val="16"/>
                <w:szCs w:val="16"/>
                <w:b w:val="1"/>
                <w:bCs w:val="1"/>
                <w:color w:val="auto"/>
                <w:w w:val="91"/>
              </w:rPr>
              <w:t>Delaware</w:t>
            </w:r>
          </w:p>
        </w:tc>
        <w:tc>
          <w:tcPr>
            <w:tcW w:w="440" w:type="dxa"/>
            <w:vAlign w:val="bottom"/>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60" w:type="dxa"/>
            <w:vAlign w:val="bottom"/>
            <w:vMerge w:val="restart"/>
          </w:tcPr>
          <w:p>
            <w:pPr>
              <w:jc w:val="center"/>
              <w:ind w:right="1860"/>
              <w:spacing w:after="0"/>
              <w:rPr>
                <w:sz w:val="20"/>
                <w:szCs w:val="20"/>
                <w:color w:val="auto"/>
              </w:rPr>
            </w:pPr>
            <w:r>
              <w:rPr>
                <w:rFonts w:ascii="Arial" w:cs="Arial" w:eastAsia="Arial" w:hAnsi="Arial"/>
                <w:sz w:val="16"/>
                <w:szCs w:val="16"/>
                <w:b w:val="1"/>
                <w:bCs w:val="1"/>
                <w:color w:val="auto"/>
                <w:w w:val="91"/>
              </w:rPr>
              <w:t>20-2632791</w:t>
            </w:r>
          </w:p>
        </w:tc>
        <w:tc>
          <w:tcPr>
            <w:tcW w:w="0" w:type="dxa"/>
            <w:vAlign w:val="bottom"/>
          </w:tcPr>
          <w:p>
            <w:pPr>
              <w:spacing w:after="0"/>
              <w:rPr>
                <w:sz w:val="1"/>
                <w:szCs w:val="1"/>
                <w:color w:val="auto"/>
              </w:rPr>
            </w:pPr>
          </w:p>
        </w:tc>
      </w:tr>
      <w:tr>
        <w:trPr>
          <w:trHeight w:val="382"/>
        </w:trPr>
        <w:tc>
          <w:tcPr>
            <w:tcW w:w="40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060" w:type="dxa"/>
            <w:vAlign w:val="bottom"/>
            <w:gridSpan w:val="2"/>
          </w:tcPr>
          <w:p>
            <w:pPr>
              <w:jc w:val="center"/>
              <w:ind w:left="1380"/>
              <w:spacing w:after="0"/>
              <w:rPr>
                <w:sz w:val="20"/>
                <w:szCs w:val="20"/>
                <w:color w:val="auto"/>
              </w:rPr>
            </w:pPr>
            <w:r>
              <w:rPr>
                <w:rFonts w:ascii="Arial" w:cs="Arial" w:eastAsia="Arial" w:hAnsi="Arial"/>
                <w:sz w:val="16"/>
                <w:szCs w:val="16"/>
                <w:b w:val="1"/>
                <w:bCs w:val="1"/>
                <w:color w:val="auto"/>
                <w:w w:val="91"/>
              </w:rPr>
              <w:t>(State or other jurisdiction of</w:t>
            </w:r>
          </w:p>
        </w:tc>
        <w:tc>
          <w:tcPr>
            <w:tcW w:w="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60" w:type="dxa"/>
            <w:vAlign w:val="bottom"/>
          </w:tcPr>
          <w:p>
            <w:pPr>
              <w:jc w:val="center"/>
              <w:ind w:right="1840"/>
              <w:spacing w:after="0"/>
              <w:rPr>
                <w:sz w:val="20"/>
                <w:szCs w:val="20"/>
                <w:color w:val="auto"/>
              </w:rPr>
            </w:pPr>
            <w:r>
              <w:rPr>
                <w:rFonts w:ascii="Arial" w:cs="Arial" w:eastAsia="Arial" w:hAnsi="Arial"/>
                <w:sz w:val="16"/>
                <w:szCs w:val="16"/>
                <w:b w:val="1"/>
                <w:bCs w:val="1"/>
                <w:color w:val="auto"/>
                <w:w w:val="94"/>
              </w:rPr>
              <w:t>(I.R.S. Employer</w:t>
            </w:r>
          </w:p>
        </w:tc>
        <w:tc>
          <w:tcPr>
            <w:tcW w:w="0" w:type="dxa"/>
            <w:vAlign w:val="bottom"/>
          </w:tcPr>
          <w:p>
            <w:pPr>
              <w:spacing w:after="0"/>
              <w:rPr>
                <w:sz w:val="1"/>
                <w:szCs w:val="1"/>
                <w:color w:val="auto"/>
              </w:rPr>
            </w:pPr>
          </w:p>
        </w:tc>
      </w:tr>
      <w:tr>
        <w:trPr>
          <w:trHeight w:val="209"/>
        </w:trPr>
        <w:tc>
          <w:tcPr>
            <w:tcW w:w="4060" w:type="dxa"/>
            <w:vAlign w:val="bottom"/>
            <w:gridSpan w:val="2"/>
          </w:tcPr>
          <w:p>
            <w:pPr>
              <w:jc w:val="center"/>
              <w:ind w:left="1400"/>
              <w:spacing w:after="0"/>
              <w:rPr>
                <w:sz w:val="20"/>
                <w:szCs w:val="20"/>
                <w:color w:val="auto"/>
              </w:rPr>
            </w:pPr>
            <w:r>
              <w:rPr>
                <w:rFonts w:ascii="Arial" w:cs="Arial" w:eastAsia="Arial" w:hAnsi="Arial"/>
                <w:sz w:val="16"/>
                <w:szCs w:val="16"/>
                <w:b w:val="1"/>
                <w:bCs w:val="1"/>
                <w:color w:val="auto"/>
                <w:w w:val="91"/>
              </w:rPr>
              <w:t>incorporation or organization)</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tcPr>
          <w:p>
            <w:pPr>
              <w:jc w:val="center"/>
              <w:ind w:right="1860"/>
              <w:spacing w:after="0"/>
              <w:rPr>
                <w:sz w:val="20"/>
                <w:szCs w:val="20"/>
                <w:color w:val="auto"/>
              </w:rPr>
            </w:pPr>
            <w:r>
              <w:rPr>
                <w:rFonts w:ascii="Arial" w:cs="Arial" w:eastAsia="Arial" w:hAnsi="Arial"/>
                <w:sz w:val="16"/>
                <w:szCs w:val="16"/>
                <w:b w:val="1"/>
                <w:bCs w:val="1"/>
                <w:color w:val="auto"/>
                <w:w w:val="93"/>
              </w:rPr>
              <w:t>Identification No.)</w:t>
            </w:r>
          </w:p>
        </w:tc>
        <w:tc>
          <w:tcPr>
            <w:tcW w:w="0" w:type="dxa"/>
            <w:vAlign w:val="bottom"/>
          </w:tcPr>
          <w:p>
            <w:pPr>
              <w:spacing w:after="0"/>
              <w:rPr>
                <w:sz w:val="1"/>
                <w:szCs w:val="1"/>
                <w:color w:val="auto"/>
              </w:rPr>
            </w:pPr>
          </w:p>
        </w:tc>
      </w:tr>
      <w:tr>
        <w:trPr>
          <w:trHeight w:val="273"/>
        </w:trPr>
        <w:tc>
          <w:tcPr>
            <w:tcW w:w="4060" w:type="dxa"/>
            <w:vAlign w:val="bottom"/>
            <w:gridSpan w:val="2"/>
          </w:tcPr>
          <w:p>
            <w:pPr>
              <w:jc w:val="center"/>
              <w:ind w:left="1160"/>
              <w:spacing w:after="0"/>
              <w:rPr>
                <w:sz w:val="20"/>
                <w:szCs w:val="20"/>
                <w:color w:val="auto"/>
              </w:rPr>
            </w:pPr>
            <w:r>
              <w:rPr>
                <w:rFonts w:ascii="Arial" w:cs="Arial" w:eastAsia="Arial" w:hAnsi="Arial"/>
                <w:sz w:val="16"/>
                <w:szCs w:val="16"/>
                <w:b w:val="1"/>
                <w:bCs w:val="1"/>
                <w:color w:val="auto"/>
                <w:w w:val="91"/>
              </w:rPr>
              <w:t>25 First Street</w:t>
            </w:r>
          </w:p>
        </w:tc>
        <w:tc>
          <w:tcPr>
            <w:tcW w:w="4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60" w:type="dxa"/>
            <w:vAlign w:val="bottom"/>
            <w:gridSpan w:val="2"/>
          </w:tcPr>
          <w:p>
            <w:pPr>
              <w:jc w:val="center"/>
              <w:ind w:left="1400"/>
              <w:spacing w:after="0"/>
              <w:rPr>
                <w:sz w:val="20"/>
                <w:szCs w:val="20"/>
                <w:color w:val="auto"/>
              </w:rPr>
            </w:pPr>
            <w:r>
              <w:rPr>
                <w:rFonts w:ascii="Arial" w:cs="Arial" w:eastAsia="Arial" w:hAnsi="Arial"/>
                <w:sz w:val="16"/>
                <w:szCs w:val="16"/>
                <w:b w:val="1"/>
                <w:bCs w:val="1"/>
                <w:color w:val="auto"/>
                <w:w w:val="92"/>
              </w:rPr>
              <w:t>Cambridge</w:t>
            </w:r>
            <w:r>
              <w:rPr>
                <w:rFonts w:ascii="Arial" w:cs="Arial" w:eastAsia="Arial" w:hAnsi="Arial"/>
                <w:sz w:val="17"/>
                <w:szCs w:val="17"/>
                <w:color w:val="auto"/>
                <w:w w:val="92"/>
              </w:rPr>
              <w:t>, Massachusetts</w:t>
            </w:r>
          </w:p>
        </w:tc>
        <w:tc>
          <w:tcPr>
            <w:tcW w:w="2700" w:type="dxa"/>
            <w:vAlign w:val="bottom"/>
            <w:gridSpan w:val="2"/>
          </w:tcPr>
          <w:p>
            <w:pPr>
              <w:jc w:val="right"/>
              <w:ind w:right="1920"/>
              <w:spacing w:after="0"/>
              <w:rPr>
                <w:sz w:val="20"/>
                <w:szCs w:val="20"/>
                <w:color w:val="auto"/>
              </w:rPr>
            </w:pPr>
            <w:r>
              <w:rPr>
                <w:rFonts w:ascii="Arial" w:cs="Arial" w:eastAsia="Arial" w:hAnsi="Arial"/>
                <w:sz w:val="16"/>
                <w:szCs w:val="16"/>
                <w:b w:val="1"/>
                <w:bCs w:val="1"/>
                <w:color w:val="auto"/>
              </w:rPr>
              <w:t>02141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gridSpan w:val="2"/>
          </w:tcPr>
          <w:p>
            <w:pPr>
              <w:jc w:val="center"/>
              <w:ind w:left="11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440" w:type="dxa"/>
            <w:vAlign w:val="bottom"/>
          </w:tcPr>
          <w:p>
            <w:pPr>
              <w:spacing w:after="0"/>
              <w:rPr>
                <w:sz w:val="18"/>
                <w:szCs w:val="18"/>
                <w:color w:val="auto"/>
              </w:rPr>
            </w:pPr>
          </w:p>
        </w:tc>
        <w:tc>
          <w:tcPr>
            <w:tcW w:w="3180" w:type="dxa"/>
            <w:vAlign w:val="bottom"/>
            <w:gridSpan w:val="4"/>
          </w:tcPr>
          <w:p>
            <w:pPr>
              <w:ind w:left="600"/>
              <w:spacing w:after="0"/>
              <w:rPr>
                <w:sz w:val="20"/>
                <w:szCs w:val="20"/>
                <w:color w:val="auto"/>
              </w:rPr>
            </w:pPr>
            <w:r>
              <w:rPr>
                <w:rFonts w:ascii="Arial" w:cs="Arial" w:eastAsia="Arial" w:hAnsi="Arial"/>
                <w:sz w:val="16"/>
                <w:szCs w:val="16"/>
                <w:b w:val="1"/>
                <w:bCs w:val="1"/>
                <w:color w:val="auto"/>
              </w:rPr>
              <w:t>(Zip Code)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2"/>
          </w:tcPr>
          <w:p>
            <w:pPr>
              <w:jc w:val="center"/>
              <w:ind w:left="301"/>
              <w:spacing w:after="0"/>
              <w:rPr>
                <w:sz w:val="20"/>
                <w:szCs w:val="20"/>
                <w:color w:val="auto"/>
              </w:rPr>
            </w:pPr>
            <w:r>
              <w:rPr>
                <w:rFonts w:ascii="Arial" w:cs="Arial" w:eastAsia="Arial" w:hAnsi="Arial"/>
                <w:sz w:val="16"/>
                <w:szCs w:val="16"/>
                <w:b w:val="1"/>
                <w:bCs w:val="1"/>
                <w:color w:val="auto"/>
                <w:w w:val="91"/>
              </w:rPr>
              <w:t>(888) 482-7768</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80" w:type="dxa"/>
            <w:vAlign w:val="bottom"/>
            <w:gridSpan w:val="7"/>
          </w:tcPr>
          <w:p>
            <w:pPr>
              <w:jc w:val="center"/>
              <w:ind w:left="3480"/>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680" w:type="dxa"/>
            <w:vAlign w:val="bottom"/>
            <w:gridSpan w:val="7"/>
          </w:tcPr>
          <w:p>
            <w:pPr>
              <w:jc w:val="center"/>
              <w:ind w:left="3500"/>
              <w:spacing w:after="0"/>
              <w:rPr>
                <w:sz w:val="20"/>
                <w:szCs w:val="20"/>
                <w:color w:val="auto"/>
              </w:rPr>
            </w:pPr>
            <w:r>
              <w:rPr>
                <w:rFonts w:ascii="Arial" w:cs="Arial" w:eastAsia="Arial" w:hAnsi="Arial"/>
                <w:sz w:val="16"/>
                <w:szCs w:val="16"/>
                <w:b w:val="1"/>
                <w:bCs w:val="1"/>
                <w:color w:val="auto"/>
                <w:w w:val="89"/>
              </w:rPr>
              <w:t>Securities registered pursuant to Section 12(b) of the Act:</w:t>
            </w:r>
          </w:p>
        </w:tc>
        <w:tc>
          <w:tcPr>
            <w:tcW w:w="3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9"/>
        </w:trPr>
        <w:tc>
          <w:tcPr>
            <w:tcW w:w="4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Title of each class</w:t>
            </w:r>
          </w:p>
        </w:tc>
        <w:tc>
          <w:tcPr>
            <w:tcW w:w="440" w:type="dxa"/>
            <w:vAlign w:val="bottom"/>
          </w:tcPr>
          <w:p>
            <w:pPr>
              <w:spacing w:after="0"/>
              <w:rPr>
                <w:sz w:val="24"/>
                <w:szCs w:val="24"/>
                <w:color w:val="auto"/>
              </w:rPr>
            </w:pPr>
          </w:p>
        </w:tc>
        <w:tc>
          <w:tcPr>
            <w:tcW w:w="3180" w:type="dxa"/>
            <w:vAlign w:val="bottom"/>
            <w:gridSpan w:val="4"/>
          </w:tcPr>
          <w:p>
            <w:pPr>
              <w:jc w:val="center"/>
              <w:ind w:right="900"/>
              <w:spacing w:after="0"/>
              <w:rPr>
                <w:sz w:val="20"/>
                <w:szCs w:val="20"/>
                <w:color w:val="auto"/>
              </w:rPr>
            </w:pPr>
            <w:r>
              <w:rPr>
                <w:rFonts w:ascii="Arial" w:cs="Arial" w:eastAsia="Arial" w:hAnsi="Arial"/>
                <w:sz w:val="16"/>
                <w:szCs w:val="16"/>
                <w:b w:val="1"/>
                <w:bCs w:val="1"/>
                <w:color w:val="auto"/>
                <w:w w:val="91"/>
              </w:rPr>
              <w:t>Trading Symbol(s)</w:t>
            </w:r>
          </w:p>
        </w:tc>
        <w:tc>
          <w:tcPr>
            <w:tcW w:w="3560" w:type="dxa"/>
            <w:vAlign w:val="bottom"/>
          </w:tcPr>
          <w:p>
            <w:pPr>
              <w:jc w:val="center"/>
              <w:ind w:right="280"/>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8"/>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Common Stock, par value $0.001 per share</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96"/>
              </w:rPr>
              <w:t>HUBS</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tcPr>
          <w:p>
            <w:pPr>
              <w:jc w:val="center"/>
              <w:ind w:right="300"/>
              <w:spacing w:after="0"/>
              <w:rPr>
                <w:sz w:val="20"/>
                <w:szCs w:val="20"/>
                <w:color w:val="auto"/>
              </w:rPr>
            </w:pPr>
            <w:r>
              <w:rPr>
                <w:rFonts w:ascii="Arial" w:cs="Arial" w:eastAsia="Arial" w:hAnsi="Arial"/>
                <w:sz w:val="16"/>
                <w:szCs w:val="16"/>
                <w:b w:val="1"/>
                <w:bCs w:val="1"/>
                <w:color w:val="auto"/>
                <w:w w:val="90"/>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10740" w:type="dxa"/>
            <w:vAlign w:val="bottom"/>
            <w:gridSpan w:val="3"/>
          </w:tcPr>
          <w:p>
            <w:pPr>
              <w:spacing w:after="0" w:line="173" w:lineRule="exact"/>
              <w:rPr>
                <w:sz w:val="20"/>
                <w:szCs w:val="20"/>
                <w:color w:val="auto"/>
              </w:rPr>
            </w:pPr>
            <w:r>
              <w:rPr>
                <w:rFonts w:ascii="Arial" w:cs="Arial" w:eastAsia="Arial" w:hAnsi="Arial"/>
                <w:sz w:val="15"/>
                <w:szCs w:val="15"/>
                <w:color w:val="auto"/>
                <w:w w:val="93"/>
              </w:rPr>
              <w:t xml:space="preserve">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w w:val="93"/>
              </w:rPr>
              <w:t>☒</w:t>
            </w:r>
            <w:r>
              <w:rPr>
                <w:rFonts w:ascii="Arial" w:cs="Arial" w:eastAsia="Arial" w:hAnsi="Arial"/>
                <w:sz w:val="15"/>
                <w:szCs w:val="15"/>
                <w:color w:val="auto"/>
                <w:w w:val="93"/>
              </w:rPr>
              <w:t xml:space="preserve"> NO</w:t>
            </w:r>
          </w:p>
        </w:tc>
        <w:tc>
          <w:tcPr>
            <w:tcW w:w="420" w:type="dxa"/>
            <w:vAlign w:val="bottom"/>
          </w:tcPr>
          <w:p>
            <w:pPr>
              <w:ind w:left="2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47"/>
        </w:trPr>
        <w:tc>
          <w:tcPr>
            <w:tcW w:w="10740" w:type="dxa"/>
            <w:vAlign w:val="bottom"/>
            <w:gridSpan w:val="3"/>
          </w:tcPr>
          <w:p>
            <w:pPr>
              <w:ind w:left="520"/>
              <w:spacing w:after="0" w:line="147" w:lineRule="exact"/>
              <w:rPr>
                <w:sz w:val="20"/>
                <w:szCs w:val="20"/>
                <w:color w:val="auto"/>
              </w:rPr>
            </w:pPr>
            <w:r>
              <w:rPr>
                <w:rFonts w:ascii="Arial" w:cs="Arial" w:eastAsia="Arial" w:hAnsi="Arial"/>
                <w:sz w:val="15"/>
                <w:szCs w:val="15"/>
                <w:color w:val="auto"/>
                <w:w w:val="92"/>
              </w:rPr>
              <w:t>Indicate by check mark whether the registrant has submitted electronically every Interactive Data File required to be submitted pursuant to Rule 405 of Regulation S-T</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0740" w:type="dxa"/>
            <w:vAlign w:val="bottom"/>
            <w:gridSpan w:val="3"/>
          </w:tcPr>
          <w:p>
            <w:pPr>
              <w:spacing w:after="0" w:line="173" w:lineRule="exact"/>
              <w:rPr>
                <w:sz w:val="20"/>
                <w:szCs w:val="20"/>
                <w:color w:val="auto"/>
              </w:rPr>
            </w:pPr>
            <w:r>
              <w:rPr>
                <w:rFonts w:ascii="Arial" w:cs="Arial" w:eastAsia="Arial" w:hAnsi="Arial"/>
                <w:sz w:val="15"/>
                <w:szCs w:val="15"/>
                <w:color w:val="auto"/>
              </w:rPr>
              <w:t xml:space="preserve">(§232.405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0740" w:type="dxa"/>
            <w:vAlign w:val="bottom"/>
            <w:gridSpan w:val="3"/>
          </w:tcPr>
          <w:p>
            <w:pPr>
              <w:ind w:left="520"/>
              <w:spacing w:after="0" w:line="161" w:lineRule="exact"/>
              <w:rPr>
                <w:sz w:val="20"/>
                <w:szCs w:val="20"/>
                <w:color w:val="auto"/>
              </w:rPr>
            </w:pPr>
            <w:r>
              <w:rPr>
                <w:rFonts w:ascii="Arial" w:cs="Arial" w:eastAsia="Arial" w:hAnsi="Arial"/>
                <w:sz w:val="15"/>
                <w:szCs w:val="15"/>
                <w:color w:val="auto"/>
                <w:w w:val="91"/>
              </w:rPr>
              <w:t>Indicate by check mark whether the registrant is a large accelerated filer, an accelerated filer, a non-accelerated filer, smaller reporting company, or an emerging growth</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740" w:type="dxa"/>
            <w:vAlign w:val="bottom"/>
            <w:gridSpan w:val="3"/>
          </w:tcPr>
          <w:p>
            <w:pPr>
              <w:spacing w:after="0" w:line="147" w:lineRule="exact"/>
              <w:rPr>
                <w:sz w:val="20"/>
                <w:szCs w:val="20"/>
                <w:color w:val="auto"/>
              </w:rPr>
            </w:pPr>
            <w:r>
              <w:rPr>
                <w:rFonts w:ascii="Arial" w:cs="Arial" w:eastAsia="Arial" w:hAnsi="Arial"/>
                <w:sz w:val="15"/>
                <w:szCs w:val="15"/>
                <w:color w:val="auto"/>
                <w:w w:val="93"/>
              </w:rPr>
              <w:t>company. See the definitions of “large accelerated filer,” “accelerated filer,” “smaller reporting company,” and “emerging growth company” in Rule 12b-2 of the Exchange Act.</w:t>
            </w:r>
          </w:p>
        </w:tc>
        <w:tc>
          <w:tcPr>
            <w:tcW w:w="420" w:type="dxa"/>
            <w:vAlign w:val="bottom"/>
            <w:vMerge w:val="restart"/>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80" w:type="dxa"/>
            <w:vAlign w:val="bottom"/>
          </w:tcPr>
          <w:p>
            <w:pPr>
              <w:ind w:left="76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2280"/>
              <w:spacing w:after="0"/>
              <w:rPr>
                <w:sz w:val="20"/>
                <w:szCs w:val="20"/>
                <w:color w:val="auto"/>
              </w:rPr>
            </w:pPr>
            <w:r>
              <w:rPr>
                <w:rFonts w:ascii="Arial" w:cs="Arial" w:eastAsia="Arial" w:hAnsi="Arial"/>
                <w:sz w:val="15"/>
                <w:szCs w:val="15"/>
                <w:color w:val="auto"/>
              </w:rPr>
              <w:t>Accelerated filer</w:t>
            </w:r>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20" w:type="dxa"/>
            <w:vAlign w:val="bottom"/>
          </w:tcPr>
          <w:p>
            <w:pPr>
              <w:spacing w:after="0"/>
              <w:rPr>
                <w:sz w:val="20"/>
                <w:szCs w:val="20"/>
                <w:color w:val="auto"/>
              </w:rPr>
            </w:pPr>
            <w:r>
              <w:rPr>
                <w:rFonts w:ascii="Arial" w:cs="Arial" w:eastAsia="Arial" w:hAnsi="Arial"/>
                <w:sz w:val="15"/>
                <w:szCs w:val="15"/>
                <w:color w:val="auto"/>
              </w:rPr>
              <w:t>Non-accelerated filer</w:t>
            </w:r>
          </w:p>
        </w:tc>
        <w:tc>
          <w:tcPr>
            <w:tcW w:w="3180" w:type="dxa"/>
            <w:vAlign w:val="bottom"/>
          </w:tcPr>
          <w:p>
            <w:pPr>
              <w:ind w:left="76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2280"/>
              <w:spacing w:after="0"/>
              <w:rPr>
                <w:sz w:val="20"/>
                <w:szCs w:val="20"/>
                <w:color w:val="auto"/>
              </w:rPr>
            </w:pPr>
            <w:r>
              <w:rPr>
                <w:rFonts w:ascii="Arial" w:cs="Arial" w:eastAsia="Arial" w:hAnsi="Arial"/>
                <w:sz w:val="15"/>
                <w:szCs w:val="15"/>
                <w:color w:val="auto"/>
              </w:rPr>
              <w:t>Smaller reporting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239"/>
        </w:trPr>
        <w:tc>
          <w:tcPr>
            <w:tcW w:w="242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180" w:type="dxa"/>
            <w:vAlign w:val="bottom"/>
          </w:tcPr>
          <w:p>
            <w:pPr>
              <w:ind w:left="76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3" w:lineRule="exact"/>
        <w:rPr>
          <w:sz w:val="24"/>
          <w:szCs w:val="24"/>
          <w:color w:val="auto"/>
        </w:rPr>
      </w:pPr>
    </w:p>
    <w:p>
      <w:pPr>
        <w:ind w:right="180" w:firstLine="510"/>
        <w:spacing w:after="0" w:line="19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4" w:lineRule="exact"/>
        <w:rPr>
          <w:sz w:val="24"/>
          <w:szCs w:val="24"/>
          <w:color w:val="auto"/>
        </w:rPr>
      </w:pPr>
    </w:p>
    <w:p>
      <w:pPr>
        <w:ind w:left="520" w:right="2600"/>
        <w:spacing w:after="0" w:line="24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There were 46,725,776 shares of the registrant’s Common Stock issued and outstanding as of April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453390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60" w:type="dxa"/>
            <w:vAlign w:val="bottom"/>
            <w:gridSpan w:val="10"/>
          </w:tcPr>
          <w:p>
            <w:pPr>
              <w:jc w:val="center"/>
              <w:ind w:right="3700"/>
              <w:spacing w:after="0"/>
              <w:rPr>
                <w:sz w:val="20"/>
                <w:szCs w:val="20"/>
                <w:color w:val="auto"/>
              </w:rPr>
            </w:pPr>
            <w:r>
              <w:rPr>
                <w:rFonts w:ascii="Arial" w:cs="Arial" w:eastAsia="Arial" w:hAnsi="Arial"/>
                <w:sz w:val="18"/>
                <w:szCs w:val="18"/>
                <w:b w:val="1"/>
                <w:bCs w:val="1"/>
                <w:color w:val="auto"/>
                <w:w w:val="96"/>
              </w:rPr>
              <w:t>HUBSPOT, INC.</w:t>
            </w:r>
          </w:p>
        </w:tc>
        <w:tc>
          <w:tcPr>
            <w:tcW w:w="1180" w:type="dxa"/>
            <w:vAlign w:val="bottom"/>
          </w:tcPr>
          <w:p>
            <w:pPr>
              <w:spacing w:after="0"/>
              <w:rPr>
                <w:sz w:val="20"/>
                <w:szCs w:val="20"/>
                <w:color w:val="auto"/>
              </w:rPr>
            </w:pPr>
          </w:p>
        </w:tc>
      </w:tr>
      <w:tr>
        <w:trPr>
          <w:trHeight w:val="429"/>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60" w:type="dxa"/>
            <w:vAlign w:val="bottom"/>
            <w:gridSpan w:val="10"/>
          </w:tcPr>
          <w:p>
            <w:pPr>
              <w:jc w:val="center"/>
              <w:ind w:right="3700"/>
              <w:spacing w:after="0"/>
              <w:rPr>
                <w:sz w:val="20"/>
                <w:szCs w:val="20"/>
                <w:color w:val="auto"/>
              </w:rPr>
            </w:pPr>
            <w:r>
              <w:rPr>
                <w:rFonts w:ascii="Arial" w:cs="Arial" w:eastAsia="Arial" w:hAnsi="Arial"/>
                <w:sz w:val="18"/>
                <w:szCs w:val="18"/>
                <w:b w:val="1"/>
                <w:bCs w:val="1"/>
                <w:color w:val="auto"/>
                <w:w w:val="88"/>
              </w:rPr>
              <w:t>Table of Contents</w:t>
            </w:r>
          </w:p>
        </w:tc>
        <w:tc>
          <w:tcPr>
            <w:tcW w:w="1180" w:type="dxa"/>
            <w:vAlign w:val="bottom"/>
          </w:tcPr>
          <w:p>
            <w:pPr>
              <w:spacing w:after="0"/>
              <w:rPr>
                <w:sz w:val="24"/>
                <w:szCs w:val="24"/>
                <w:color w:val="auto"/>
              </w:rPr>
            </w:pPr>
          </w:p>
        </w:tc>
      </w:tr>
      <w:tr>
        <w:trPr>
          <w:trHeight w:val="390"/>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12"/>
          </w:tcPr>
          <w:p>
            <w:pPr>
              <w:jc w:val="center"/>
              <w:ind w:right="3240"/>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 — Financial Information</w:t>
              </w:r>
            </w:hyperlink>
          </w:p>
        </w:tc>
        <w:tc>
          <w:tcPr>
            <w:tcW w:w="1180" w:type="dxa"/>
            <w:vAlign w:val="bottom"/>
          </w:tcPr>
          <w:p>
            <w:pPr>
              <w:spacing w:after="0"/>
              <w:rPr>
                <w:sz w:val="24"/>
                <w:szCs w:val="24"/>
                <w:color w:val="auto"/>
              </w:rPr>
            </w:pPr>
          </w:p>
        </w:tc>
      </w:tr>
      <w:tr>
        <w:trPr>
          <w:trHeight w:val="315"/>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40" w:type="dxa"/>
            <w:vAlign w:val="bottom"/>
            <w:gridSpan w:val="8"/>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Consolidated Financial Statements:</w:t>
              </w:r>
            </w:hyperlink>
          </w:p>
        </w:tc>
        <w:tc>
          <w:tcPr>
            <w:tcW w:w="2400" w:type="dxa"/>
            <w:vAlign w:val="bottom"/>
            <w:tcBorders>
              <w:top w:val="single" w:sz="8" w:color="0000EE"/>
            </w:tcBorders>
            <w:gridSpan w:val="6"/>
          </w:tcPr>
          <w:p>
            <w:pPr>
              <w:spacing w:after="0"/>
              <w:rPr>
                <w:sz w:val="24"/>
                <w:szCs w:val="24"/>
                <w:color w:val="auto"/>
              </w:rPr>
            </w:pPr>
          </w:p>
        </w:tc>
        <w:tc>
          <w:tcPr>
            <w:tcW w:w="3240" w:type="dxa"/>
            <w:vAlign w:val="bottom"/>
            <w:gridSpan w:val="6"/>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4"/>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80" w:type="dxa"/>
            <w:vAlign w:val="bottom"/>
            <w:gridSpan w:val="20"/>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Balance Sheets as of March 31, 2021 and December 31, 2020</w:t>
              </w:r>
            </w:hyperlink>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4"/>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80" w:type="dxa"/>
            <w:vAlign w:val="bottom"/>
            <w:gridSpan w:val="20"/>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Operations for the Three Months Ended March 31, 2021 and 2020</w:t>
              </w:r>
            </w:hyperlink>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4"/>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80" w:type="dxa"/>
            <w:vAlign w:val="bottom"/>
            <w:tcBorders>
              <w:bottom w:val="single" w:sz="8" w:color="0000EE"/>
            </w:tcBorders>
            <w:gridSpan w:val="19"/>
          </w:tcPr>
          <w:p>
            <w:pPr>
              <w:spacing w:after="0" w:line="195"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Unaudited Consolidated Statements of Comprehensive Loss for the Three Months Ended March 31, 2021 and 2020</w:t>
              </w:r>
            </w:hyperlink>
          </w:p>
        </w:tc>
        <w:tc>
          <w:tcPr>
            <w:tcW w:w="1000" w:type="dxa"/>
            <w:vAlign w:val="bottom"/>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r>
      <w:tr>
        <w:trPr>
          <w:trHeight w:val="194"/>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0" w:type="dxa"/>
            <w:vAlign w:val="bottom"/>
            <w:tcBorders>
              <w:bottom w:val="single" w:sz="8" w:color="0000EE"/>
            </w:tcBorders>
            <w:gridSpan w:val="18"/>
          </w:tcPr>
          <w:p>
            <w:pPr>
              <w:spacing w:after="0" w:line="195"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Consolidated Statements of Cash Flows for the Three Months Ended March 31, 2021 and 2020</w:t>
              </w:r>
            </w:hyperlink>
          </w:p>
        </w:tc>
        <w:tc>
          <w:tcPr>
            <w:tcW w:w="1480" w:type="dxa"/>
            <w:vAlign w:val="bottom"/>
            <w:gridSpan w:val="2"/>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r>
      <w:tr>
        <w:trPr>
          <w:trHeight w:val="194"/>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80" w:type="dxa"/>
            <w:vAlign w:val="bottom"/>
            <w:gridSpan w:val="20"/>
          </w:tcPr>
          <w:p>
            <w:pPr>
              <w:spacing w:after="0" w:line="195" w:lineRule="exact"/>
              <w:rPr>
                <w:rFonts w:ascii="Arial" w:cs="Arial" w:eastAsia="Arial" w:hAnsi="Arial"/>
                <w:sz w:val="18"/>
                <w:szCs w:val="18"/>
                <w:color w:val="0000EE"/>
              </w:rPr>
            </w:pPr>
            <w:hyperlink w:anchor="page10">
              <w:r>
                <w:rPr>
                  <w:rFonts w:ascii="Arial" w:cs="Arial" w:eastAsia="Arial" w:hAnsi="Arial"/>
                  <w:sz w:val="18"/>
                  <w:szCs w:val="18"/>
                  <w:color w:val="0000EE"/>
                </w:rPr>
                <w:t>Notes to Unaudited Consolidated Financial Statements</w:t>
              </w:r>
            </w:hyperlink>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10</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4"/>
        </w:trPr>
        <w:tc>
          <w:tcPr>
            <w:tcW w:w="980" w:type="dxa"/>
            <w:vAlign w:val="bottom"/>
            <w:gridSpan w:val="2"/>
          </w:tcPr>
          <w:p>
            <w:pPr>
              <w:spacing w:after="0" w:line="195" w:lineRule="exact"/>
              <w:rPr>
                <w:sz w:val="20"/>
                <w:szCs w:val="20"/>
                <w:color w:val="auto"/>
              </w:rPr>
            </w:pPr>
            <w:r>
              <w:rPr>
                <w:rFonts w:ascii="Arial" w:cs="Arial" w:eastAsia="Arial" w:hAnsi="Arial"/>
                <w:sz w:val="18"/>
                <w:szCs w:val="18"/>
                <w:color w:val="auto"/>
              </w:rPr>
              <w:t>Item 2.</w:t>
            </w:r>
          </w:p>
        </w:tc>
        <w:tc>
          <w:tcPr>
            <w:tcW w:w="6420" w:type="dxa"/>
            <w:vAlign w:val="bottom"/>
            <w:tcBorders>
              <w:bottom w:val="single" w:sz="8" w:color="0000EE"/>
            </w:tcBorders>
            <w:gridSpan w:val="16"/>
          </w:tcPr>
          <w:p>
            <w:pPr>
              <w:spacing w:after="0" w:line="195"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2660" w:type="dxa"/>
            <w:vAlign w:val="bottom"/>
            <w:gridSpan w:val="4"/>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24</w:t>
            </w:r>
          </w:p>
        </w:tc>
      </w:tr>
      <w:tr>
        <w:trPr>
          <w:trHeight w:val="194"/>
        </w:trPr>
        <w:tc>
          <w:tcPr>
            <w:tcW w:w="980" w:type="dxa"/>
            <w:vAlign w:val="bottom"/>
            <w:gridSpan w:val="2"/>
          </w:tcPr>
          <w:p>
            <w:pPr>
              <w:spacing w:after="0" w:line="195" w:lineRule="exact"/>
              <w:rPr>
                <w:sz w:val="20"/>
                <w:szCs w:val="20"/>
                <w:color w:val="auto"/>
              </w:rPr>
            </w:pPr>
            <w:r>
              <w:rPr>
                <w:rFonts w:ascii="Arial" w:cs="Arial" w:eastAsia="Arial" w:hAnsi="Arial"/>
                <w:sz w:val="18"/>
                <w:szCs w:val="18"/>
                <w:color w:val="auto"/>
              </w:rPr>
              <w:t>Item 3.</w:t>
            </w:r>
          </w:p>
        </w:tc>
        <w:tc>
          <w:tcPr>
            <w:tcW w:w="9080" w:type="dxa"/>
            <w:vAlign w:val="bottom"/>
            <w:gridSpan w:val="20"/>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33</w:t>
            </w:r>
          </w:p>
        </w:tc>
      </w:tr>
      <w:tr>
        <w:trPr>
          <w:trHeight w:val="194"/>
        </w:trPr>
        <w:tc>
          <w:tcPr>
            <w:tcW w:w="980" w:type="dxa"/>
            <w:vAlign w:val="bottom"/>
            <w:gridSpan w:val="2"/>
          </w:tcPr>
          <w:p>
            <w:pPr>
              <w:spacing w:after="0" w:line="195" w:lineRule="exact"/>
              <w:rPr>
                <w:sz w:val="20"/>
                <w:szCs w:val="20"/>
                <w:color w:val="auto"/>
              </w:rPr>
            </w:pPr>
            <w:r>
              <w:rPr>
                <w:rFonts w:ascii="Arial" w:cs="Arial" w:eastAsia="Arial" w:hAnsi="Arial"/>
                <w:sz w:val="18"/>
                <w:szCs w:val="18"/>
                <w:color w:val="auto"/>
              </w:rPr>
              <w:t>Item 4.</w:t>
            </w:r>
          </w:p>
        </w:tc>
        <w:tc>
          <w:tcPr>
            <w:tcW w:w="4280" w:type="dxa"/>
            <w:vAlign w:val="bottom"/>
            <w:tcBorders>
              <w:top w:val="single" w:sz="8" w:color="0000EE"/>
            </w:tcBorders>
            <w:gridSpan w:val="11"/>
          </w:tcPr>
          <w:p>
            <w:pPr>
              <w:spacing w:after="0" w:line="195"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4800" w:type="dxa"/>
            <w:vAlign w:val="bottom"/>
            <w:gridSpan w:val="9"/>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34</w:t>
            </w:r>
          </w:p>
        </w:tc>
      </w:tr>
      <w:tr>
        <w:trPr>
          <w:trHeight w:val="315"/>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12"/>
          </w:tcPr>
          <w:p>
            <w:pPr>
              <w:jc w:val="center"/>
              <w:ind w:right="3220"/>
              <w:spacing w:after="0"/>
              <w:rPr>
                <w:rFonts w:ascii="Arial" w:cs="Arial" w:eastAsia="Arial" w:hAnsi="Arial"/>
                <w:sz w:val="18"/>
                <w:szCs w:val="18"/>
                <w:b w:val="1"/>
                <w:bCs w:val="1"/>
                <w:color w:val="0000EE"/>
                <w:w w:val="96"/>
              </w:rPr>
            </w:pPr>
            <w:hyperlink w:anchor="page35">
              <w:r>
                <w:rPr>
                  <w:rFonts w:ascii="Arial" w:cs="Arial" w:eastAsia="Arial" w:hAnsi="Arial"/>
                  <w:sz w:val="18"/>
                  <w:szCs w:val="18"/>
                  <w:b w:val="1"/>
                  <w:bCs w:val="1"/>
                  <w:color w:val="0000EE"/>
                  <w:w w:val="96"/>
                </w:rPr>
                <w:t>Part II — Other Information</w:t>
              </w:r>
            </w:hyperlink>
          </w:p>
        </w:tc>
        <w:tc>
          <w:tcPr>
            <w:tcW w:w="1180" w:type="dxa"/>
            <w:vAlign w:val="bottom"/>
          </w:tcPr>
          <w:p>
            <w:pPr>
              <w:spacing w:after="0"/>
              <w:rPr>
                <w:sz w:val="24"/>
                <w:szCs w:val="24"/>
                <w:color w:val="auto"/>
              </w:rPr>
            </w:pPr>
          </w:p>
        </w:tc>
      </w:tr>
      <w:tr>
        <w:trPr>
          <w:trHeight w:val="315"/>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2200" w:type="dxa"/>
            <w:vAlign w:val="bottom"/>
            <w:gridSpan w:val="5"/>
          </w:tcPr>
          <w:p>
            <w:pPr>
              <w:spacing w:after="0"/>
              <w:rPr>
                <w:sz w:val="24"/>
                <w:szCs w:val="24"/>
                <w:color w:val="auto"/>
              </w:rPr>
            </w:pPr>
          </w:p>
        </w:tc>
        <w:tc>
          <w:tcPr>
            <w:tcW w:w="2220" w:type="dxa"/>
            <w:vAlign w:val="bottom"/>
            <w:tcBorders>
              <w:top w:val="single" w:sz="8" w:color="0000EE"/>
            </w:tcBorders>
            <w:gridSpan w:val="4"/>
          </w:tcPr>
          <w:p>
            <w:pPr>
              <w:spacing w:after="0"/>
              <w:rPr>
                <w:sz w:val="24"/>
                <w:szCs w:val="24"/>
                <w:color w:val="auto"/>
              </w:rPr>
            </w:pPr>
          </w:p>
        </w:tc>
        <w:tc>
          <w:tcPr>
            <w:tcW w:w="3320" w:type="dxa"/>
            <w:vAlign w:val="bottom"/>
            <w:gridSpan w:val="7"/>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94"/>
        </w:trPr>
        <w:tc>
          <w:tcPr>
            <w:tcW w:w="980" w:type="dxa"/>
            <w:vAlign w:val="bottom"/>
            <w:gridSpan w:val="2"/>
          </w:tcPr>
          <w:p>
            <w:pPr>
              <w:spacing w:after="0" w:line="195" w:lineRule="exact"/>
              <w:rPr>
                <w:sz w:val="20"/>
                <w:szCs w:val="20"/>
                <w:color w:val="auto"/>
              </w:rPr>
            </w:pPr>
            <w:r>
              <w:rPr>
                <w:rFonts w:ascii="Arial" w:cs="Arial" w:eastAsia="Arial" w:hAnsi="Arial"/>
                <w:sz w:val="18"/>
                <w:szCs w:val="18"/>
                <w:color w:val="auto"/>
              </w:rPr>
              <w:t>Item 1A.</w:t>
            </w:r>
          </w:p>
        </w:tc>
        <w:tc>
          <w:tcPr>
            <w:tcW w:w="9080" w:type="dxa"/>
            <w:vAlign w:val="bottom"/>
            <w:gridSpan w:val="20"/>
          </w:tcPr>
          <w:p>
            <w:pPr>
              <w:spacing w:after="0" w:line="195"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36</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4"/>
        </w:trPr>
        <w:tc>
          <w:tcPr>
            <w:tcW w:w="980" w:type="dxa"/>
            <w:vAlign w:val="bottom"/>
            <w:gridSpan w:val="2"/>
          </w:tcPr>
          <w:p>
            <w:pPr>
              <w:spacing w:after="0" w:line="195" w:lineRule="exact"/>
              <w:rPr>
                <w:sz w:val="20"/>
                <w:szCs w:val="20"/>
                <w:color w:val="auto"/>
              </w:rPr>
            </w:pPr>
            <w:r>
              <w:rPr>
                <w:rFonts w:ascii="Arial" w:cs="Arial" w:eastAsia="Arial" w:hAnsi="Arial"/>
                <w:sz w:val="18"/>
                <w:szCs w:val="18"/>
                <w:color w:val="auto"/>
              </w:rPr>
              <w:t>Item 2.</w:t>
            </w:r>
          </w:p>
        </w:tc>
        <w:tc>
          <w:tcPr>
            <w:tcW w:w="9080" w:type="dxa"/>
            <w:vAlign w:val="bottom"/>
            <w:gridSpan w:val="20"/>
          </w:tcPr>
          <w:p>
            <w:pPr>
              <w:spacing w:after="0" w:line="195" w:lineRule="exact"/>
              <w:rPr>
                <w:rFonts w:ascii="Arial" w:cs="Arial" w:eastAsia="Arial" w:hAnsi="Arial"/>
                <w:sz w:val="18"/>
                <w:szCs w:val="18"/>
                <w:color w:val="0000EE"/>
              </w:rPr>
            </w:pPr>
            <w:hyperlink w:anchor="page59">
              <w:r>
                <w:rPr>
                  <w:rFonts w:ascii="Arial" w:cs="Arial" w:eastAsia="Arial" w:hAnsi="Arial"/>
                  <w:sz w:val="18"/>
                  <w:szCs w:val="18"/>
                  <w:color w:val="0000EE"/>
                </w:rPr>
                <w:t>Unregistered Sales of Equity Securities and Use of Proceeds</w:t>
              </w:r>
            </w:hyperlink>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59</w:t>
            </w:r>
          </w:p>
        </w:tc>
      </w:tr>
      <w:tr>
        <w:trPr>
          <w:trHeight w:val="194"/>
        </w:trPr>
        <w:tc>
          <w:tcPr>
            <w:tcW w:w="980" w:type="dxa"/>
            <w:vAlign w:val="bottom"/>
            <w:gridSpan w:val="2"/>
          </w:tcPr>
          <w:p>
            <w:pPr>
              <w:spacing w:after="0" w:line="195"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tcBorders>
            <w:gridSpan w:val="12"/>
          </w:tcPr>
          <w:p>
            <w:pPr>
              <w:spacing w:after="0" w:line="195" w:lineRule="exact"/>
              <w:rPr>
                <w:rFonts w:ascii="Arial" w:cs="Arial" w:eastAsia="Arial" w:hAnsi="Arial"/>
                <w:sz w:val="18"/>
                <w:szCs w:val="18"/>
                <w:color w:val="0000EE"/>
              </w:rPr>
            </w:pPr>
            <w:hyperlink w:anchor="page59">
              <w:r>
                <w:rPr>
                  <w:rFonts w:ascii="Arial" w:cs="Arial" w:eastAsia="Arial" w:hAnsi="Arial"/>
                  <w:sz w:val="18"/>
                  <w:szCs w:val="18"/>
                  <w:color w:val="0000EE"/>
                </w:rPr>
                <w:t>Default Upon Senior Securities</w:t>
              </w:r>
            </w:hyperlink>
          </w:p>
        </w:tc>
        <w:tc>
          <w:tcPr>
            <w:tcW w:w="4760" w:type="dxa"/>
            <w:vAlign w:val="bottom"/>
            <w:gridSpan w:val="8"/>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59</w:t>
            </w:r>
          </w:p>
        </w:tc>
      </w:tr>
      <w:tr>
        <w:trPr>
          <w:trHeight w:val="194"/>
        </w:trPr>
        <w:tc>
          <w:tcPr>
            <w:tcW w:w="980" w:type="dxa"/>
            <w:vAlign w:val="bottom"/>
            <w:gridSpan w:val="2"/>
          </w:tcPr>
          <w:p>
            <w:pPr>
              <w:spacing w:after="0" w:line="195" w:lineRule="exact"/>
              <w:rPr>
                <w:sz w:val="20"/>
                <w:szCs w:val="20"/>
                <w:color w:val="auto"/>
              </w:rPr>
            </w:pPr>
            <w:r>
              <w:rPr>
                <w:rFonts w:ascii="Arial" w:cs="Arial" w:eastAsia="Arial" w:hAnsi="Arial"/>
                <w:sz w:val="18"/>
                <w:szCs w:val="18"/>
                <w:color w:val="auto"/>
              </w:rPr>
              <w:t>Item 4.</w:t>
            </w:r>
          </w:p>
        </w:tc>
        <w:tc>
          <w:tcPr>
            <w:tcW w:w="2240" w:type="dxa"/>
            <w:vAlign w:val="bottom"/>
            <w:tcBorders>
              <w:top w:val="single" w:sz="8" w:color="0000EE"/>
            </w:tcBorders>
            <w:gridSpan w:val="6"/>
          </w:tcPr>
          <w:p>
            <w:pPr>
              <w:spacing w:after="0" w:line="195" w:lineRule="exact"/>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6840" w:type="dxa"/>
            <w:vAlign w:val="bottom"/>
            <w:gridSpan w:val="14"/>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59</w:t>
            </w:r>
          </w:p>
        </w:tc>
      </w:tr>
      <w:tr>
        <w:trPr>
          <w:trHeight w:val="194"/>
        </w:trPr>
        <w:tc>
          <w:tcPr>
            <w:tcW w:w="980" w:type="dxa"/>
            <w:vAlign w:val="bottom"/>
            <w:gridSpan w:val="2"/>
          </w:tcPr>
          <w:p>
            <w:pPr>
              <w:spacing w:after="0" w:line="195" w:lineRule="exact"/>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6"/>
                <w:szCs w:val="16"/>
                <w:color w:val="auto"/>
              </w:rPr>
            </w:pPr>
          </w:p>
        </w:tc>
        <w:tc>
          <w:tcPr>
            <w:tcW w:w="7320" w:type="dxa"/>
            <w:vAlign w:val="bottom"/>
            <w:gridSpan w:val="15"/>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59</w:t>
            </w:r>
          </w:p>
        </w:tc>
      </w:tr>
      <w:tr>
        <w:trPr>
          <w:trHeight w:val="194"/>
        </w:trPr>
        <w:tc>
          <w:tcPr>
            <w:tcW w:w="980" w:type="dxa"/>
            <w:vAlign w:val="bottom"/>
            <w:gridSpan w:val="2"/>
          </w:tcPr>
          <w:p>
            <w:pPr>
              <w:spacing w:after="0" w:line="195" w:lineRule="exact"/>
              <w:rPr>
                <w:sz w:val="20"/>
                <w:szCs w:val="20"/>
                <w:color w:val="auto"/>
              </w:rPr>
            </w:pPr>
            <w:r>
              <w:rPr>
                <w:rFonts w:ascii="Arial" w:cs="Arial" w:eastAsia="Arial" w:hAnsi="Arial"/>
                <w:sz w:val="18"/>
                <w:szCs w:val="18"/>
                <w:color w:val="auto"/>
              </w:rPr>
              <w:t>Item 6.</w:t>
            </w:r>
          </w:p>
        </w:tc>
        <w:tc>
          <w:tcPr>
            <w:tcW w:w="9080" w:type="dxa"/>
            <w:vAlign w:val="bottom"/>
            <w:gridSpan w:val="20"/>
          </w:tcPr>
          <w:p>
            <w:pPr>
              <w:spacing w:after="0" w:line="195" w:lineRule="exact"/>
              <w:rPr>
                <w:rFonts w:ascii="Arial" w:cs="Arial" w:eastAsia="Arial" w:hAnsi="Arial"/>
                <w:sz w:val="18"/>
                <w:szCs w:val="18"/>
                <w:color w:val="0000EE"/>
              </w:rPr>
            </w:pPr>
            <w:hyperlink w:anchor="page60">
              <w:r>
                <w:rPr>
                  <w:rFonts w:ascii="Arial" w:cs="Arial" w:eastAsia="Arial" w:hAnsi="Arial"/>
                  <w:sz w:val="18"/>
                  <w:szCs w:val="18"/>
                  <w:color w:val="0000EE"/>
                </w:rPr>
                <w:t>Exhibits</w:t>
              </w:r>
            </w:hyperlink>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60</w:t>
            </w:r>
          </w:p>
        </w:tc>
      </w:tr>
      <w:tr>
        <w:trPr>
          <w:trHeight w:val="194"/>
        </w:trPr>
        <w:tc>
          <w:tcPr>
            <w:tcW w:w="980" w:type="dxa"/>
            <w:vAlign w:val="bottom"/>
            <w:gridSpan w:val="2"/>
          </w:tcPr>
          <w:p>
            <w:pPr>
              <w:spacing w:after="0" w:line="195" w:lineRule="exact"/>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0"/>
        </w:trPr>
        <w:tc>
          <w:tcPr>
            <w:tcW w:w="7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EX-31.1</w:t>
            </w:r>
          </w:p>
        </w:tc>
        <w:tc>
          <w:tcPr>
            <w:tcW w:w="220" w:type="dxa"/>
            <w:vAlign w:val="bottom"/>
          </w:tcPr>
          <w:p>
            <w:pPr>
              <w:spacing w:after="0"/>
              <w:rPr>
                <w:sz w:val="19"/>
                <w:szCs w:val="19"/>
                <w:color w:val="auto"/>
              </w:rPr>
            </w:pPr>
          </w:p>
        </w:tc>
        <w:tc>
          <w:tcPr>
            <w:tcW w:w="9080" w:type="dxa"/>
            <w:vAlign w:val="bottom"/>
            <w:gridSpan w:val="20"/>
          </w:tcPr>
          <w:p>
            <w:pPr>
              <w:spacing w:after="0"/>
              <w:rPr>
                <w:sz w:val="20"/>
                <w:szCs w:val="20"/>
                <w:color w:val="auto"/>
              </w:rPr>
            </w:pPr>
            <w:r>
              <w:rPr>
                <w:rFonts w:ascii="Arial" w:cs="Arial" w:eastAsia="Arial" w:hAnsi="Arial"/>
                <w:sz w:val="18"/>
                <w:szCs w:val="18"/>
                <w:color w:val="auto"/>
              </w:rPr>
              <w:t>CERTIFICATION OF THE CEO PURSUANT TO SECTION 302</w:t>
            </w:r>
          </w:p>
        </w:tc>
        <w:tc>
          <w:tcPr>
            <w:tcW w:w="1180" w:type="dxa"/>
            <w:vAlign w:val="bottom"/>
          </w:tcPr>
          <w:p>
            <w:pPr>
              <w:spacing w:after="0"/>
              <w:rPr>
                <w:sz w:val="19"/>
                <w:szCs w:val="19"/>
                <w:color w:val="auto"/>
              </w:rPr>
            </w:pPr>
          </w:p>
        </w:tc>
      </w:tr>
      <w:tr>
        <w:trPr>
          <w:trHeight w:val="214"/>
        </w:trPr>
        <w:tc>
          <w:tcPr>
            <w:tcW w:w="980" w:type="dxa"/>
            <w:vAlign w:val="bottom"/>
            <w:gridSpan w:val="2"/>
          </w:tcPr>
          <w:p>
            <w:pPr>
              <w:spacing w:after="0"/>
              <w:rPr>
                <w:sz w:val="20"/>
                <w:szCs w:val="20"/>
                <w:color w:val="auto"/>
              </w:rPr>
            </w:pPr>
            <w:r>
              <w:rPr>
                <w:rFonts w:ascii="Arial" w:cs="Arial" w:eastAsia="Arial" w:hAnsi="Arial"/>
                <w:sz w:val="18"/>
                <w:szCs w:val="18"/>
                <w:color w:val="auto"/>
              </w:rPr>
              <w:t>EX-31.2</w:t>
            </w:r>
          </w:p>
        </w:tc>
        <w:tc>
          <w:tcPr>
            <w:tcW w:w="9080" w:type="dxa"/>
            <w:vAlign w:val="bottom"/>
            <w:gridSpan w:val="20"/>
          </w:tcPr>
          <w:p>
            <w:pPr>
              <w:spacing w:after="0"/>
              <w:rPr>
                <w:sz w:val="20"/>
                <w:szCs w:val="20"/>
                <w:color w:val="auto"/>
              </w:rPr>
            </w:pPr>
            <w:r>
              <w:rPr>
                <w:rFonts w:ascii="Arial" w:cs="Arial" w:eastAsia="Arial" w:hAnsi="Arial"/>
                <w:sz w:val="18"/>
                <w:szCs w:val="18"/>
                <w:color w:val="auto"/>
              </w:rPr>
              <w:t>CERTIFICATION OF THE CFO PURSUANT TO SECTION 302</w:t>
            </w:r>
          </w:p>
        </w:tc>
        <w:tc>
          <w:tcPr>
            <w:tcW w:w="1180" w:type="dxa"/>
            <w:vAlign w:val="bottom"/>
          </w:tcPr>
          <w:p>
            <w:pPr>
              <w:spacing w:after="0"/>
              <w:rPr>
                <w:sz w:val="18"/>
                <w:szCs w:val="18"/>
                <w:color w:val="auto"/>
              </w:rPr>
            </w:pPr>
          </w:p>
        </w:tc>
      </w:tr>
      <w:tr>
        <w:trPr>
          <w:trHeight w:val="227"/>
        </w:trPr>
        <w:tc>
          <w:tcPr>
            <w:tcW w:w="980" w:type="dxa"/>
            <w:vAlign w:val="bottom"/>
            <w:gridSpan w:val="2"/>
          </w:tcPr>
          <w:p>
            <w:pPr>
              <w:spacing w:after="0"/>
              <w:rPr>
                <w:sz w:val="20"/>
                <w:szCs w:val="20"/>
                <w:color w:val="auto"/>
              </w:rPr>
            </w:pPr>
            <w:r>
              <w:rPr>
                <w:rFonts w:ascii="Arial" w:cs="Arial" w:eastAsia="Arial" w:hAnsi="Arial"/>
                <w:sz w:val="18"/>
                <w:szCs w:val="18"/>
                <w:color w:val="auto"/>
              </w:rPr>
              <w:t>EX-32.1</w:t>
            </w:r>
          </w:p>
        </w:tc>
        <w:tc>
          <w:tcPr>
            <w:tcW w:w="9080" w:type="dxa"/>
            <w:vAlign w:val="bottom"/>
            <w:gridSpan w:val="20"/>
          </w:tcPr>
          <w:p>
            <w:pPr>
              <w:spacing w:after="0"/>
              <w:rPr>
                <w:sz w:val="20"/>
                <w:szCs w:val="20"/>
                <w:color w:val="auto"/>
              </w:rPr>
            </w:pPr>
            <w:r>
              <w:rPr>
                <w:rFonts w:ascii="Arial" w:cs="Arial" w:eastAsia="Arial" w:hAnsi="Arial"/>
                <w:sz w:val="18"/>
                <w:szCs w:val="18"/>
                <w:color w:val="auto"/>
              </w:rPr>
              <w:t>CERTIFICATION OF THE CEO AND CFO PURSUANT TO SECTION 906</w:t>
            </w:r>
          </w:p>
        </w:tc>
        <w:tc>
          <w:tcPr>
            <w:tcW w:w="1180" w:type="dxa"/>
            <w:vAlign w:val="bottom"/>
          </w:tcPr>
          <w:p>
            <w:pPr>
              <w:spacing w:after="0"/>
              <w:rPr>
                <w:sz w:val="19"/>
                <w:szCs w:val="19"/>
                <w:color w:val="auto"/>
              </w:rPr>
            </w:pPr>
          </w:p>
        </w:tc>
      </w:tr>
      <w:tr>
        <w:trPr>
          <w:trHeight w:val="1188"/>
        </w:trPr>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79"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31"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cost of revenue, gross margin and operating expenses;</w:t>
      </w:r>
    </w:p>
    <w:p>
      <w:pPr>
        <w:spacing w:after="0" w:line="97"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and expanding our customer base and increasing our average subscription revenue per customer;</w:t>
      </w:r>
    </w:p>
    <w:p>
      <w:pPr>
        <w:spacing w:after="0" w:line="7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7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and expectations regarding our ability to manage our future growth;</w:t>
      </w:r>
    </w:p>
    <w:p>
      <w:pPr>
        <w:spacing w:after="0" w:line="74" w:lineRule="exact"/>
        <w:rPr>
          <w:rFonts w:ascii="Arial" w:cs="Arial" w:eastAsia="Arial" w:hAnsi="Arial"/>
          <w:sz w:val="18"/>
          <w:szCs w:val="18"/>
          <w:color w:val="auto"/>
        </w:rPr>
      </w:pPr>
    </w:p>
    <w:p>
      <w:pPr>
        <w:ind w:left="1020" w:right="80" w:hanging="503"/>
        <w:spacing w:after="0" w:line="27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impact of the COVID-19 pandemic on our business, operations, and the markets in which we and our partners and customers operate;</w:t>
      </w:r>
    </w:p>
    <w:p>
      <w:pPr>
        <w:spacing w:after="0" w:line="26" w:lineRule="exact"/>
        <w:rPr>
          <w:rFonts w:ascii="Arial" w:cs="Arial" w:eastAsia="Arial" w:hAnsi="Arial"/>
          <w:sz w:val="18"/>
          <w:szCs w:val="18"/>
          <w:color w:val="auto"/>
        </w:rPr>
      </w:pPr>
    </w:p>
    <w:p>
      <w:pPr>
        <w:ind w:left="1020" w:right="420" w:hanging="503"/>
        <w:spacing w:after="0" w:line="27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areas of investments, including sales and marketing, research and development, customer service and support, data center infrastructure and service capabilities, and expectations relating to such investments;</w:t>
      </w:r>
    </w:p>
    <w:p>
      <w:pPr>
        <w:spacing w:after="0" w:line="2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predictions about industry and market trends;</w:t>
      </w:r>
    </w:p>
    <w:p>
      <w:pPr>
        <w:spacing w:after="0" w:line="74" w:lineRule="exact"/>
        <w:rPr>
          <w:rFonts w:ascii="Arial" w:cs="Arial" w:eastAsia="Arial" w:hAnsi="Arial"/>
          <w:sz w:val="18"/>
          <w:szCs w:val="18"/>
          <w:color w:val="auto"/>
        </w:rPr>
      </w:pPr>
    </w:p>
    <w:p>
      <w:pPr>
        <w:ind w:left="1020" w:right="420" w:hanging="503"/>
        <w:spacing w:after="0" w:line="30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spacing w:after="0" w:line="4"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brand and inbound marketing, selling and servicing thought leadership position;</w:t>
      </w:r>
    </w:p>
    <w:p>
      <w:pPr>
        <w:spacing w:after="0" w:line="7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our corporate culture and our ability to attract, hire and retain necessary qualified employees to expand our operations;</w:t>
      </w:r>
    </w:p>
    <w:p>
      <w:pPr>
        <w:spacing w:after="0" w:line="86"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effect on our business of litigation to which we are or may become a party;</w:t>
      </w:r>
    </w:p>
    <w:p>
      <w:pPr>
        <w:spacing w:after="0" w:line="7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acquire and integrate companies and assets;</w:t>
      </w:r>
    </w:p>
    <w:p>
      <w:pPr>
        <w:spacing w:after="0" w:line="7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regarding declaring or paying cash dividends in the foreseeable future; and</w:t>
      </w:r>
    </w:p>
    <w:p>
      <w:pPr>
        <w:spacing w:after="0" w:line="74" w:lineRule="exact"/>
        <w:rPr>
          <w:rFonts w:ascii="Arial" w:cs="Arial" w:eastAsia="Arial" w:hAnsi="Arial"/>
          <w:sz w:val="18"/>
          <w:szCs w:val="18"/>
          <w:color w:val="auto"/>
        </w:rPr>
      </w:pPr>
    </w:p>
    <w:p>
      <w:pPr>
        <w:ind w:left="1020" w:hanging="503"/>
        <w:spacing w:after="0" w:line="27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12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77" w:lineRule="exact"/>
        <w:rPr>
          <w:sz w:val="20"/>
          <w:szCs w:val="20"/>
          <w:color w:val="auto"/>
        </w:rPr>
      </w:pPr>
    </w:p>
    <w:p>
      <w:pPr>
        <w:jc w:val="both"/>
        <w:ind w:right="180" w:firstLine="510"/>
        <w:spacing w:after="0" w:line="307"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45" w:lineRule="exact"/>
        <w:rPr>
          <w:sz w:val="20"/>
          <w:szCs w:val="20"/>
          <w:color w:val="auto"/>
        </w:rPr>
      </w:pPr>
    </w:p>
    <w:p>
      <w:pPr>
        <w:ind w:right="560" w:firstLine="510"/>
        <w:spacing w:after="0" w:line="260"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78" w:lineRule="exact"/>
        <w:rPr>
          <w:sz w:val="20"/>
          <w:szCs w:val="20"/>
          <w:color w:val="auto"/>
        </w:rPr>
      </w:pPr>
    </w:p>
    <w:p>
      <w:pPr>
        <w:ind w:right="320" w:firstLine="510"/>
        <w:spacing w:after="0" w:line="272" w:lineRule="auto"/>
        <w:rPr>
          <w:sz w:val="20"/>
          <w:szCs w:val="20"/>
          <w:color w:val="auto"/>
        </w:rPr>
      </w:pPr>
      <w:r>
        <w:rPr>
          <w:rFonts w:ascii="Arial" w:cs="Arial" w:eastAsia="Arial" w:hAnsi="Arial"/>
          <w:sz w:val="18"/>
          <w:szCs w:val="18"/>
          <w:color w:val="auto"/>
        </w:rPr>
        <w:t>In this Quarterly Report on Form 10-Q, the terms “HubSpot,” “we,” “us,” and “our” refer to HubSpot, Inc. and its subsidiaries, unless the context indicates otherwise.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 w:name="page4"/>
    <w:bookmarkEnd w:id="3"/>
    <w:p>
      <w:pPr>
        <w:ind w:left="100"/>
        <w:spacing w:after="0"/>
        <w:rPr>
          <w:sz w:val="20"/>
          <w:szCs w:val="20"/>
          <w:color w:val="auto"/>
        </w:rPr>
      </w:pPr>
      <w:r>
        <w:rPr>
          <w:rFonts w:ascii="Arial" w:cs="Arial" w:eastAsia="Arial" w:hAnsi="Arial"/>
          <w:sz w:val="18"/>
          <w:szCs w:val="18"/>
          <w:b w:val="1"/>
          <w:bCs w:val="1"/>
          <w:color w:val="auto"/>
        </w:rPr>
        <w:t>Risk Factor Summary</w:t>
      </w:r>
    </w:p>
    <w:p>
      <w:pPr>
        <w:spacing w:after="0" w:line="226" w:lineRule="exact"/>
        <w:rPr>
          <w:sz w:val="20"/>
          <w:szCs w:val="20"/>
          <w:color w:val="auto"/>
        </w:rPr>
      </w:pPr>
    </w:p>
    <w:p>
      <w:pPr>
        <w:ind w:right="80" w:firstLine="749"/>
        <w:spacing w:after="0" w:line="307" w:lineRule="auto"/>
        <w:rPr>
          <w:sz w:val="20"/>
          <w:szCs w:val="20"/>
          <w:color w:val="auto"/>
        </w:rPr>
      </w:pPr>
      <w:r>
        <w:rPr>
          <w:rFonts w:ascii="Arial" w:cs="Arial" w:eastAsia="Arial" w:hAnsi="Arial"/>
          <w:sz w:val="16"/>
          <w:szCs w:val="16"/>
          <w:i w:val="1"/>
          <w:iCs w:val="1"/>
          <w:color w:val="auto"/>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152" w:lineRule="exact"/>
        <w:rPr>
          <w:sz w:val="20"/>
          <w:szCs w:val="20"/>
          <w:color w:val="auto"/>
        </w:rPr>
      </w:pPr>
    </w:p>
    <w:p>
      <w:pPr>
        <w:ind w:left="740" w:right="320" w:hanging="371"/>
        <w:spacing w:after="0" w:line="271"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effects of the COVID-19 pandemic have materially affected how we and our customers are operating our businesses, and the duration and extent to which this will impact our future results of operations and overall financial performance remains uncertain.</w:t>
      </w:r>
    </w:p>
    <w:p>
      <w:pPr>
        <w:ind w:left="740" w:hanging="371"/>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and may not achieve profitability in the future.</w:t>
      </w:r>
    </w:p>
    <w:p>
      <w:pPr>
        <w:spacing w:after="0" w:line="7" w:lineRule="exact"/>
        <w:rPr>
          <w:rFonts w:ascii="Arial" w:cs="Arial" w:eastAsia="Arial" w:hAnsi="Arial"/>
          <w:sz w:val="18"/>
          <w:szCs w:val="18"/>
          <w:color w:val="auto"/>
        </w:rPr>
      </w:pPr>
    </w:p>
    <w:p>
      <w:pPr>
        <w:ind w:left="740" w:hanging="371"/>
        <w:spacing w:after="0" w:line="24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upon customer renewals, the addition of new customers, increased revenue from existing customers and the continued growth of the market for a CRM Platform.</w:t>
      </w:r>
    </w:p>
    <w:p>
      <w:pPr>
        <w:spacing w:after="0" w:line="1" w:lineRule="exact"/>
        <w:rPr>
          <w:rFonts w:ascii="Arial" w:cs="Arial" w:eastAsia="Arial" w:hAnsi="Arial"/>
          <w:sz w:val="18"/>
          <w:szCs w:val="18"/>
          <w:color w:val="auto"/>
        </w:rPr>
      </w:pPr>
    </w:p>
    <w:p>
      <w:pPr>
        <w:ind w:left="740" w:right="320" w:hanging="371"/>
        <w:spacing w:after="0" w:line="24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1" w:lineRule="exact"/>
        <w:rPr>
          <w:rFonts w:ascii="Arial" w:cs="Arial" w:eastAsia="Arial" w:hAnsi="Arial"/>
          <w:sz w:val="18"/>
          <w:szCs w:val="18"/>
          <w:color w:val="auto"/>
        </w:rPr>
      </w:pPr>
    </w:p>
    <w:p>
      <w:pPr>
        <w:ind w:left="740" w:right="200" w:hanging="371"/>
        <w:spacing w:after="0" w:line="24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effectively develop and expand our marketing, sales, customer service, and content management capabilities could harm our ability to increase our customer base and achieve broader market acceptance of our platform.</w:t>
      </w:r>
    </w:p>
    <w:p>
      <w:pPr>
        <w:spacing w:after="0" w:line="1" w:lineRule="exact"/>
        <w:rPr>
          <w:rFonts w:ascii="Arial" w:cs="Arial" w:eastAsia="Arial" w:hAnsi="Arial"/>
          <w:sz w:val="18"/>
          <w:szCs w:val="18"/>
          <w:color w:val="auto"/>
        </w:rPr>
      </w:pPr>
    </w:p>
    <w:p>
      <w:pPr>
        <w:ind w:left="740" w:right="840" w:hanging="371"/>
        <w:spacing w:after="0" w:line="24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and changing customer needs or requirements, our CRM Platform may become less competitive.</w:t>
      </w:r>
    </w:p>
    <w:p>
      <w:pPr>
        <w:spacing w:after="0" w:line="1" w:lineRule="exact"/>
        <w:rPr>
          <w:rFonts w:ascii="Arial" w:cs="Arial" w:eastAsia="Arial" w:hAnsi="Arial"/>
          <w:sz w:val="18"/>
          <w:szCs w:val="18"/>
          <w:color w:val="auto"/>
        </w:rPr>
      </w:pPr>
    </w:p>
    <w:p>
      <w:pPr>
        <w:ind w:left="740" w:hanging="371"/>
        <w:spacing w:after="0" w:line="279"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1" w:lineRule="exact"/>
        <w:rPr>
          <w:rFonts w:ascii="Arial" w:cs="Arial" w:eastAsia="Arial" w:hAnsi="Arial"/>
          <w:sz w:val="16"/>
          <w:szCs w:val="16"/>
          <w:color w:val="auto"/>
        </w:rPr>
      </w:pPr>
    </w:p>
    <w:p>
      <w:pPr>
        <w:ind w:left="740" w:right="440" w:hanging="371"/>
        <w:spacing w:after="0" w:line="279"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1" w:lineRule="exact"/>
        <w:rPr>
          <w:rFonts w:ascii="Arial" w:cs="Arial" w:eastAsia="Arial" w:hAnsi="Arial"/>
          <w:sz w:val="16"/>
          <w:szCs w:val="16"/>
          <w:color w:val="auto"/>
        </w:rPr>
      </w:pPr>
    </w:p>
    <w:p>
      <w:pPr>
        <w:ind w:left="740" w:right="280" w:hanging="371"/>
        <w:spacing w:after="0" w:line="24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spacing w:after="0" w:line="1" w:lineRule="exact"/>
        <w:rPr>
          <w:rFonts w:ascii="Arial" w:cs="Arial" w:eastAsia="Arial" w:hAnsi="Arial"/>
          <w:sz w:val="18"/>
          <w:szCs w:val="18"/>
          <w:color w:val="auto"/>
        </w:rPr>
      </w:pPr>
    </w:p>
    <w:p>
      <w:pPr>
        <w:ind w:left="740" w:right="520" w:hanging="371"/>
        <w:spacing w:after="0" w:line="24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1" w:lineRule="exact"/>
        <w:rPr>
          <w:rFonts w:ascii="Arial" w:cs="Arial" w:eastAsia="Arial" w:hAnsi="Arial"/>
          <w:sz w:val="18"/>
          <w:szCs w:val="18"/>
          <w:color w:val="auto"/>
        </w:rPr>
      </w:pPr>
    </w:p>
    <w:p>
      <w:pPr>
        <w:ind w:left="740" w:right="280" w:hanging="371"/>
        <w:spacing w:after="0" w:line="24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 w:lineRule="exact"/>
        <w:rPr>
          <w:rFonts w:ascii="Arial" w:cs="Arial" w:eastAsia="Arial" w:hAnsi="Arial"/>
          <w:sz w:val="18"/>
          <w:szCs w:val="18"/>
          <w:color w:val="auto"/>
        </w:rPr>
      </w:pPr>
    </w:p>
    <w:p>
      <w:pPr>
        <w:ind w:left="740" w:right="860" w:hanging="371"/>
        <w:spacing w:after="0" w:line="24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1" w:lineRule="exact"/>
        <w:rPr>
          <w:rFonts w:ascii="Arial" w:cs="Arial" w:eastAsia="Arial" w:hAnsi="Arial"/>
          <w:sz w:val="18"/>
          <w:szCs w:val="18"/>
          <w:color w:val="auto"/>
        </w:rPr>
      </w:pPr>
    </w:p>
    <w:p>
      <w:pPr>
        <w:ind w:left="740" w:hanging="371"/>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capital in the future may be limited, and our failure to raise capital when needed could prevent us from growing.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1"/>
        </w:trPr>
        <w:tc>
          <w:tcPr>
            <w:tcW w:w="940" w:type="dxa"/>
            <w:vAlign w:val="bottom"/>
          </w:tcPr>
          <w:p>
            <w:pPr>
              <w:spacing w:after="0"/>
              <w:rPr>
                <w:sz w:val="20"/>
                <w:szCs w:val="20"/>
                <w:color w:val="auto"/>
              </w:rPr>
            </w:pPr>
          </w:p>
        </w:tc>
        <w:tc>
          <w:tcPr>
            <w:tcW w:w="6500" w:type="dxa"/>
            <w:vAlign w:val="bottom"/>
          </w:tcPr>
          <w:p>
            <w:pPr>
              <w:jc w:val="center"/>
              <w:ind w:left="2791"/>
              <w:spacing w:after="0"/>
              <w:rPr>
                <w:sz w:val="20"/>
                <w:szCs w:val="20"/>
                <w:color w:val="auto"/>
              </w:rPr>
            </w:pPr>
            <w:r>
              <w:rPr>
                <w:rFonts w:ascii="Arial" w:cs="Arial" w:eastAsia="Arial" w:hAnsi="Arial"/>
                <w:sz w:val="18"/>
                <w:szCs w:val="18"/>
                <w:b w:val="1"/>
                <w:bCs w:val="1"/>
                <w:color w:val="auto"/>
                <w:w w:val="94"/>
              </w:rPr>
              <w:t>PART I — Financial Information</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tcPr>
          <w:p>
            <w:pPr>
              <w:spacing w:after="0"/>
              <w:rPr>
                <w:sz w:val="24"/>
                <w:szCs w:val="24"/>
                <w:color w:val="auto"/>
              </w:rPr>
            </w:pPr>
          </w:p>
        </w:tc>
        <w:tc>
          <w:tcPr>
            <w:tcW w:w="6500" w:type="dxa"/>
            <w:vAlign w:val="bottom"/>
          </w:tcPr>
          <w:p>
            <w:pPr>
              <w:jc w:val="center"/>
              <w:ind w:left="2791"/>
              <w:spacing w:after="0"/>
              <w:rPr>
                <w:sz w:val="20"/>
                <w:szCs w:val="20"/>
                <w:color w:val="auto"/>
              </w:rPr>
            </w:pPr>
            <w:r>
              <w:rPr>
                <w:rFonts w:ascii="Arial" w:cs="Arial" w:eastAsia="Arial" w:hAnsi="Arial"/>
                <w:sz w:val="18"/>
                <w:szCs w:val="18"/>
                <w:b w:val="1"/>
                <w:bCs w:val="1"/>
                <w:color w:val="auto"/>
                <w:w w:val="91"/>
              </w:rPr>
              <w:t>HubSpot, Inc.</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6500" w:type="dxa"/>
            <w:vAlign w:val="bottom"/>
          </w:tcPr>
          <w:p>
            <w:pPr>
              <w:jc w:val="center"/>
              <w:ind w:left="2771"/>
              <w:spacing w:after="0"/>
              <w:rPr>
                <w:sz w:val="20"/>
                <w:szCs w:val="20"/>
                <w:color w:val="auto"/>
              </w:rPr>
            </w:pPr>
            <w:r>
              <w:rPr>
                <w:rFonts w:ascii="Arial" w:cs="Arial" w:eastAsia="Arial" w:hAnsi="Arial"/>
                <w:sz w:val="18"/>
                <w:szCs w:val="18"/>
                <w:b w:val="1"/>
                <w:bCs w:val="1"/>
                <w:color w:val="auto"/>
                <w:w w:val="88"/>
              </w:rPr>
              <w:t>Unaudited Consolidated Balance Sheets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40" w:type="dxa"/>
            <w:vAlign w:val="bottom"/>
          </w:tcPr>
          <w:p>
            <w:pPr>
              <w:spacing w:after="0"/>
              <w:rPr>
                <w:sz w:val="20"/>
                <w:szCs w:val="20"/>
                <w:color w:val="auto"/>
              </w:rPr>
            </w:pPr>
          </w:p>
        </w:tc>
        <w:tc>
          <w:tcPr>
            <w:tcW w:w="6500" w:type="dxa"/>
            <w:vAlign w:val="bottom"/>
          </w:tcPr>
          <w:p>
            <w:pPr>
              <w:jc w:val="center"/>
              <w:ind w:left="2771"/>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9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940" w:type="dxa"/>
            <w:vAlign w:val="bottom"/>
            <w:tcBorders>
              <w:bottom w:val="single" w:sz="8" w:color="CFF0FC"/>
            </w:tcBorders>
          </w:tcPr>
          <w:p>
            <w:pPr>
              <w:spacing w:after="0"/>
              <w:rPr>
                <w:sz w:val="14"/>
                <w:szCs w:val="14"/>
                <w:color w:val="auto"/>
              </w:rPr>
            </w:pPr>
          </w:p>
        </w:tc>
        <w:tc>
          <w:tcPr>
            <w:tcW w:w="650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397,498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782,335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873,073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 net of allowance for doubtful accounts of $1,671 and</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$1,993 at March 31, 2021 and December 31, 2020, respectively</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109,602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Deferred commission expense</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47,279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31,459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1,368,173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1,456,921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105,990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96,845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Capitalized software development costs, net</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40" w:type="dxa"/>
            <w:vAlign w:val="bottom"/>
            <w:gridSpan w:val="2"/>
          </w:tcPr>
          <w:p>
            <w:pPr>
              <w:spacing w:after="0"/>
              <w:rPr>
                <w:sz w:val="20"/>
                <w:szCs w:val="20"/>
                <w:color w:val="auto"/>
              </w:rPr>
            </w:pPr>
            <w:r>
              <w:rPr>
                <w:rFonts w:ascii="Arial" w:cs="Arial" w:eastAsia="Arial" w:hAnsi="Arial"/>
                <w:sz w:val="18"/>
                <w:szCs w:val="18"/>
                <w:color w:val="auto"/>
              </w:rPr>
              <w:t>Right-of-use assets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261,601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275,893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commission expense, net of current portion</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40" w:type="dxa"/>
            <w:vAlign w:val="bottom"/>
          </w:tcPr>
          <w:p>
            <w:pPr>
              <w:spacing w:after="0"/>
              <w:rPr>
                <w:sz w:val="20"/>
                <w:szCs w:val="20"/>
                <w:color w:val="auto"/>
              </w:rPr>
            </w:pPr>
            <w:r>
              <w:rPr>
                <w:rFonts w:ascii="Arial" w:cs="Arial" w:eastAsia="Arial" w:hAnsi="Arial"/>
                <w:sz w:val="18"/>
                <w:szCs w:val="18"/>
                <w:color w:val="auto"/>
                <w:w w:val="90"/>
              </w:rPr>
              <w:t>Other assets</w:t>
            </w:r>
          </w:p>
        </w:tc>
        <w:tc>
          <w:tcPr>
            <w:tcW w:w="6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18,795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65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88"/>
              </w:rPr>
              <w:t>Total assets</w:t>
            </w:r>
          </w:p>
        </w:tc>
        <w:tc>
          <w:tcPr>
            <w:tcW w:w="65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1,969,817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1,973,366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17,907</w:t>
            </w:r>
          </w:p>
        </w:tc>
        <w:tc>
          <w:tcPr>
            <w:tcW w:w="28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13,540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compensation costs</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44,856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40,868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37,184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Convertible senior notes</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336,183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482,187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445,501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265,664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40" w:type="dxa"/>
            <w:vAlign w:val="bottom"/>
            <w:gridSpan w:val="2"/>
          </w:tcPr>
          <w:p>
            <w:pPr>
              <w:spacing w:after="0"/>
              <w:rPr>
                <w:sz w:val="20"/>
                <w:szCs w:val="20"/>
                <w:color w:val="auto"/>
              </w:rPr>
            </w:pPr>
            <w:r>
              <w:rPr>
                <w:rFonts w:ascii="Arial" w:cs="Arial" w:eastAsia="Arial" w:hAnsi="Arial"/>
                <w:sz w:val="18"/>
                <w:szCs w:val="18"/>
                <w:color w:val="auto"/>
              </w:rPr>
              <w:t>Deferred revenue, net of current portion</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Convertible senior notes</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432,626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1,195,103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1,210,711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1,279,113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1,241,167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(506,320)</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(483,161)</w:t>
            </w:r>
          </w:p>
        </w:tc>
        <w:tc>
          <w:tcPr>
            <w:tcW w:w="0" w:type="dxa"/>
            <w:vAlign w:val="bottom"/>
          </w:tcPr>
          <w:p>
            <w:pPr>
              <w:spacing w:after="0"/>
              <w:rPr>
                <w:sz w:val="1"/>
                <w:szCs w:val="1"/>
                <w:color w:val="auto"/>
              </w:rPr>
            </w:pPr>
          </w:p>
        </w:tc>
      </w:tr>
      <w:tr>
        <w:trPr>
          <w:trHeight w:val="221"/>
        </w:trPr>
        <w:tc>
          <w:tcPr>
            <w:tcW w:w="7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774,714</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762,655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1,969,817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1,973,366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HubSpot,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tcPr>
          <w:p>
            <w:pPr>
              <w:spacing w:after="0"/>
              <w:rPr>
                <w:sz w:val="14"/>
                <w:szCs w:val="14"/>
                <w:color w:val="auto"/>
              </w:rPr>
            </w:pPr>
          </w:p>
        </w:tc>
        <w:tc>
          <w:tcPr>
            <w:tcW w:w="35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4"/>
        </w:trPr>
        <w:tc>
          <w:tcPr>
            <w:tcW w:w="770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940" w:type="dxa"/>
            <w:vAlign w:val="bottom"/>
          </w:tcPr>
          <w:p>
            <w:pPr>
              <w:jc w:val="right"/>
              <w:ind w:right="758"/>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270,263</w:t>
            </w:r>
          </w:p>
        </w:tc>
        <w:tc>
          <w:tcPr>
            <w:tcW w:w="28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191,229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revenue</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281,365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43,853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cost of revenues</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54,734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226,631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68,396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141,017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241,663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(15,032)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tcPr>
          <w:p>
            <w:pPr>
              <w:spacing w:after="0"/>
              <w:rPr>
                <w:sz w:val="20"/>
                <w:szCs w:val="20"/>
                <w:color w:val="auto"/>
              </w:rPr>
            </w:pPr>
            <w:r>
              <w:rPr>
                <w:rFonts w:ascii="Arial" w:cs="Arial" w:eastAsia="Arial" w:hAnsi="Arial"/>
                <w:sz w:val="18"/>
                <w:szCs w:val="18"/>
                <w:color w:val="auto"/>
              </w:rPr>
              <w:t>Other expense:</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(9,399)</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9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(8,264)</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(23,296)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1"/>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tcBorders>
              <w:top w:val="single" w:sz="8" w:color="auto"/>
              <w:bottom w:val="single" w:sz="8" w:color="auto"/>
            </w:tcBorders>
            <w:shd w:val="clear" w:color="auto" w:fill="CFF0FC"/>
          </w:tcPr>
          <w:p>
            <w:pPr>
              <w:jc w:val="right"/>
              <w:ind w:right="758"/>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(23,159)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00" w:type="dxa"/>
            <w:vAlign w:val="bottom"/>
            <w:vMerge w:val="continue"/>
          </w:tcPr>
          <w:p>
            <w:pPr>
              <w:spacing w:after="0"/>
              <w:rPr>
                <w:sz w:val="18"/>
                <w:szCs w:val="18"/>
                <w:color w:val="auto"/>
              </w:rPr>
            </w:pPr>
          </w:p>
        </w:tc>
        <w:tc>
          <w:tcPr>
            <w:tcW w:w="940" w:type="dxa"/>
            <w:vAlign w:val="bottom"/>
            <w:tcBorders>
              <w:top w:val="single" w:sz="8" w:color="auto"/>
            </w:tcBorders>
          </w:tcPr>
          <w:p>
            <w:pPr>
              <w:jc w:val="right"/>
              <w:ind w:right="758"/>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80" w:type="dxa"/>
            <w:vAlign w:val="bottom"/>
          </w:tcPr>
          <w:p>
            <w:pPr>
              <w:spacing w:after="0"/>
              <w:rPr>
                <w:sz w:val="18"/>
                <w:szCs w:val="18"/>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in computing basic</w:t>
            </w: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diluted net loss per share:</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46,428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HubSpot,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35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4"/>
        </w:trPr>
        <w:tc>
          <w:tcPr>
            <w:tcW w:w="768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1"/>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FF0FC"/>
          </w:tcPr>
          <w:p>
            <w:pPr>
              <w:jc w:val="right"/>
              <w:ind w:right="8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(23,159)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(17,716)</w:t>
            </w:r>
          </w:p>
        </w:tc>
        <w:tc>
          <w:tcPr>
            <w:tcW w:w="120" w:type="dxa"/>
            <w:vAlign w:val="bottom"/>
            <w:shd w:val="clear" w:color="auto" w:fill="CFF0FC"/>
          </w:tcPr>
          <w:p>
            <w:pPr>
              <w:spacing w:after="0"/>
              <w:rPr>
                <w:sz w:val="19"/>
                <w:szCs w:val="19"/>
                <w:color w:val="auto"/>
              </w:rPr>
            </w:pPr>
          </w:p>
        </w:tc>
      </w:tr>
      <w:tr>
        <w:trPr>
          <w:trHeight w:val="228"/>
        </w:trPr>
        <w:tc>
          <w:tcPr>
            <w:tcW w:w="76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(2,489)</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(1,077)</w:t>
            </w:r>
          </w:p>
        </w:tc>
      </w:tr>
      <w:tr>
        <w:trPr>
          <w:trHeight w:val="214"/>
        </w:trPr>
        <w:tc>
          <w:tcPr>
            <w:tcW w:w="7680" w:type="dxa"/>
            <w:vAlign w:val="bottom"/>
          </w:tcPr>
          <w:p>
            <w:pPr>
              <w:ind w:left="260"/>
              <w:spacing w:after="0"/>
              <w:rPr>
                <w:sz w:val="20"/>
                <w:szCs w:val="20"/>
                <w:color w:val="auto"/>
              </w:rPr>
            </w:pPr>
            <w:r>
              <w:rPr>
                <w:rFonts w:ascii="Arial" w:cs="Arial" w:eastAsia="Arial" w:hAnsi="Arial"/>
                <w:sz w:val="18"/>
                <w:szCs w:val="18"/>
                <w:color w:val="auto"/>
                <w:w w:val="93"/>
              </w:rPr>
              <w:t>Changes in unrealized (loss) gain on investments, net of income taxes of ($36) for the three months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7680" w:type="dxa"/>
            <w:vAlign w:val="bottom"/>
          </w:tcPr>
          <w:p>
            <w:pPr>
              <w:ind w:left="380"/>
              <w:spacing w:after="0"/>
              <w:rPr>
                <w:sz w:val="20"/>
                <w:szCs w:val="20"/>
                <w:color w:val="auto"/>
              </w:rPr>
            </w:pPr>
            <w:r>
              <w:rPr>
                <w:rFonts w:ascii="Arial" w:cs="Arial" w:eastAsia="Arial" w:hAnsi="Arial"/>
                <w:sz w:val="18"/>
                <w:szCs w:val="18"/>
                <w:color w:val="auto"/>
              </w:rPr>
              <w:t>ended March 31, 2021 and $0 for the three months ended March 31, 2020</w:t>
            </w: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9"/>
                <w:szCs w:val="19"/>
                <w:color w:val="auto"/>
              </w:rPr>
            </w:pPr>
          </w:p>
        </w:tc>
      </w:tr>
      <w:tr>
        <w:trPr>
          <w:trHeight w:val="222"/>
        </w:trPr>
        <w:tc>
          <w:tcPr>
            <w:tcW w:w="7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980" w:type="dxa"/>
            <w:vAlign w:val="bottom"/>
            <w:tcBorders>
              <w:top w:val="single" w:sz="8" w:color="auto"/>
              <w:bottom w:val="single" w:sz="8" w:color="auto"/>
            </w:tcBorders>
            <w:shd w:val="clear" w:color="auto" w:fill="CFF0FC"/>
          </w:tcPr>
          <w:p>
            <w:pPr>
              <w:jc w:val="right"/>
              <w:ind w:right="80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(25,888)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HubSpot,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4"/>
        </w:trPr>
        <w:tc>
          <w:tcPr>
            <w:tcW w:w="730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51"/>
              <w:spacing w:after="0" w:line="154"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(23,159)</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(17,716)</w:t>
            </w:r>
          </w:p>
        </w:tc>
        <w:tc>
          <w:tcPr>
            <w:tcW w:w="0" w:type="dxa"/>
            <w:vAlign w:val="bottom"/>
          </w:tcPr>
          <w:p>
            <w:pPr>
              <w:spacing w:after="0"/>
              <w:rPr>
                <w:sz w:val="1"/>
                <w:szCs w:val="1"/>
                <w:color w:val="auto"/>
              </w:rPr>
            </w:pPr>
          </w:p>
        </w:tc>
      </w:tr>
      <w:tr>
        <w:trPr>
          <w:trHeight w:val="214"/>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and cash equivalents provided</w:t>
            </w: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by operating activities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11,208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500"/>
              <w:spacing w:after="0"/>
              <w:rPr>
                <w:sz w:val="20"/>
                <w:szCs w:val="20"/>
                <w:color w:val="auto"/>
              </w:rPr>
            </w:pPr>
            <w:r>
              <w:rPr>
                <w:rFonts w:ascii="Arial" w:cs="Arial" w:eastAsia="Arial" w:hAnsi="Arial"/>
                <w:sz w:val="18"/>
                <w:szCs w:val="18"/>
                <w:color w:val="auto"/>
              </w:rPr>
              <w:t>Loss on early extinguishment of 2022 Convertible Notes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 of 2022 Convertible Notes attributable to the debt discount</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(9,805)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300" w:type="dxa"/>
            <w:vAlign w:val="bottom"/>
          </w:tcPr>
          <w:p>
            <w:pPr>
              <w:ind w:left="500"/>
              <w:spacing w:after="0"/>
              <w:rPr>
                <w:sz w:val="20"/>
                <w:szCs w:val="20"/>
                <w:color w:val="auto"/>
              </w:rPr>
            </w:pPr>
            <w:r>
              <w:rPr>
                <w:rFonts w:ascii="Arial" w:cs="Arial" w:eastAsia="Arial" w:hAnsi="Arial"/>
                <w:sz w:val="18"/>
                <w:szCs w:val="18"/>
                <w:color w:val="auto"/>
              </w:rPr>
              <w:t>Benefit from deferred income taxes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(1,006)</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8"/>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discount and issuance costs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500"/>
              <w:spacing w:after="0"/>
              <w:rPr>
                <w:sz w:val="20"/>
                <w:szCs w:val="20"/>
                <w:color w:val="auto"/>
              </w:rPr>
            </w:pPr>
            <w:r>
              <w:rPr>
                <w:rFonts w:ascii="Arial" w:cs="Arial" w:eastAsia="Arial" w:hAnsi="Arial"/>
                <w:sz w:val="18"/>
                <w:szCs w:val="18"/>
                <w:color w:val="auto"/>
              </w:rPr>
              <w:t>Amortization (accretion) of bond discount</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28"/>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currency translation</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500"/>
              <w:spacing w:after="0"/>
              <w:rPr>
                <w:sz w:val="20"/>
                <w:szCs w:val="20"/>
                <w:color w:val="auto"/>
              </w:rPr>
            </w:pPr>
            <w:r>
              <w:rPr>
                <w:rFonts w:ascii="Arial" w:cs="Arial" w:eastAsia="Arial" w:hAnsi="Arial"/>
                <w:sz w:val="18"/>
                <w:szCs w:val="18"/>
                <w:color w:val="auto"/>
              </w:rPr>
              <w:t>Changes in assets and liabilities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740"/>
              <w:spacing w:after="0"/>
              <w:rPr>
                <w:sz w:val="20"/>
                <w:szCs w:val="20"/>
                <w:color w:val="auto"/>
              </w:rPr>
            </w:pPr>
            <w:r>
              <w:rPr>
                <w:rFonts w:ascii="Arial" w:cs="Arial" w:eastAsia="Arial" w:hAnsi="Arial"/>
                <w:sz w:val="18"/>
                <w:szCs w:val="18"/>
                <w:color w:val="auto"/>
              </w:rPr>
              <w:t>Prepaid expenses and other assets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2,715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(15,107)</w:t>
            </w:r>
          </w:p>
        </w:tc>
        <w:tc>
          <w:tcPr>
            <w:tcW w:w="0" w:type="dxa"/>
            <w:vAlign w:val="bottom"/>
          </w:tcPr>
          <w:p>
            <w:pPr>
              <w:spacing w:after="0"/>
              <w:rPr>
                <w:sz w:val="1"/>
                <w:szCs w:val="1"/>
                <w:color w:val="auto"/>
              </w:rPr>
            </w:pPr>
          </w:p>
        </w:tc>
      </w:tr>
      <w:tr>
        <w:trPr>
          <w:trHeight w:val="228"/>
        </w:trPr>
        <w:tc>
          <w:tcPr>
            <w:tcW w:w="73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commission expense</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(6,305)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28"/>
        </w:trPr>
        <w:tc>
          <w:tcPr>
            <w:tcW w:w="7300" w:type="dxa"/>
            <w:vAlign w:val="bottom"/>
          </w:tcPr>
          <w:p>
            <w:pPr>
              <w:ind w:left="740"/>
              <w:spacing w:after="0"/>
              <w:rPr>
                <w:sz w:val="20"/>
                <w:szCs w:val="20"/>
                <w:color w:val="auto"/>
              </w:rPr>
            </w:pPr>
            <w:r>
              <w:rPr>
                <w:rFonts w:ascii="Arial" w:cs="Arial" w:eastAsia="Arial" w:hAnsi="Arial"/>
                <w:sz w:val="18"/>
                <w:szCs w:val="18"/>
                <w:color w:val="auto"/>
              </w:rPr>
              <w:t>Right-of-use assets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10,354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(2,429)</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28"/>
        </w:trPr>
        <w:tc>
          <w:tcPr>
            <w:tcW w:w="73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lease liabilities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(9,272)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28"/>
        </w:trPr>
        <w:tc>
          <w:tcPr>
            <w:tcW w:w="73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Deferred revenue</w:t>
            </w:r>
          </w:p>
        </w:tc>
        <w:tc>
          <w:tcPr>
            <w:tcW w:w="4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3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cash and cash equivalents provided by operating activities</w:t>
            </w:r>
          </w:p>
        </w:tc>
        <w:tc>
          <w:tcPr>
            <w:tcW w:w="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62,700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investments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(362,288)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(439,889)</w:t>
            </w:r>
          </w:p>
        </w:tc>
        <w:tc>
          <w:tcPr>
            <w:tcW w:w="0" w:type="dxa"/>
            <w:vAlign w:val="bottom"/>
          </w:tcPr>
          <w:p>
            <w:pPr>
              <w:spacing w:after="0"/>
              <w:rPr>
                <w:sz w:val="1"/>
                <w:szCs w:val="1"/>
                <w:color w:val="auto"/>
              </w:rPr>
            </w:pPr>
          </w:p>
        </w:tc>
      </w:tr>
      <w:tr>
        <w:trPr>
          <w:trHeight w:val="228"/>
        </w:trPr>
        <w:tc>
          <w:tcPr>
            <w:tcW w:w="7300" w:type="dxa"/>
            <w:vAlign w:val="bottom"/>
          </w:tcPr>
          <w:p>
            <w:pPr>
              <w:ind w:left="260"/>
              <w:spacing w:after="0"/>
              <w:rPr>
                <w:sz w:val="20"/>
                <w:szCs w:val="20"/>
                <w:color w:val="auto"/>
              </w:rPr>
            </w:pPr>
            <w:r>
              <w:rPr>
                <w:rFonts w:ascii="Arial" w:cs="Arial" w:eastAsia="Arial" w:hAnsi="Arial"/>
                <w:sz w:val="18"/>
                <w:szCs w:val="18"/>
                <w:color w:val="auto"/>
              </w:rPr>
              <w:t>Maturities of investments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376,918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(3,967)</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(11,098)</w:t>
            </w:r>
          </w:p>
        </w:tc>
        <w:tc>
          <w:tcPr>
            <w:tcW w:w="0" w:type="dxa"/>
            <w:vAlign w:val="bottom"/>
          </w:tcPr>
          <w:p>
            <w:pPr>
              <w:spacing w:after="0"/>
              <w:rPr>
                <w:sz w:val="1"/>
                <w:szCs w:val="1"/>
                <w:color w:val="auto"/>
              </w:rPr>
            </w:pPr>
          </w:p>
        </w:tc>
      </w:tr>
      <w:tr>
        <w:trPr>
          <w:trHeight w:val="228"/>
        </w:trPr>
        <w:tc>
          <w:tcPr>
            <w:tcW w:w="7300" w:type="dxa"/>
            <w:vAlign w:val="bottom"/>
          </w:tcPr>
          <w:p>
            <w:pPr>
              <w:ind w:left="260"/>
              <w:spacing w:after="0"/>
              <w:rPr>
                <w:sz w:val="20"/>
                <w:szCs w:val="20"/>
                <w:color w:val="auto"/>
              </w:rPr>
            </w:pPr>
            <w:r>
              <w:rPr>
                <w:rFonts w:ascii="Arial" w:cs="Arial" w:eastAsia="Arial" w:hAnsi="Arial"/>
                <w:sz w:val="18"/>
                <w:szCs w:val="18"/>
                <w:color w:val="auto"/>
              </w:rPr>
              <w:t>Acquisition of a business, net of cash acquired</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(16,810)</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strategic investments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(1,850)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300" w:type="dxa"/>
            <w:vAlign w:val="bottom"/>
          </w:tcPr>
          <w:p>
            <w:pPr>
              <w:ind w:left="260"/>
              <w:spacing w:after="0"/>
              <w:rPr>
                <w:sz w:val="20"/>
                <w:szCs w:val="20"/>
                <w:color w:val="auto"/>
              </w:rPr>
            </w:pPr>
            <w:r>
              <w:rPr>
                <w:rFonts w:ascii="Arial" w:cs="Arial" w:eastAsia="Arial" w:hAnsi="Arial"/>
                <w:sz w:val="18"/>
                <w:szCs w:val="18"/>
                <w:color w:val="auto"/>
              </w:rPr>
              <w:t>Equity method investment</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(2,308)</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Capitalization of software development costs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(7,341)</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CFF0FC"/>
            </w:tcBorders>
          </w:tcPr>
          <w:p>
            <w:pPr>
              <w:ind w:left="980"/>
              <w:spacing w:after="0"/>
              <w:rPr>
                <w:sz w:val="20"/>
                <w:szCs w:val="20"/>
                <w:color w:val="auto"/>
              </w:rPr>
            </w:pPr>
            <w:r>
              <w:rPr>
                <w:rFonts w:ascii="Arial" w:cs="Arial" w:eastAsia="Arial" w:hAnsi="Arial"/>
                <w:sz w:val="18"/>
                <w:szCs w:val="18"/>
                <w:color w:val="auto"/>
              </w:rPr>
              <w:t>Net cash and cash equivalents used in investing activities</w:t>
            </w:r>
          </w:p>
        </w:tc>
        <w:tc>
          <w:tcPr>
            <w:tcW w:w="4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(17,646)</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260"/>
              <w:spacing w:after="0"/>
              <w:rPr>
                <w:sz w:val="20"/>
                <w:szCs w:val="20"/>
                <w:color w:val="auto"/>
              </w:rPr>
            </w:pPr>
            <w:r>
              <w:rPr>
                <w:rFonts w:ascii="Arial" w:cs="Arial" w:eastAsia="Arial" w:hAnsi="Arial"/>
                <w:sz w:val="18"/>
                <w:szCs w:val="18"/>
                <w:color w:val="auto"/>
                <w:w w:val="95"/>
              </w:rPr>
              <w:t>Proceeds from settlement of Convertible Note Hedges related to the 2022 Convertible Notes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2022 Convertible Notes attributable to the principal</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(35,900)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300" w:type="dxa"/>
            <w:vAlign w:val="bottom"/>
          </w:tcPr>
          <w:p>
            <w:pPr>
              <w:ind w:left="260"/>
              <w:spacing w:after="0"/>
              <w:rPr>
                <w:sz w:val="20"/>
                <w:szCs w:val="20"/>
                <w:color w:val="auto"/>
              </w:rPr>
            </w:pPr>
            <w:r>
              <w:rPr>
                <w:rFonts w:ascii="Arial" w:cs="Arial" w:eastAsia="Arial" w:hAnsi="Arial"/>
                <w:sz w:val="18"/>
                <w:szCs w:val="18"/>
                <w:color w:val="auto"/>
              </w:rPr>
              <w:t>Employee taxes paid related to the net share settlement of stock-based awards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(2,964)</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28"/>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related to the issuance of common stock under stock plans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260"/>
              <w:spacing w:after="0"/>
              <w:rPr>
                <w:sz w:val="20"/>
                <w:szCs w:val="20"/>
                <w:color w:val="auto"/>
              </w:rPr>
            </w:pPr>
            <w:r>
              <w:rPr>
                <w:rFonts w:ascii="Arial" w:cs="Arial" w:eastAsia="Arial" w:hAnsi="Arial"/>
                <w:sz w:val="18"/>
                <w:szCs w:val="18"/>
                <w:color w:val="auto"/>
              </w:rPr>
              <w:t>Repayments of finance lease obligations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730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rPr>
              <w:t>Net cash and cash equivalents (used in) provided by financing activities</w:t>
            </w:r>
          </w:p>
        </w:tc>
        <w:tc>
          <w:tcPr>
            <w:tcW w:w="4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(21,802)</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4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4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381,152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4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400,527</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disclosure:</w:t>
            </w: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720" w:type="dxa"/>
            <w:vAlign w:val="bottom"/>
            <w:gridSpan w:val="2"/>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00" w:type="dxa"/>
            <w:vAlign w:val="bottom"/>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72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1,276</w:t>
            </w:r>
          </w:p>
        </w:tc>
        <w:tc>
          <w:tcPr>
            <w:tcW w:w="28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00" w:type="dxa"/>
            <w:vAlign w:val="bottom"/>
          </w:tcPr>
          <w:p>
            <w:pPr>
              <w:spacing w:after="0"/>
              <w:rPr>
                <w:sz w:val="20"/>
                <w:szCs w:val="20"/>
                <w:color w:val="auto"/>
              </w:rPr>
            </w:pPr>
            <w:r>
              <w:rPr>
                <w:rFonts w:ascii="Arial" w:cs="Arial" w:eastAsia="Arial" w:hAnsi="Arial"/>
                <w:sz w:val="18"/>
                <w:szCs w:val="18"/>
                <w:color w:val="auto"/>
              </w:rPr>
              <w:t>Issuance of common stock for repayment of 2022 Convertible Notes</w:t>
            </w:r>
          </w:p>
        </w:tc>
        <w:tc>
          <w:tcPr>
            <w:tcW w:w="72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155,250</w:t>
            </w:r>
          </w:p>
        </w:tc>
        <w:tc>
          <w:tcPr>
            <w:tcW w:w="28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incurred but not yet paid</w:t>
            </w:r>
          </w:p>
        </w:tc>
        <w:tc>
          <w:tcPr>
            <w:tcW w:w="720" w:type="dxa"/>
            <w:vAlign w:val="bottom"/>
            <w:gridSpan w:val="2"/>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0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72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7300" w:type="dxa"/>
            <w:vAlign w:val="bottom"/>
          </w:tcPr>
          <w:p>
            <w:pPr>
              <w:ind w:left="558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7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10139"/>
          </w:cols>
          <w:pgMar w:left="320" w:top="594" w:right="1440" w:bottom="1440" w:gutter="0" w:footer="0" w:header="0"/>
        </w:sectPr>
      </w:pP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106045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594" w:right="1440"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HubSpot,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6" w:lineRule="exact"/>
        <w:rPr>
          <w:sz w:val="20"/>
          <w:szCs w:val="20"/>
          <w:color w:val="auto"/>
        </w:rPr>
      </w:pPr>
    </w:p>
    <w:p>
      <w:pPr>
        <w:ind w:right="140" w:firstLine="510"/>
        <w:spacing w:after="0" w:line="307" w:lineRule="auto"/>
        <w:rPr>
          <w:sz w:val="20"/>
          <w:szCs w:val="20"/>
          <w:color w:val="auto"/>
        </w:rPr>
      </w:pPr>
      <w:r>
        <w:rPr>
          <w:rFonts w:ascii="Arial" w:cs="Arial" w:eastAsia="Arial" w:hAnsi="Arial"/>
          <w:sz w:val="16"/>
          <w:szCs w:val="16"/>
          <w:color w:val="auto"/>
        </w:rPr>
        <w:t>HubSpot, Inc. (the “Company”) provides a cloud-based customer relationship management (“CRM”) Platform, that enables companies to attract, engage, and delight customers throughout the customer experience. The Company’s CRM Platform comprised of Marketing Hub, Sales Hub, Service Hub, and a CMS Hub features integrated applications and tools that enable businesses to create a cohesive and adaptable customer experience.</w:t>
      </w:r>
    </w:p>
    <w:p>
      <w:pPr>
        <w:spacing w:after="0" w:line="152"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 xml:space="preserve">The accompanying unaudited consolidated </w:t>
      </w:r>
      <w:r>
        <w:rPr>
          <w:rFonts w:ascii="Arial" w:cs="Arial" w:eastAsia="Arial" w:hAnsi="Arial"/>
          <w:sz w:val="17"/>
          <w:szCs w:val="17"/>
          <w:color w:val="212529"/>
        </w:rPr>
        <w:t>financial statements have been prepared in accordance with generally accepted accounting principles in</w:t>
      </w:r>
      <w:r>
        <w:rPr>
          <w:rFonts w:ascii="Arial" w:cs="Arial" w:eastAsia="Arial" w:hAnsi="Arial"/>
          <w:sz w:val="17"/>
          <w:szCs w:val="17"/>
          <w:color w:val="auto"/>
        </w:rPr>
        <w:t xml:space="preserve"> </w:t>
      </w:r>
      <w:r>
        <w:rPr>
          <w:rFonts w:ascii="Arial" w:cs="Arial" w:eastAsia="Arial" w:hAnsi="Arial"/>
          <w:sz w:val="17"/>
          <w:szCs w:val="17"/>
          <w:color w:val="212529"/>
        </w:rPr>
        <w:t xml:space="preserve">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w:t>
      </w:r>
      <w:r>
        <w:rPr>
          <w:rFonts w:ascii="Arial" w:cs="Arial" w:eastAsia="Arial" w:hAnsi="Arial"/>
          <w:sz w:val="17"/>
          <w:szCs w:val="17"/>
          <w:color w:val="000000"/>
        </w:rPr>
        <w:t>December 31, 2020, and these consolidated</w:t>
      </w:r>
      <w:r>
        <w:rPr>
          <w:rFonts w:ascii="Arial" w:cs="Arial" w:eastAsia="Arial" w:hAnsi="Arial"/>
          <w:sz w:val="17"/>
          <w:szCs w:val="17"/>
          <w:color w:val="212529"/>
        </w:rPr>
        <w:t xml:space="preserve"> </w:t>
      </w:r>
      <w:r>
        <w:rPr>
          <w:rFonts w:ascii="Arial" w:cs="Arial" w:eastAsia="Arial" w:hAnsi="Arial"/>
          <w:sz w:val="17"/>
          <w:szCs w:val="17"/>
          <w:color w:val="000000"/>
        </w:rPr>
        <w:t>financial statements include all adjustments, consisting only of normal recurring adjustments, necessary for a fair statement of the results of the interim periods presented. All intercompany balances and transactions have been eliminated in consolidation.</w:t>
      </w:r>
    </w:p>
    <w:p>
      <w:pPr>
        <w:spacing w:after="0" w:line="177"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The results of operations for the interim periods presented are not necessarily indicative of the results to be expected for any subsequent quarter or for the entire year ending December 31, 2021. The year-end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spacing w:after="0" w:line="189" w:lineRule="exact"/>
        <w:rPr>
          <w:sz w:val="20"/>
          <w:szCs w:val="20"/>
          <w:color w:val="auto"/>
        </w:rPr>
      </w:pPr>
    </w:p>
    <w:p>
      <w:pPr>
        <w:ind w:right="40" w:firstLine="510"/>
        <w:spacing w:after="0" w:line="256" w:lineRule="auto"/>
        <w:rPr>
          <w:sz w:val="20"/>
          <w:szCs w:val="20"/>
          <w:color w:val="auto"/>
        </w:rPr>
      </w:pPr>
      <w:r>
        <w:rPr>
          <w:rFonts w:ascii="Arial" w:cs="Arial" w:eastAsia="Arial" w:hAnsi="Arial"/>
          <w:sz w:val="18"/>
          <w:szCs w:val="18"/>
          <w:color w:val="auto"/>
        </w:rPr>
        <w:t>These interim financial statements should be read in conjunction with the audited consolidated financial statements and related notes contained in the Company’s Annual Report on Form 10-K filed with the SEC on February 16, 2021. There have been no changes in the Company’s significant accounting policies from those that were disclosed in the Company’s Annual Report on Form 10-K that have had a material impact on our consolidated financial statements and related notes.</w:t>
      </w:r>
    </w:p>
    <w:p>
      <w:pPr>
        <w:spacing w:after="0" w:line="189" w:lineRule="exact"/>
        <w:rPr>
          <w:sz w:val="20"/>
          <w:szCs w:val="20"/>
          <w:color w:val="auto"/>
        </w:rPr>
      </w:pPr>
    </w:p>
    <w:p>
      <w:pPr>
        <w:ind w:right="60" w:firstLine="510"/>
        <w:spacing w:after="0" w:line="298" w:lineRule="auto"/>
        <w:rPr>
          <w:sz w:val="20"/>
          <w:szCs w:val="20"/>
          <w:color w:val="auto"/>
        </w:rPr>
      </w:pPr>
      <w:r>
        <w:rPr>
          <w:rFonts w:ascii="Arial" w:cs="Arial" w:eastAsia="Arial" w:hAnsi="Arial"/>
          <w:sz w:val="16"/>
          <w:szCs w:val="16"/>
          <w:color w:val="auto"/>
        </w:rPr>
        <w:t>In March 2020, the World Health Organization (“WHO”) declared the outbreak of a disease caused by a novel strain of the coronavirus (“COVID-19”) to be a global pandemic (the “pandemic”). The Company has assessed the impact of the pandemic, and while the broader implications of the pandemic on the results of operations and overall financial performance remain uncertain, the Company assessed the potential impact on the March 31, 2021 financial statements and determined there were no material adjustments necessary with respect to these consolidated financial statements.</w:t>
      </w:r>
    </w:p>
    <w:p>
      <w:pPr>
        <w:spacing w:after="0" w:line="159" w:lineRule="exact"/>
        <w:rPr>
          <w:sz w:val="20"/>
          <w:szCs w:val="20"/>
          <w:color w:val="auto"/>
        </w:rPr>
      </w:pPr>
    </w:p>
    <w:p>
      <w:pPr>
        <w:ind w:right="200" w:firstLine="510"/>
        <w:spacing w:after="0" w:line="271" w:lineRule="auto"/>
        <w:rPr>
          <w:sz w:val="20"/>
          <w:szCs w:val="20"/>
          <w:color w:val="auto"/>
        </w:rPr>
      </w:pPr>
      <w:r>
        <w:rPr>
          <w:rFonts w:ascii="Arial" w:cs="Arial" w:eastAsia="Arial" w:hAnsi="Arial"/>
          <w:sz w:val="17"/>
          <w:szCs w:val="17"/>
          <w:color w:val="auto"/>
        </w:rPr>
        <w:t>In March 2020, the Coronavirus Aid, Relief, and Economic Security (“CARES”) Act was signed into law by the United States. The CARES Act provides a substantial stimulus and assistance package intended to address the impact of the pandemic, including tax relief and government loans, grants, and investments. In June 2020, the Jobs Support Scheme (“JSS”) was announced by the Singapore government to provide support to employers and help enterprises retain their local employees during the pandemic. In March 2021, the American Rescue Plan was passed to build upon the measures in the CARES Act and provide direct relief to those impacted by the pandemic. The CARES Act, the JSS and the American Rescue Plan did not have a material impact with respect to these consolidated financial statements.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ind w:right="420" w:firstLine="510"/>
        <w:spacing w:after="0" w:line="272" w:lineRule="auto"/>
        <w:rPr>
          <w:sz w:val="20"/>
          <w:szCs w:val="20"/>
          <w:color w:val="auto"/>
        </w:rPr>
      </w:pPr>
      <w:r>
        <w:rPr>
          <w:rFonts w:ascii="Arial" w:cs="Arial" w:eastAsia="Arial" w:hAnsi="Arial"/>
          <w:sz w:val="18"/>
          <w:szCs w:val="18"/>
          <w:color w:val="auto"/>
        </w:rPr>
        <w:t>Recent accounting standards not included below are not expected to have a material impact on our consolidated financial position and results of operations.</w:t>
      </w:r>
    </w:p>
    <w:p>
      <w:pPr>
        <w:spacing w:after="0" w:line="6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In August 2020, the FASB issued guidance simplifying the accounting for convertible instruments by reducing the number of accounting models for convertible debt instruments and convertible preferred stock. Limiting the accounting models results in fewer embedded conversion features being bifurcated from the host contract and separately recognized as compared with current GAAP. In addition, it eliminates the treasury stock method for calculating diluted earnings per share for convertible instruments and requires the use of the if-converted method. The new standard will be effective for the Company on January 1, 2022, with early adoption permitted. The Company is currently evaluating the impact of adoption of the standard on its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Revenues</w:t>
      </w:r>
    </w:p>
    <w:p>
      <w:pPr>
        <w:spacing w:after="0" w:line="22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10" w:name="page11"/>
    <w:bookmarkEnd w:id="10"/>
    <w:p>
      <w:pPr>
        <w:ind w:right="100" w:firstLine="749"/>
        <w:spacing w:after="0" w:line="260" w:lineRule="auto"/>
        <w:rPr>
          <w:sz w:val="20"/>
          <w:szCs w:val="20"/>
          <w:color w:val="auto"/>
        </w:rPr>
      </w:pPr>
      <w:r>
        <w:rPr>
          <w:rFonts w:ascii="Arial" w:cs="Arial" w:eastAsia="Arial" w:hAnsi="Arial"/>
          <w:sz w:val="18"/>
          <w:szCs w:val="18"/>
          <w:color w:val="auto"/>
        </w:rPr>
        <w:t>The Company provides disaggregation of revenue based on geographic region (Note 16)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Deferred Revenue and Deferred Commission Expense</w:t>
      </w:r>
    </w:p>
    <w:p>
      <w:pPr>
        <w:spacing w:after="0" w:line="22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8"/>
          <w:szCs w:val="18"/>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three months ended March 31, 2021 increased by $22.9 million resulting from $304.3 million of additional invoicing and was offset by revenue recognized of $281.4 million during the same period. $162.1 million of revenue was recognized during the three month period ended March 31, 2021 that was included in deferred revenue at the beginning of the period. As of March 31, 2021, approximately $269.4 million of revenue is expected to be recognized from remaining performance obligations for contracts with original performance obligations that exceed one year. The Company expects to recognize revenue on approximately 94% of these remaining performance obligations over the next 24 months, with the balance recognized thereafter.</w:t>
      </w:r>
    </w:p>
    <w:p>
      <w:pPr>
        <w:spacing w:after="0" w:line="19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Additional contract liabilities of $1.7 million were included in accrued expenses and other current liabilities on the consolidated balance sheet as of March 31, 2021 and December 31, 2020.</w:t>
      </w:r>
    </w:p>
    <w:p>
      <w:pPr>
        <w:spacing w:after="0" w:line="174"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The incremental direct costs of obtaining a contract, which primarily consist of sales commissions paid for new subscription contracts, are deferred and amortized on a straight-line basis over a period of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163" w:lineRule="exact"/>
        <w:rPr>
          <w:sz w:val="20"/>
          <w:szCs w:val="20"/>
          <w:color w:val="auto"/>
        </w:rPr>
      </w:pPr>
    </w:p>
    <w:p>
      <w:pPr>
        <w:ind w:right="160" w:firstLine="510"/>
        <w:spacing w:after="0" w:line="272" w:lineRule="auto"/>
        <w:rPr>
          <w:sz w:val="20"/>
          <w:szCs w:val="20"/>
          <w:color w:val="auto"/>
        </w:rPr>
      </w:pPr>
      <w:r>
        <w:rPr>
          <w:rFonts w:ascii="Arial" w:cs="Arial" w:eastAsia="Arial" w:hAnsi="Arial"/>
          <w:sz w:val="18"/>
          <w:szCs w:val="18"/>
          <w:color w:val="auto"/>
        </w:rPr>
        <w:t>Deferred commission expense during the three months ended March 31, 2021 increased by $5.0 million as a result of deferring incremental costs of obtaining a contract of $20.6 million and was offset by amortization of $15.6 million during the same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19"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for the period. Diluted net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the Warrants (defined in Note 9), the Conversion Option of the 2022 Notes, and the Conversion Option of the 2025 Notes (the “Conversion Options”) (Note 9) are considered to be potential common stock equivalents.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denominator used in the calculation of basic and diluted net loss per share is as follows:</w:t>
      </w:r>
    </w:p>
    <w:p>
      <w:pPr>
        <w:spacing w:after="0" w:line="29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54"/>
        </w:trPr>
        <w:tc>
          <w:tcPr>
            <w:tcW w:w="53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96"/>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4"/>
              <w:spacing w:after="0" w:line="154"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35"/>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(23,159)</w:t>
            </w:r>
          </w:p>
        </w:tc>
        <w:tc>
          <w:tcPr>
            <w:tcW w:w="3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(17,716)</w:t>
            </w:r>
          </w:p>
        </w:tc>
      </w:tr>
      <w:tr>
        <w:trPr>
          <w:trHeight w:val="221"/>
        </w:trPr>
        <w:tc>
          <w:tcPr>
            <w:tcW w:w="5300" w:type="dxa"/>
            <w:vAlign w:val="bottom"/>
          </w:tcPr>
          <w:p>
            <w:pPr>
              <w:spacing w:after="0"/>
              <w:rPr>
                <w:sz w:val="20"/>
                <w:szCs w:val="20"/>
                <w:color w:val="auto"/>
              </w:rPr>
            </w:pPr>
            <w:r>
              <w:rPr>
                <w:rFonts w:ascii="Arial" w:cs="Arial" w:eastAsia="Arial" w:hAnsi="Arial"/>
                <w:sz w:val="18"/>
                <w:szCs w:val="18"/>
                <w:color w:val="auto"/>
              </w:rPr>
              <w:t>Weighted-average common shares outstanding — basic</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43,275</w:t>
            </w:r>
          </w:p>
        </w:tc>
        <w:tc>
          <w:tcPr>
            <w:tcW w:w="80" w:type="dxa"/>
            <w:vAlign w:val="bottom"/>
          </w:tcPr>
          <w:p>
            <w:pPr>
              <w:spacing w:after="0"/>
              <w:rPr>
                <w:sz w:val="19"/>
                <w:szCs w:val="19"/>
                <w:color w:val="auto"/>
              </w:rPr>
            </w:pPr>
          </w:p>
        </w:tc>
      </w:tr>
      <w:tr>
        <w:trPr>
          <w:trHeight w:val="214"/>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w w:val="94"/>
              </w:rPr>
              <w:t>Dilutive effect of share equivalents resulting from stock options, RSUs,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5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ESPP, Warrants and the Conversion Options</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1"/>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 — diluted</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46,428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43,275</w:t>
            </w:r>
          </w:p>
        </w:tc>
        <w:tc>
          <w:tcPr>
            <w:tcW w:w="80" w:type="dxa"/>
            <w:vAlign w:val="bottom"/>
            <w:tcBorders>
              <w:bottom w:val="single" w:sz="8" w:color="CFF0FC"/>
            </w:tcBorders>
          </w:tcPr>
          <w:p>
            <w:pPr>
              <w:spacing w:after="0"/>
              <w:rPr>
                <w:sz w:val="19"/>
                <w:szCs w:val="19"/>
                <w:color w:val="auto"/>
              </w:rPr>
            </w:pPr>
          </w:p>
        </w:tc>
      </w:tr>
      <w:tr>
        <w:trPr>
          <w:trHeight w:val="221"/>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00" w:firstLine="510"/>
        <w:spacing w:after="0" w:line="260" w:lineRule="auto"/>
        <w:rPr>
          <w:sz w:val="20"/>
          <w:szCs w:val="20"/>
          <w:color w:val="auto"/>
        </w:rPr>
      </w:pPr>
      <w:r>
        <w:rPr>
          <w:rFonts w:ascii="Arial" w:cs="Arial" w:eastAsia="Arial" w:hAnsi="Arial"/>
          <w:sz w:val="18"/>
          <w:szCs w:val="18"/>
          <w:color w:val="auto"/>
        </w:rPr>
        <w:t>Since the Company incurred net losses for each of the periods presented, diluted net loss per share is the same as basic net loss per share. All of the Company’s outstanding stock options, RSUs, and shares issuable under the ESPP, as well as the Warrants and Conversion Options were excluded in the calculation of diluted net loss per share as the effect would be anti-dilutive.</w:t>
      </w:r>
    </w:p>
    <w:p>
      <w:pPr>
        <w:spacing w:after="0" w:line="25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Company expects to settle the principal amount of the 2022 Notes and 2025 Notes (collectively, the “Notes”) (Note 9) in cash, and therefore, the Company uses the treasury stock method for calculating any potential dilutive effect of the Warrants and Conversion Options on diluted net income per share, if applicable. As a result, only the amount by which the conversion cost of the Notes, if settled in shares, exceeds the aggregated principal amount of the Notes (the “Conversion Spread”) is considered in the diluted earnings per share computation. The Conversion Spread has a dilutive impact on net income per share when the average market price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1" w:name="page12"/>
    <w:bookmarkEnd w:id="11"/>
    <w:p>
      <w:pPr>
        <w:ind w:right="140"/>
        <w:spacing w:after="0" w:line="272" w:lineRule="auto"/>
        <w:rPr>
          <w:sz w:val="20"/>
          <w:szCs w:val="20"/>
          <w:color w:val="auto"/>
        </w:rPr>
      </w:pPr>
      <w:r>
        <w:rPr>
          <w:rFonts w:ascii="Arial" w:cs="Arial" w:eastAsia="Arial" w:hAnsi="Arial"/>
          <w:sz w:val="18"/>
          <w:szCs w:val="18"/>
          <w:color w:val="auto"/>
        </w:rPr>
        <w:t>of the Company’s common stock for a given period of time exceeds the initial conversion price of $94.77 per share for the 2022 Notes and $282.52 for the 2025 Notes. The average stock price for the quarter ended March 31, 2021 was $439.38.</w:t>
      </w:r>
    </w:p>
    <w:p>
      <w:pPr>
        <w:spacing w:after="0" w:line="241"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As the last reported sale price of the Company’s common stock for at least 20 trading days during the period of 30 consecutive trading days ending on the last trading day of the calendar quarter ended March 31, 2021 was equal to or greater than 130% of the conversion price of $94.77 on each applicable trading day, the 2022 Notes are convertible at the option of the holders thereof during the calendar quarter ended June 30, 2021. In the first quarter of 2021, the Company settled $44.5 million of principal balance of the 2022 Notes in cash. As of April 30, 2021, the Company has received conversion notices for approximately $12.7 million of the principal balance of the 2022 Notes, which will be settled in cash during the quarter ended June 30, 2021. For disclosure purposes, the potentially dilutive effect of the Conversion Spread is calculated and included in the table below.</w:t>
      </w:r>
    </w:p>
    <w:p>
      <w:pPr>
        <w:spacing w:after="0" w:line="230"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As the last reported sale price of the Company’s common stock for at least 20 trading days during the period of 30 consecutive trading days ending on the last trading day of the calendar quarter ended March 31, 2021 was equal to or greater than 130% of the conversion price of $282.52 on each applicable trading day, the 2025 Notes are convertible at the option of the holders thereof during the calendar quarter ended June 30, 2021. As of April 30, 2021, no holders have converted or indicated their intention to convert the 2025 Notes. For disclosure purposes, the potentially dilutive effect of the Conversion Spread is calculated and included in the table below.</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all potentially dilutive common stock equivalents.</w:t>
      </w:r>
    </w:p>
    <w:p>
      <w:pPr>
        <w:spacing w:after="0" w:line="29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March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22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80" w:type="dxa"/>
            <w:vAlign w:val="bottom"/>
            <w:tcBorders>
              <w:bottom w:val="single" w:sz="8" w:color="auto"/>
            </w:tcBorders>
          </w:tcPr>
          <w:p>
            <w:pPr>
              <w:jc w:val="right"/>
              <w:ind w:right="877"/>
              <w:spacing w:after="0" w:line="154"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jc w:val="right"/>
              <w:ind w:right="294"/>
              <w:spacing w:after="0" w:line="154"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3"/>
                <w:szCs w:val="13"/>
                <w:color w:val="auto"/>
              </w:rPr>
            </w:pPr>
          </w:p>
        </w:tc>
      </w:tr>
      <w:tr>
        <w:trPr>
          <w:trHeight w:val="154"/>
        </w:trPr>
        <w:tc>
          <w:tcPr>
            <w:tcW w:w="22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8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to purchase common shares</w:t>
            </w:r>
          </w:p>
        </w:tc>
        <w:tc>
          <w:tcPr>
            <w:tcW w:w="1680" w:type="dxa"/>
            <w:vAlign w:val="bottom"/>
            <w:shd w:val="clear" w:color="auto" w:fill="CFF0FC"/>
          </w:tcPr>
          <w:p>
            <w:pPr>
              <w:jc w:val="right"/>
              <w:ind w:right="537"/>
              <w:spacing w:after="0"/>
              <w:rPr>
                <w:sz w:val="20"/>
                <w:szCs w:val="20"/>
                <w:color w:val="auto"/>
              </w:rPr>
            </w:pPr>
            <w:r>
              <w:rPr>
                <w:rFonts w:ascii="Arial" w:cs="Arial" w:eastAsia="Arial" w:hAnsi="Arial"/>
                <w:sz w:val="18"/>
                <w:szCs w:val="18"/>
                <w:color w:val="auto"/>
              </w:rPr>
              <w:t>769</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FF0FC"/>
          </w:tcPr>
          <w:p>
            <w:pPr>
              <w:spacing w:after="0"/>
              <w:rPr>
                <w:sz w:val="19"/>
                <w:szCs w:val="19"/>
                <w:color w:val="auto"/>
              </w:rPr>
            </w:pPr>
          </w:p>
        </w:tc>
      </w:tr>
      <w:tr>
        <w:trPr>
          <w:trHeight w:val="227"/>
        </w:trPr>
        <w:tc>
          <w:tcPr>
            <w:tcW w:w="2240" w:type="dxa"/>
            <w:vAlign w:val="bottom"/>
          </w:tcPr>
          <w:p>
            <w:pPr>
              <w:spacing w:after="0"/>
              <w:rPr>
                <w:sz w:val="20"/>
                <w:szCs w:val="20"/>
                <w:color w:val="auto"/>
              </w:rPr>
            </w:pPr>
            <w:r>
              <w:rPr>
                <w:rFonts w:ascii="Arial" w:cs="Arial" w:eastAsia="Arial" w:hAnsi="Arial"/>
                <w:sz w:val="18"/>
                <w:szCs w:val="18"/>
                <w:color w:val="auto"/>
              </w:rPr>
              <w:t>RSUs</w:t>
            </w:r>
          </w:p>
        </w:tc>
        <w:tc>
          <w:tcPr>
            <w:tcW w:w="3180" w:type="dxa"/>
            <w:vAlign w:val="bottom"/>
          </w:tcPr>
          <w:p>
            <w:pPr>
              <w:spacing w:after="0"/>
              <w:rPr>
                <w:sz w:val="19"/>
                <w:szCs w:val="19"/>
                <w:color w:val="auto"/>
              </w:rPr>
            </w:pPr>
          </w:p>
        </w:tc>
        <w:tc>
          <w:tcPr>
            <w:tcW w:w="1680" w:type="dxa"/>
            <w:vAlign w:val="bottom"/>
          </w:tcPr>
          <w:p>
            <w:pPr>
              <w:jc w:val="right"/>
              <w:ind w:right="537"/>
              <w:spacing w:after="0"/>
              <w:rPr>
                <w:sz w:val="20"/>
                <w:szCs w:val="20"/>
                <w:color w:val="auto"/>
              </w:rPr>
            </w:pPr>
            <w:r>
              <w:rPr>
                <w:rFonts w:ascii="Arial" w:cs="Arial" w:eastAsia="Arial" w:hAnsi="Arial"/>
                <w:sz w:val="18"/>
                <w:szCs w:val="18"/>
                <w:color w:val="auto"/>
              </w:rPr>
              <w:t>1,451</w:t>
            </w:r>
          </w:p>
        </w:tc>
        <w:tc>
          <w:tcPr>
            <w:tcW w:w="680" w:type="dxa"/>
            <w:vAlign w:val="bottom"/>
          </w:tcPr>
          <w:p>
            <w:pPr>
              <w:jc w:val="right"/>
              <w:spacing w:after="0"/>
              <w:rPr>
                <w:sz w:val="20"/>
                <w:szCs w:val="20"/>
                <w:color w:val="auto"/>
              </w:rPr>
            </w:pPr>
            <w:r>
              <w:rPr>
                <w:rFonts w:ascii="Arial" w:cs="Arial" w:eastAsia="Arial" w:hAnsi="Arial"/>
                <w:sz w:val="18"/>
                <w:szCs w:val="18"/>
                <w:color w:val="auto"/>
              </w:rPr>
              <w:t>1,697</w:t>
            </w:r>
          </w:p>
        </w:tc>
        <w:tc>
          <w:tcPr>
            <w:tcW w:w="80" w:type="dxa"/>
            <w:vAlign w:val="bottom"/>
          </w:tcPr>
          <w:p>
            <w:pPr>
              <w:spacing w:after="0"/>
              <w:rPr>
                <w:sz w:val="19"/>
                <w:szCs w:val="19"/>
                <w:color w:val="auto"/>
              </w:rPr>
            </w:pPr>
          </w:p>
        </w:tc>
      </w:tr>
      <w:tr>
        <w:trPr>
          <w:trHeight w:val="229"/>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w w:val="90"/>
              </w:rPr>
              <w:t>Conversion Option of the 2022</w:t>
            </w:r>
          </w:p>
        </w:tc>
        <w:tc>
          <w:tcPr>
            <w:tcW w:w="3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and Warrants</w:t>
            </w:r>
          </w:p>
        </w:tc>
        <w:tc>
          <w:tcPr>
            <w:tcW w:w="1680" w:type="dxa"/>
            <w:vAlign w:val="bottom"/>
            <w:shd w:val="clear" w:color="auto" w:fill="CFF0FC"/>
          </w:tcPr>
          <w:p>
            <w:pPr>
              <w:jc w:val="right"/>
              <w:ind w:right="537"/>
              <w:spacing w:after="0"/>
              <w:rPr>
                <w:sz w:val="20"/>
                <w:szCs w:val="20"/>
                <w:color w:val="auto"/>
              </w:rPr>
            </w:pPr>
            <w:r>
              <w:rPr>
                <w:rFonts w:ascii="Arial" w:cs="Arial" w:eastAsia="Arial" w:hAnsi="Arial"/>
                <w:sz w:val="18"/>
                <w:szCs w:val="18"/>
                <w:color w:val="auto"/>
              </w:rPr>
              <w:t>1,957</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w:t>
            </w:r>
          </w:p>
        </w:tc>
        <w:tc>
          <w:tcPr>
            <w:tcW w:w="80" w:type="dxa"/>
            <w:vAlign w:val="bottom"/>
            <w:shd w:val="clear" w:color="auto" w:fill="CFF0FC"/>
          </w:tcPr>
          <w:p>
            <w:pPr>
              <w:spacing w:after="0"/>
              <w:rPr>
                <w:sz w:val="19"/>
                <w:szCs w:val="19"/>
                <w:color w:val="auto"/>
              </w:rPr>
            </w:pPr>
          </w:p>
        </w:tc>
      </w:tr>
      <w:tr>
        <w:trPr>
          <w:trHeight w:val="227"/>
        </w:trPr>
        <w:tc>
          <w:tcPr>
            <w:tcW w:w="2240" w:type="dxa"/>
            <w:vAlign w:val="bottom"/>
          </w:tcPr>
          <w:p>
            <w:pPr>
              <w:spacing w:after="0"/>
              <w:rPr>
                <w:sz w:val="20"/>
                <w:szCs w:val="20"/>
                <w:color w:val="auto"/>
              </w:rPr>
            </w:pPr>
            <w:r>
              <w:rPr>
                <w:rFonts w:ascii="Arial" w:cs="Arial" w:eastAsia="Arial" w:hAnsi="Arial"/>
                <w:sz w:val="18"/>
                <w:szCs w:val="18"/>
                <w:color w:val="auto"/>
                <w:w w:val="90"/>
              </w:rPr>
              <w:t>Conversion Option of the 2025</w:t>
            </w:r>
          </w:p>
        </w:tc>
        <w:tc>
          <w:tcPr>
            <w:tcW w:w="3180" w:type="dxa"/>
            <w:vAlign w:val="bottom"/>
          </w:tcPr>
          <w:p>
            <w:pPr>
              <w:ind w:left="20"/>
              <w:spacing w:after="0"/>
              <w:rPr>
                <w:sz w:val="20"/>
                <w:szCs w:val="20"/>
                <w:color w:val="auto"/>
              </w:rPr>
            </w:pPr>
            <w:r>
              <w:rPr>
                <w:rFonts w:ascii="Arial" w:cs="Arial" w:eastAsia="Arial" w:hAnsi="Arial"/>
                <w:sz w:val="18"/>
                <w:szCs w:val="18"/>
                <w:color w:val="auto"/>
              </w:rPr>
              <w:t>Notes</w:t>
            </w:r>
          </w:p>
        </w:tc>
        <w:tc>
          <w:tcPr>
            <w:tcW w:w="1680" w:type="dxa"/>
            <w:vAlign w:val="bottom"/>
          </w:tcPr>
          <w:p>
            <w:pPr>
              <w:jc w:val="right"/>
              <w:ind w:right="537"/>
              <w:spacing w:after="0"/>
              <w:rPr>
                <w:sz w:val="20"/>
                <w:szCs w:val="20"/>
                <w:color w:val="auto"/>
              </w:rPr>
            </w:pPr>
            <w:r>
              <w:rPr>
                <w:rFonts w:ascii="Arial" w:cs="Arial" w:eastAsia="Arial" w:hAnsi="Arial"/>
                <w:sz w:val="18"/>
                <w:szCs w:val="18"/>
                <w:color w:val="auto"/>
              </w:rPr>
              <w:t>581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3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37"/>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19" w:lineRule="exact"/>
        <w:rPr>
          <w:sz w:val="20"/>
          <w:szCs w:val="20"/>
          <w:color w:val="auto"/>
        </w:rPr>
      </w:pPr>
    </w:p>
    <w:p>
      <w:pPr>
        <w:ind w:firstLine="510"/>
        <w:spacing w:after="0" w:line="282" w:lineRule="auto"/>
        <w:rPr>
          <w:sz w:val="20"/>
          <w:szCs w:val="20"/>
          <w:color w:val="auto"/>
        </w:rPr>
      </w:pPr>
      <w:r>
        <w:rPr>
          <w:rFonts w:ascii="Arial" w:cs="Arial" w:eastAsia="Arial" w:hAnsi="Arial"/>
          <w:sz w:val="17"/>
          <w:szCs w:val="17"/>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62"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4" w:lineRule="exact"/>
        <w:rPr>
          <w:rFonts w:ascii="Arial" w:cs="Arial" w:eastAsia="Arial" w:hAnsi="Arial"/>
          <w:sz w:val="18"/>
          <w:szCs w:val="18"/>
          <w:color w:val="auto"/>
        </w:rPr>
      </w:pPr>
    </w:p>
    <w:p>
      <w:pPr>
        <w:ind w:left="1020" w:right="40" w:hanging="503"/>
        <w:spacing w:after="0" w:line="307"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44" w:lineRule="exact"/>
        <w:rPr>
          <w:rFonts w:ascii="Arial" w:cs="Arial" w:eastAsia="Arial" w:hAnsi="Arial"/>
          <w:sz w:val="16"/>
          <w:szCs w:val="16"/>
          <w:color w:val="auto"/>
        </w:rPr>
      </w:pPr>
    </w:p>
    <w:p>
      <w:pPr>
        <w:ind w:left="1020" w:hanging="503"/>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80" w:right="379" w:bottom="1440" w:gutter="0" w:footer="0" w:header="0"/>
        </w:sectPr>
      </w:pPr>
    </w:p>
    <w:bookmarkStart w:id="12" w:name="page13"/>
    <w:bookmarkEnd w:id="12"/>
    <w:p>
      <w:pPr>
        <w:ind w:right="140" w:firstLine="510"/>
        <w:spacing w:after="0" w:line="272" w:lineRule="auto"/>
        <w:rPr>
          <w:sz w:val="20"/>
          <w:szCs w:val="20"/>
          <w:color w:val="auto"/>
        </w:rPr>
      </w:pPr>
      <w:r>
        <w:rPr>
          <w:rFonts w:ascii="Arial" w:cs="Arial" w:eastAsia="Arial" w:hAnsi="Arial"/>
          <w:sz w:val="18"/>
          <w:szCs w:val="18"/>
          <w:color w:val="auto"/>
        </w:rPr>
        <w:t>The following table details the fair value measurements within the fair value hierarchy of the Company’s financial assets and liabilities at March 31, 2021 and December 31,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March 31, 2021</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380"/>
              <w:spacing w:after="0" w:line="154"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140"/>
              <w:spacing w:after="0" w:line="154"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
              <w:spacing w:after="0" w:line="154" w:lineRule="exact"/>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60"/>
              <w:spacing w:after="0" w:line="15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5"/>
          </w:tcPr>
          <w:p>
            <w:pPr>
              <w:jc w:val="center"/>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investments: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212,377</w:t>
            </w:r>
          </w:p>
        </w:tc>
        <w:tc>
          <w:tcPr>
            <w:tcW w:w="46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748"/>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212,377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176,859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176,859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221,375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221,375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agency securities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2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513,284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513,284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Money market funds</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212,377</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916,350</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8"/>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1,128,727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6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0"/>
              <w:spacing w:after="0" w:line="154"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140"/>
              <w:spacing w:after="0" w:line="154"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8"/>
              <w:spacing w:after="0" w:line="154" w:lineRule="exact"/>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4" w:lineRule="exact"/>
              <w:rPr>
                <w:sz w:val="20"/>
                <w:szCs w:val="20"/>
                <w:color w:val="auto"/>
              </w:rPr>
            </w:pPr>
            <w:r>
              <w:rPr>
                <w:rFonts w:ascii="Arial" w:cs="Arial" w:eastAsia="Arial" w:hAnsi="Arial"/>
                <w:sz w:val="14"/>
                <w:szCs w:val="14"/>
                <w:b w:val="1"/>
                <w:bCs w:val="1"/>
                <w:color w:val="auto"/>
              </w:rPr>
              <w:t>Total</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620" w:type="dxa"/>
            <w:vAlign w:val="bottom"/>
            <w:vMerge w:val="restart"/>
          </w:tcPr>
          <w:p>
            <w:pPr>
              <w:spacing w:after="0"/>
              <w:rPr>
                <w:sz w:val="20"/>
                <w:szCs w:val="20"/>
                <w:color w:val="auto"/>
              </w:rPr>
            </w:pPr>
            <w:r>
              <w:rPr>
                <w:rFonts w:ascii="Arial" w:cs="Arial" w:eastAsia="Arial" w:hAnsi="Arial"/>
                <w:sz w:val="18"/>
                <w:szCs w:val="18"/>
                <w:color w:val="auto"/>
              </w:rPr>
              <w:t>Cash equivalents and investments: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172,485</w:t>
            </w:r>
          </w:p>
        </w:tc>
        <w:tc>
          <w:tcPr>
            <w:tcW w:w="2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4"/>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172,485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12,233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116,371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116,371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774,772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774,772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Certificates of deposit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172,485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906,799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gridSpan w:val="2"/>
          </w:tcPr>
          <w:p>
            <w:pPr>
              <w:jc w:val="right"/>
              <w:ind w:right="76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1,079,284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and restricted cash (within prepaid expenses and other current assets and other long-term assets) on the consolidated balance sheets. At March 31, 2021 and December 31, 2020,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192" w:lineRule="exact"/>
        <w:rPr>
          <w:sz w:val="20"/>
          <w:szCs w:val="20"/>
          <w:color w:val="auto"/>
        </w:rPr>
      </w:pPr>
    </w:p>
    <w:p>
      <w:pPr>
        <w:ind w:right="220" w:firstLine="544"/>
        <w:spacing w:after="0" w:line="260" w:lineRule="auto"/>
        <w:rPr>
          <w:sz w:val="20"/>
          <w:szCs w:val="20"/>
          <w:color w:val="auto"/>
        </w:rPr>
      </w:pPr>
      <w:r>
        <w:rPr>
          <w:rFonts w:ascii="Arial" w:cs="Arial" w:eastAsia="Arial" w:hAnsi="Arial"/>
          <w:sz w:val="18"/>
          <w:szCs w:val="18"/>
          <w:color w:val="auto"/>
        </w:rPr>
        <w:t>As of March 31, 2021, the fair value of the 2022 Notes was $387.4 million and the fair value of the 2025 Notes was $758.5 million. The fair value was determined based on the quoted price of the 2022 and 2025 Notes in an inactive market on the last trading day of the reporting period and has been classified as Level 2 within the fair value hierarchy.</w:t>
      </w:r>
    </w:p>
    <w:p>
      <w:pPr>
        <w:spacing w:after="0" w:line="185" w:lineRule="exact"/>
        <w:rPr>
          <w:sz w:val="20"/>
          <w:szCs w:val="20"/>
          <w:color w:val="auto"/>
        </w:rPr>
      </w:pPr>
    </w:p>
    <w:p>
      <w:pPr>
        <w:ind w:right="500" w:firstLine="510"/>
        <w:spacing w:after="0" w:line="272" w:lineRule="auto"/>
        <w:rPr>
          <w:sz w:val="20"/>
          <w:szCs w:val="20"/>
          <w:color w:val="auto"/>
        </w:rPr>
      </w:pPr>
      <w:r>
        <w:rPr>
          <w:rFonts w:ascii="Arial" w:cs="Arial" w:eastAsia="Arial" w:hAnsi="Arial"/>
          <w:sz w:val="18"/>
          <w:szCs w:val="18"/>
          <w:color w:val="auto"/>
        </w:rPr>
        <w:t>For certain other financial instruments, including accounts receivable, accounts payable, capital leases and other current liabilities, the carrying amounts approximate their fair value due to the relatively short maturity of these balances.</w:t>
      </w:r>
    </w:p>
    <w:p>
      <w:pPr>
        <w:spacing w:after="0" w:line="174" w:lineRule="exact"/>
        <w:rPr>
          <w:sz w:val="20"/>
          <w:szCs w:val="20"/>
          <w:color w:val="auto"/>
        </w:rPr>
      </w:pPr>
    </w:p>
    <w:p>
      <w:pPr>
        <w:ind w:right="400" w:firstLine="510"/>
        <w:spacing w:after="0" w:line="272" w:lineRule="auto"/>
        <w:rPr>
          <w:sz w:val="20"/>
          <w:szCs w:val="20"/>
          <w:color w:val="auto"/>
        </w:rPr>
      </w:pPr>
      <w:r>
        <w:rPr>
          <w:rFonts w:ascii="Arial" w:cs="Arial" w:eastAsia="Arial" w:hAnsi="Arial"/>
          <w:sz w:val="18"/>
          <w:szCs w:val="18"/>
          <w:color w:val="auto"/>
        </w:rPr>
        <w:t>Restricted cash is comprised of money market funds related to landlord guarantees for leased facilities. These restricted cash balances have been excluded from our cash and cash equivalents balance on our consolidated balance sheets.</w:t>
      </w:r>
    </w:p>
    <w:p>
      <w:pPr>
        <w:spacing w:after="0" w:line="174"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$9.0 million of strategic investments without readily determinable fair values at March 31, 2021 and $6.7 million of strategic investments without readily determinable fair values at December 31, 2020. These investments are included in other assets on the consolidated balance sheets. There have been no adjustments to the carrying value of the strategic investments resulting from impairments or observable price changes in the three months ended March 31,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following tables summarize the composition of our short- and long-term investments at March 31, 2021 and December 31, 2020.</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6"/>
              </w:rPr>
              <w:t>March 31, 2021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2"/>
        </w:trPr>
        <w:tc>
          <w:tcPr>
            <w:tcW w:w="3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80"/>
              <w:spacing w:after="0" w:line="132"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ind w:left="100"/>
              <w:spacing w:after="0" w:line="132"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70"/>
        </w:trPr>
        <w:tc>
          <w:tcPr>
            <w:tcW w:w="3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154"/>
        </w:trPr>
        <w:tc>
          <w:tcPr>
            <w:tcW w:w="3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5"/>
          </w:tcPr>
          <w:p>
            <w:pPr>
              <w:jc w:val="center"/>
              <w:ind w:right="140"/>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8"/>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151,863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151,863</w:t>
            </w:r>
          </w:p>
        </w:tc>
        <w:tc>
          <w:tcPr>
            <w:tcW w:w="100" w:type="dxa"/>
            <w:vAlign w:val="bottom"/>
            <w:shd w:val="clear" w:color="auto" w:fill="CFF0FC"/>
          </w:tcPr>
          <w:p>
            <w:pPr>
              <w:spacing w:after="0"/>
              <w:rPr>
                <w:sz w:val="19"/>
                <w:szCs w:val="19"/>
                <w:color w:val="auto"/>
              </w:rPr>
            </w:pPr>
          </w:p>
        </w:tc>
      </w:tr>
      <w:tr>
        <w:trPr>
          <w:trHeight w:val="227"/>
        </w:trPr>
        <w:tc>
          <w:tcPr>
            <w:tcW w:w="3820" w:type="dxa"/>
            <w:vAlign w:val="bottom"/>
          </w:tcPr>
          <w:p>
            <w:pPr>
              <w:spacing w:after="0"/>
              <w:rPr>
                <w:sz w:val="20"/>
                <w:szCs w:val="20"/>
                <w:color w:val="auto"/>
              </w:rPr>
            </w:pPr>
            <w:r>
              <w:rPr>
                <w:rFonts w:ascii="Arial" w:cs="Arial" w:eastAsia="Arial" w:hAnsi="Arial"/>
                <w:sz w:val="18"/>
                <w:szCs w:val="18"/>
                <w:color w:val="auto"/>
              </w:rPr>
              <w:t>Corporate bonds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221,304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221,375</w:t>
            </w:r>
          </w:p>
        </w:tc>
        <w:tc>
          <w:tcPr>
            <w:tcW w:w="10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FF0FC"/>
          </w:tcPr>
          <w:p>
            <w:pPr>
              <w:spacing w:after="0"/>
              <w:rPr>
                <w:sz w:val="19"/>
                <w:szCs w:val="19"/>
                <w:color w:val="auto"/>
              </w:rPr>
            </w:pPr>
          </w:p>
        </w:tc>
      </w:tr>
      <w:tr>
        <w:trPr>
          <w:trHeight w:val="228"/>
        </w:trPr>
        <w:tc>
          <w:tcPr>
            <w:tcW w:w="38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513,164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513,284</w:t>
            </w:r>
          </w:p>
        </w:tc>
        <w:tc>
          <w:tcPr>
            <w:tcW w:w="100" w:type="dxa"/>
            <w:vAlign w:val="bottom"/>
          </w:tcPr>
          <w:p>
            <w:pPr>
              <w:spacing w:after="0"/>
              <w:rPr>
                <w:sz w:val="19"/>
                <w:szCs w:val="19"/>
                <w:color w:val="auto"/>
              </w:rPr>
            </w:pPr>
          </w:p>
        </w:tc>
      </w:tr>
      <w:tr>
        <w:trPr>
          <w:trHeight w:val="221"/>
        </w:trPr>
        <w:tc>
          <w:tcPr>
            <w:tcW w:w="38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888,134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888,325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3"/>
        </w:trPr>
        <w:tc>
          <w:tcPr>
            <w:tcW w:w="3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1"/>
              </w:rPr>
              <w:t>December 31, 2020</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2"/>
        </w:trPr>
        <w:tc>
          <w:tcPr>
            <w:tcW w:w="3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80"/>
              <w:spacing w:after="0" w:line="132"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ind w:left="100"/>
              <w:spacing w:after="0" w:line="132"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70"/>
        </w:trPr>
        <w:tc>
          <w:tcPr>
            <w:tcW w:w="3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154"/>
        </w:trPr>
        <w:tc>
          <w:tcPr>
            <w:tcW w:w="3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5"/>
          </w:tcPr>
          <w:p>
            <w:pPr>
              <w:jc w:val="center"/>
              <w:ind w:right="140"/>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8"/>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12,233</w:t>
            </w:r>
          </w:p>
        </w:tc>
        <w:tc>
          <w:tcPr>
            <w:tcW w:w="100" w:type="dxa"/>
            <w:vAlign w:val="bottom"/>
            <w:shd w:val="clear" w:color="auto" w:fill="CFF0FC"/>
          </w:tcPr>
          <w:p>
            <w:pPr>
              <w:spacing w:after="0"/>
              <w:rPr>
                <w:sz w:val="19"/>
                <w:szCs w:val="19"/>
                <w:color w:val="auto"/>
              </w:rPr>
            </w:pPr>
          </w:p>
        </w:tc>
      </w:tr>
      <w:tr>
        <w:trPr>
          <w:trHeight w:val="227"/>
        </w:trPr>
        <w:tc>
          <w:tcPr>
            <w:tcW w:w="3820" w:type="dxa"/>
            <w:vAlign w:val="bottom"/>
          </w:tcPr>
          <w:p>
            <w:pPr>
              <w:spacing w:after="0"/>
              <w:rPr>
                <w:sz w:val="20"/>
                <w:szCs w:val="20"/>
                <w:color w:val="auto"/>
              </w:rPr>
            </w:pPr>
            <w:r>
              <w:rPr>
                <w:rFonts w:ascii="Arial" w:cs="Arial" w:eastAsia="Arial" w:hAnsi="Arial"/>
                <w:sz w:val="18"/>
                <w:szCs w:val="18"/>
                <w:color w:val="auto"/>
              </w:rPr>
              <w:t>Corporate bonds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115,983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116,371</w:t>
            </w:r>
          </w:p>
        </w:tc>
        <w:tc>
          <w:tcPr>
            <w:tcW w:w="10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774,667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774,772</w:t>
            </w:r>
          </w:p>
        </w:tc>
        <w:tc>
          <w:tcPr>
            <w:tcW w:w="100" w:type="dxa"/>
            <w:vAlign w:val="bottom"/>
            <w:shd w:val="clear" w:color="auto" w:fill="CFF0FC"/>
          </w:tcPr>
          <w:p>
            <w:pPr>
              <w:spacing w:after="0"/>
              <w:rPr>
                <w:sz w:val="19"/>
                <w:szCs w:val="19"/>
                <w:color w:val="auto"/>
              </w:rPr>
            </w:pPr>
          </w:p>
        </w:tc>
      </w:tr>
      <w:tr>
        <w:trPr>
          <w:trHeight w:val="228"/>
        </w:trPr>
        <w:tc>
          <w:tcPr>
            <w:tcW w:w="38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r>
      <w:tr>
        <w:trPr>
          <w:trHeight w:val="221"/>
        </w:trPr>
        <w:tc>
          <w:tcPr>
            <w:tcW w:w="38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903,770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0" w:firstLine="510"/>
        <w:spacing w:after="0" w:line="298" w:lineRule="auto"/>
        <w:rPr>
          <w:sz w:val="20"/>
          <w:szCs w:val="20"/>
          <w:color w:val="auto"/>
        </w:rPr>
      </w:pPr>
      <w:r>
        <w:rPr>
          <w:rFonts w:ascii="Arial" w:cs="Arial" w:eastAsia="Arial" w:hAnsi="Arial"/>
          <w:sz w:val="16"/>
          <w:szCs w:val="16"/>
          <w:color w:val="auto"/>
        </w:rPr>
        <w:t>For all of our securities for which the amortized cost basis was greater than the fair value at March 31, 2021,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Contractual Maturities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short-term and long-term investments held at March 31, 2021 and December 31, 2020 are as follows:</w:t>
      </w:r>
    </w:p>
    <w:p>
      <w:pPr>
        <w:sectPr>
          <w:pgSz w:w="11900" w:h="16838" w:orient="portrait"/>
          <w:cols w:equalWidth="0" w:num="1">
            <w:col w:w="11240"/>
          </w:cols>
          <w:pgMar w:left="320" w:top="554" w:right="339" w:bottom="1440" w:gutter="0" w:footer="0" w:header="0"/>
        </w:sectPr>
      </w:pPr>
    </w:p>
    <w:p>
      <w:pPr>
        <w:spacing w:after="0" w:line="80"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March 31, 2021</w:t>
      </w:r>
    </w:p>
    <w:p>
      <w:pPr>
        <w:spacing w:after="0" w:line="9" w:lineRule="exact"/>
        <w:rPr>
          <w:sz w:val="20"/>
          <w:szCs w:val="20"/>
          <w:color w:val="auto"/>
        </w:rPr>
      </w:pPr>
    </w:p>
    <w:tbl>
      <w:tblPr>
        <w:tblLayout w:type="fixed"/>
        <w:tblInd w:w="5700" w:type="dxa"/>
        <w:tblCellMar>
          <w:top w:w="0" w:type="dxa"/>
          <w:left w:w="0" w:type="dxa"/>
          <w:bottom w:w="0" w:type="dxa"/>
          <w:right w:w="0" w:type="dxa"/>
        </w:tblCellMar>
      </w:tblPr>
      <w:tr>
        <w:trPr>
          <w:trHeight w:val="132"/>
        </w:trPr>
        <w:tc>
          <w:tcPr>
            <w:tcW w:w="1280" w:type="dxa"/>
            <w:vAlign w:val="bottom"/>
            <w:tcBorders>
              <w:top w:val="single" w:sz="8" w:color="auto"/>
            </w:tcBorders>
          </w:tcPr>
          <w:p>
            <w:pPr>
              <w:ind w:left="280"/>
              <w:spacing w:after="0" w:line="132" w:lineRule="exact"/>
              <w:rPr>
                <w:sz w:val="20"/>
                <w:szCs w:val="20"/>
                <w:color w:val="auto"/>
              </w:rPr>
            </w:pPr>
            <w:r>
              <w:rPr>
                <w:rFonts w:ascii="Arial" w:cs="Arial" w:eastAsia="Arial" w:hAnsi="Arial"/>
                <w:sz w:val="14"/>
                <w:szCs w:val="14"/>
                <w:b w:val="1"/>
                <w:bCs w:val="1"/>
                <w:color w:val="auto"/>
              </w:rPr>
              <w:t>Amortized</w:t>
            </w:r>
          </w:p>
        </w:tc>
        <w:tc>
          <w:tcPr>
            <w:tcW w:w="1160" w:type="dxa"/>
            <w:vAlign w:val="bottom"/>
            <w:tcBorders>
              <w:top w:val="single" w:sz="8" w:color="auto"/>
            </w:tcBorders>
          </w:tcPr>
          <w:p>
            <w:pPr>
              <w:ind w:left="340"/>
              <w:spacing w:after="0" w:line="132" w:lineRule="exact"/>
              <w:rPr>
                <w:sz w:val="20"/>
                <w:szCs w:val="20"/>
                <w:color w:val="auto"/>
              </w:rPr>
            </w:pPr>
            <w:r>
              <w:rPr>
                <w:rFonts w:ascii="Arial" w:cs="Arial" w:eastAsia="Arial" w:hAnsi="Arial"/>
                <w:sz w:val="14"/>
                <w:szCs w:val="14"/>
                <w:b w:val="1"/>
                <w:bCs w:val="1"/>
                <w:color w:val="auto"/>
              </w:rPr>
              <w:t>Aggregate</w:t>
            </w:r>
          </w:p>
        </w:tc>
      </w:tr>
      <w:tr>
        <w:trPr>
          <w:trHeight w:val="185"/>
        </w:trPr>
        <w:tc>
          <w:tcPr>
            <w:tcW w:w="1280" w:type="dxa"/>
            <w:vAlign w:val="bottom"/>
          </w:tcPr>
          <w:p>
            <w:pPr>
              <w:ind w:left="300"/>
              <w:spacing w:after="0"/>
              <w:rPr>
                <w:sz w:val="20"/>
                <w:szCs w:val="20"/>
                <w:color w:val="auto"/>
              </w:rPr>
            </w:pPr>
            <w:r>
              <w:rPr>
                <w:rFonts w:ascii="Arial" w:cs="Arial" w:eastAsia="Arial" w:hAnsi="Arial"/>
                <w:sz w:val="14"/>
                <w:szCs w:val="14"/>
                <w:b w:val="1"/>
                <w:bCs w:val="1"/>
                <w:color w:val="auto"/>
              </w:rPr>
              <w:t>Cost Basis</w:t>
            </w:r>
          </w:p>
        </w:tc>
        <w:tc>
          <w:tcPr>
            <w:tcW w:w="1160" w:type="dxa"/>
            <w:vAlign w:val="bottom"/>
          </w:tcPr>
          <w:p>
            <w:pPr>
              <w:ind w:left="320"/>
              <w:spacing w:after="0"/>
              <w:rPr>
                <w:sz w:val="20"/>
                <w:szCs w:val="20"/>
                <w:color w:val="auto"/>
              </w:rPr>
            </w:pPr>
            <w:r>
              <w:rPr>
                <w:rFonts w:ascii="Arial" w:cs="Arial" w:eastAsia="Arial" w:hAnsi="Arial"/>
                <w:sz w:val="14"/>
                <w:szCs w:val="14"/>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-8890</wp:posOffset>
            </wp:positionV>
            <wp:extent cx="15494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9400" cy="8255"/>
                    </a:xfrm>
                    <a:prstGeom prst="rect">
                      <a:avLst/>
                    </a:prstGeom>
                    <a:noFill/>
                  </pic:spPr>
                </pic:pic>
              </a:graphicData>
            </a:graphic>
          </wp:anchor>
        </w:drawing>
      </w:r>
    </w:p>
    <w:p>
      <w:pPr>
        <w:ind w:left="6480"/>
        <w:spacing w:after="0" w:line="237"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December 31,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220" w:type="dxa"/>
            <w:vAlign w:val="bottom"/>
            <w:tcBorders>
              <w:top w:val="single" w:sz="8" w:color="auto"/>
            </w:tcBorders>
          </w:tcPr>
          <w:p>
            <w:pPr>
              <w:ind w:left="280"/>
              <w:spacing w:after="0" w:line="132" w:lineRule="exact"/>
              <w:rPr>
                <w:sz w:val="20"/>
                <w:szCs w:val="20"/>
                <w:color w:val="auto"/>
              </w:rPr>
            </w:pPr>
            <w:r>
              <w:rPr>
                <w:rFonts w:ascii="Arial" w:cs="Arial" w:eastAsia="Arial" w:hAnsi="Arial"/>
                <w:sz w:val="14"/>
                <w:szCs w:val="14"/>
                <w:b w:val="1"/>
                <w:bCs w:val="1"/>
                <w:color w:val="auto"/>
              </w:rPr>
              <w:t>Amortized</w:t>
            </w:r>
          </w:p>
        </w:tc>
        <w:tc>
          <w:tcPr>
            <w:tcW w:w="1120" w:type="dxa"/>
            <w:vAlign w:val="bottom"/>
            <w:tcBorders>
              <w:top w:val="single" w:sz="8" w:color="auto"/>
            </w:tcBorders>
          </w:tcPr>
          <w:p>
            <w:pPr>
              <w:ind w:left="300"/>
              <w:spacing w:after="0" w:line="132" w:lineRule="exact"/>
              <w:rPr>
                <w:sz w:val="20"/>
                <w:szCs w:val="20"/>
                <w:color w:val="auto"/>
              </w:rPr>
            </w:pPr>
            <w:r>
              <w:rPr>
                <w:rFonts w:ascii="Arial" w:cs="Arial" w:eastAsia="Arial" w:hAnsi="Arial"/>
                <w:sz w:val="14"/>
                <w:szCs w:val="14"/>
                <w:b w:val="1"/>
                <w:bCs w:val="1"/>
                <w:color w:val="auto"/>
              </w:rPr>
              <w:t>Aggregate</w:t>
            </w:r>
          </w:p>
        </w:tc>
      </w:tr>
      <w:tr>
        <w:trPr>
          <w:trHeight w:val="185"/>
        </w:trPr>
        <w:tc>
          <w:tcPr>
            <w:tcW w:w="1220" w:type="dxa"/>
            <w:vAlign w:val="bottom"/>
          </w:tcPr>
          <w:p>
            <w:pPr>
              <w:ind w:left="300"/>
              <w:spacing w:after="0"/>
              <w:rPr>
                <w:sz w:val="20"/>
                <w:szCs w:val="20"/>
                <w:color w:val="auto"/>
              </w:rPr>
            </w:pPr>
            <w:r>
              <w:rPr>
                <w:rFonts w:ascii="Arial" w:cs="Arial" w:eastAsia="Arial" w:hAnsi="Arial"/>
                <w:sz w:val="14"/>
                <w:szCs w:val="14"/>
                <w:b w:val="1"/>
                <w:bCs w:val="1"/>
                <w:color w:val="auto"/>
              </w:rPr>
              <w:t>Cost Basis</w:t>
            </w:r>
          </w:p>
        </w:tc>
        <w:tc>
          <w:tcPr>
            <w:tcW w:w="1120" w:type="dxa"/>
            <w:vAlign w:val="bottom"/>
          </w:tcPr>
          <w:p>
            <w:pPr>
              <w:ind w:left="280"/>
              <w:spacing w:after="0"/>
              <w:rPr>
                <w:sz w:val="20"/>
                <w:szCs w:val="20"/>
                <w:color w:val="auto"/>
              </w:rPr>
            </w:pPr>
            <w:r>
              <w:rPr>
                <w:rFonts w:ascii="Arial" w:cs="Arial" w:eastAsia="Arial" w:hAnsi="Arial"/>
                <w:sz w:val="14"/>
                <w:szCs w:val="14"/>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14897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89710" cy="8255"/>
                    </a:xfrm>
                    <a:prstGeom prst="rect">
                      <a:avLst/>
                    </a:prstGeom>
                    <a:noFill/>
                  </pic:spPr>
                </pic:pic>
              </a:graphicData>
            </a:graphic>
          </wp:anchor>
        </w:drawing>
      </w:r>
    </w:p>
    <w:p>
      <w:pPr>
        <w:ind w:left="780"/>
        <w:spacing w:after="0" w:line="237"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p>
    <w:p>
      <w:pPr>
        <w:sectPr>
          <w:pgSz w:w="11900" w:h="16838" w:orient="portrait"/>
          <w:cols w:equalWidth="0" w:num="2">
            <w:col w:w="8140" w:space="100"/>
            <w:col w:w="3000"/>
          </w:cols>
          <w:pgMar w:left="320" w:top="554"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860" w:type="dxa"/>
            <w:vAlign w:val="bottom"/>
            <w:gridSpan w:val="2"/>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782,054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782,335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872,637</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873,073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28"/>
        </w:trPr>
        <w:tc>
          <w:tcPr>
            <w:tcW w:w="580" w:type="dxa"/>
            <w:vAlign w:val="bottom"/>
          </w:tcPr>
          <w:p>
            <w:pPr>
              <w:spacing w:after="0"/>
              <w:rPr>
                <w:sz w:val="19"/>
                <w:szCs w:val="19"/>
                <w:color w:val="auto"/>
              </w:rPr>
            </w:pPr>
          </w:p>
        </w:tc>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1 year through 2 years</w:t>
            </w:r>
          </w:p>
        </w:tc>
        <w:tc>
          <w:tcPr>
            <w:tcW w:w="15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106,080</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105,990</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30,640</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30,697</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36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888,134</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888,325</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903,277</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903,770</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2"/>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60" w:type="dxa"/>
            <w:vAlign w:val="bottom"/>
            <w:gridSpan w:val="2"/>
          </w:tcPr>
          <w:p>
            <w:pPr>
              <w:jc w:val="right"/>
              <w:ind w:right="251"/>
              <w:spacing w:after="0"/>
              <w:rPr>
                <w:sz w:val="20"/>
                <w:szCs w:val="20"/>
                <w:color w:val="auto"/>
              </w:rPr>
            </w:pPr>
            <w:r>
              <w:rPr>
                <w:rFonts w:ascii="Arial" w:cs="Arial" w:eastAsia="Arial" w:hAnsi="Arial"/>
                <w:sz w:val="18"/>
                <w:szCs w:val="18"/>
                <w:color w:val="auto"/>
              </w:rPr>
              <w:t>14</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6"/>
        </w:trPr>
        <w:tc>
          <w:tcPr>
            <w:tcW w:w="5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5. Equity method investment</w:t>
      </w:r>
    </w:p>
    <w:p>
      <w:pPr>
        <w:spacing w:after="0" w:line="226" w:lineRule="exact"/>
        <w:rPr>
          <w:sz w:val="20"/>
          <w:szCs w:val="20"/>
          <w:color w:val="auto"/>
        </w:rPr>
      </w:pPr>
    </w:p>
    <w:p>
      <w:pPr>
        <w:ind w:right="80" w:firstLine="749"/>
        <w:spacing w:after="0" w:line="271" w:lineRule="auto"/>
        <w:rPr>
          <w:sz w:val="20"/>
          <w:szCs w:val="20"/>
          <w:color w:val="auto"/>
        </w:rPr>
      </w:pPr>
      <w:r>
        <w:rPr>
          <w:rFonts w:ascii="Arial" w:cs="Arial" w:eastAsia="Arial" w:hAnsi="Arial"/>
          <w:sz w:val="17"/>
          <w:szCs w:val="17"/>
          <w:color w:val="auto"/>
        </w:rPr>
        <w:t>On March 9, 2021, the Company made a contribution of $2.3 million in cash for a 6.4% ownership interest and income share in the Black Economic Development Fund (the “Fund”) managed by the Local Initiatives Support Corporation. The Company has commitments to contribute additional capital of $10.2 million to the Fund over the next three years. The Company’s ownership interest of the Fund is subject to change based on the addition or removal of other investors and their committed and contributed amounts. Given the level of ownership interest in the Fund, which is a limited liability company, and the fact that the Fund will maintain specific ownership accounts for investors, the Company accounts for this investment using the equity method of accounting. The Fund is included in other assets on the consolidated balance sheet.</w:t>
      </w:r>
    </w:p>
    <w:p>
      <w:pPr>
        <w:spacing w:after="0" w:line="177" w:lineRule="exact"/>
        <w:rPr>
          <w:sz w:val="20"/>
          <w:szCs w:val="20"/>
          <w:color w:val="auto"/>
        </w:rPr>
      </w:pPr>
    </w:p>
    <w:p>
      <w:pPr>
        <w:ind w:firstLine="749"/>
        <w:spacing w:after="0" w:line="276" w:lineRule="auto"/>
        <w:rPr>
          <w:sz w:val="20"/>
          <w:szCs w:val="20"/>
          <w:color w:val="auto"/>
        </w:rPr>
      </w:pPr>
      <w:r>
        <w:rPr>
          <w:rFonts w:ascii="Arial" w:cs="Arial" w:eastAsia="Arial" w:hAnsi="Arial"/>
          <w:sz w:val="17"/>
          <w:szCs w:val="17"/>
          <w:color w:val="auto"/>
        </w:rPr>
        <w:t>Under the equity method of accounting, the Company's share of the Fund’s net earnings and impairment charges on investments are reported in the consolidated statements of operations as income (loss) from equity method investment, net of tax. As of March 31, 2021, the carrying amount of the Company’s investment in the Fund was $2.3 million. There were no differences between the carrying value and the fair value of the underlying net assets of the Fund that would result in adjustments to the Company’s proportionate share of the Fund’s net earnings.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Restricted cash</w:t>
      </w:r>
    </w:p>
    <w:p>
      <w:pPr>
        <w:spacing w:after="0" w:line="226" w:lineRule="exact"/>
        <w:rPr>
          <w:sz w:val="20"/>
          <w:szCs w:val="20"/>
          <w:color w:val="auto"/>
        </w:rPr>
      </w:pPr>
    </w:p>
    <w:p>
      <w:pPr>
        <w:ind w:right="240" w:firstLine="749"/>
        <w:spacing w:after="0" w:line="336"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consolidated balance sheets that sum to the total of the same such amounts shown in the statement of cash flows for the three months ended March 31, 2021 and 2020.</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March 31, 2021</w:t>
            </w:r>
          </w:p>
        </w:tc>
        <w:tc>
          <w:tcPr>
            <w:tcW w:w="140" w:type="dxa"/>
            <w:vAlign w:val="bottom"/>
          </w:tcPr>
          <w:p>
            <w:pPr>
              <w:spacing w:after="0"/>
              <w:rPr>
                <w:sz w:val="14"/>
                <w:szCs w:val="14"/>
                <w:color w:val="auto"/>
              </w:rPr>
            </w:pPr>
          </w:p>
        </w:tc>
        <w:tc>
          <w:tcPr>
            <w:tcW w:w="114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4"/>
              </w:rPr>
              <w:t>March 31, 2020</w:t>
            </w: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4"/>
          </w:tcPr>
          <w:p>
            <w:pPr>
              <w:jc w:val="right"/>
              <w:ind w:right="180"/>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397,498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229,133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3"/>
              </w:rPr>
              <w:t>Restricted cash, included in prepaid expenses and other</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900" w:type="dxa"/>
            <w:vAlign w:val="bottom"/>
            <w:gridSpan w:val="2"/>
          </w:tcPr>
          <w:p>
            <w:pPr>
              <w:ind w:left="170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included in other assets</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3,029</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400,527</w:t>
            </w: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232,714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9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590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 consists of the following:</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17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24"/>
                <w:szCs w:val="24"/>
                <w:color w:val="auto"/>
              </w:rPr>
            </w:pPr>
          </w:p>
        </w:tc>
        <w:tc>
          <w:tcPr>
            <w:tcW w:w="15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4"/>
          </w:tcPr>
          <w:p>
            <w:pPr>
              <w:ind w:left="160"/>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purchased software</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3"/>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15,693</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Employee related computer equipment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21,834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21,491</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95,921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89,850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Internal-use software</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14,193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8"/>
              </w:rPr>
              <w:t>169,245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gridSpan w:val="4"/>
          </w:tcPr>
          <w:p>
            <w:pPr>
              <w:jc w:val="right"/>
              <w:ind w:right="51"/>
              <w:spacing w:after="0"/>
              <w:rPr>
                <w:sz w:val="20"/>
                <w:szCs w:val="20"/>
                <w:color w:val="auto"/>
              </w:rPr>
            </w:pPr>
            <w:r>
              <w:rPr>
                <w:rFonts w:ascii="Arial" w:cs="Arial" w:eastAsia="Arial" w:hAnsi="Arial"/>
                <w:sz w:val="18"/>
                <w:szCs w:val="18"/>
                <w:color w:val="auto"/>
              </w:rPr>
              <w:t>(72,400)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(67,403)</w:t>
            </w: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49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96,845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80" w:firstLine="749"/>
        <w:spacing w:after="0" w:line="272" w:lineRule="auto"/>
        <w:rPr>
          <w:sz w:val="20"/>
          <w:szCs w:val="20"/>
          <w:color w:val="auto"/>
        </w:rPr>
      </w:pPr>
      <w:r>
        <w:rPr>
          <w:rFonts w:ascii="Arial" w:cs="Arial" w:eastAsia="Arial" w:hAnsi="Arial"/>
          <w:sz w:val="18"/>
          <w:szCs w:val="18"/>
          <w:color w:val="auto"/>
        </w:rPr>
        <w:t>Depreciation and amortization expense on property and equipment was $6.0 million for the three months ended March 31, 2021 and $4.7 million for the three months ended March 31, 2020.</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51"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Capitalized Software Development Costs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 development costs, exclusive of those recorded within property and equipment, consisted of the following:</w:t>
      </w:r>
    </w:p>
    <w:p>
      <w:pPr>
        <w:spacing w:after="0" w:line="29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2020</w:t>
            </w:r>
          </w:p>
        </w:tc>
      </w:tr>
      <w:tr>
        <w:trPr>
          <w:trHeight w:val="154"/>
        </w:trPr>
        <w:tc>
          <w:tcPr>
            <w:tcW w:w="3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4"/>
          </w:tcPr>
          <w:p>
            <w:pPr>
              <w:jc w:val="right"/>
              <w:ind w:right="1035"/>
              <w:spacing w:after="0" w:line="154"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8"/>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Gross capitalized software development costs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93,499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85,630</w:t>
            </w:r>
          </w:p>
        </w:tc>
        <w:tc>
          <w:tcPr>
            <w:tcW w:w="80" w:type="dxa"/>
            <w:vAlign w:val="bottom"/>
            <w:shd w:val="clear" w:color="auto" w:fill="CFF0FC"/>
          </w:tcPr>
          <w:p>
            <w:pPr>
              <w:spacing w:after="0"/>
              <w:rPr>
                <w:sz w:val="19"/>
                <w:szCs w:val="19"/>
                <w:color w:val="auto"/>
              </w:rPr>
            </w:pPr>
          </w:p>
        </w:tc>
      </w:tr>
      <w:tr>
        <w:trPr>
          <w:trHeight w:val="228"/>
        </w:trPr>
        <w:tc>
          <w:tcPr>
            <w:tcW w:w="39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(65,159)</w:t>
            </w: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(60,687)</w:t>
            </w:r>
          </w:p>
        </w:tc>
      </w:tr>
      <w:tr>
        <w:trPr>
          <w:trHeight w:val="221"/>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Capitalized software development costs, net</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p>
      <w:pPr>
        <w:ind w:right="40" w:firstLine="510"/>
        <w:spacing w:after="0" w:line="272" w:lineRule="auto"/>
        <w:rPr>
          <w:sz w:val="20"/>
          <w:szCs w:val="20"/>
          <w:color w:val="auto"/>
        </w:rPr>
      </w:pPr>
      <w:r>
        <w:rPr>
          <w:rFonts w:ascii="Arial" w:cs="Arial" w:eastAsia="Arial" w:hAnsi="Arial"/>
          <w:sz w:val="18"/>
          <w:szCs w:val="18"/>
          <w:color w:val="auto"/>
        </w:rPr>
        <w:t>These capitalized software development costs are associated with software developed for customer purchase. Capitalized software development costs recorded within property and equipment are associated with software developed for Company use.</w:t>
      </w:r>
    </w:p>
    <w:p>
      <w:pPr>
        <w:spacing w:after="0" w:line="241" w:lineRule="exact"/>
        <w:rPr>
          <w:sz w:val="20"/>
          <w:szCs w:val="20"/>
          <w:color w:val="auto"/>
        </w:rPr>
      </w:pPr>
    </w:p>
    <w:p>
      <w:pPr>
        <w:ind w:right="120" w:firstLine="510"/>
        <w:spacing w:after="0" w:line="260" w:lineRule="auto"/>
        <w:rPr>
          <w:sz w:val="20"/>
          <w:szCs w:val="20"/>
          <w:color w:val="auto"/>
        </w:rPr>
      </w:pPr>
      <w:r>
        <w:rPr>
          <w:rFonts w:ascii="Arial" w:cs="Arial" w:eastAsia="Arial" w:hAnsi="Arial"/>
          <w:sz w:val="18"/>
          <w:szCs w:val="18"/>
          <w:color w:val="auto"/>
        </w:rPr>
        <w:t>Capitalized software development costs are amortized on a straight-line basis over their estimated useful life of two years. Amortization of capitalized software development costs, exclusive of costs recorded within property and equipment, was $4.9 million for the three months ended March 31, 2021 and $3.5 million for the three months ended March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Senior Notes</w:t>
      </w:r>
    </w:p>
    <w:p>
      <w:pPr>
        <w:spacing w:after="0" w:line="226"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2025 Convertible Senior Notes and Capped Call Options</w:t>
      </w:r>
    </w:p>
    <w:p>
      <w:pPr>
        <w:spacing w:after="0" w:line="222" w:lineRule="exact"/>
        <w:rPr>
          <w:sz w:val="20"/>
          <w:szCs w:val="20"/>
          <w:color w:val="auto"/>
        </w:rPr>
      </w:pPr>
    </w:p>
    <w:p>
      <w:pPr>
        <w:ind w:firstLine="667"/>
        <w:spacing w:after="0" w:line="266" w:lineRule="auto"/>
        <w:rPr>
          <w:sz w:val="20"/>
          <w:szCs w:val="20"/>
          <w:color w:val="auto"/>
        </w:rPr>
      </w:pPr>
      <w:r>
        <w:rPr>
          <w:rFonts w:ascii="Arial" w:cs="Arial" w:eastAsia="Arial" w:hAnsi="Arial"/>
          <w:sz w:val="17"/>
          <w:szCs w:val="17"/>
          <w:color w:val="auto"/>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the 2025 Notes in cash. Because the last reported sale price of the Company’s common stock for at least 20 trading days during the period of 30 consecutive trading days ending on the last trading day of the calendar quarter ended March 31, 2021 was equal to or greater than 130% of the applicable conversion price on each applicable trading day, the 2025 Notes are convertible at the option of the holders thereof during the calendar quarter ending June 30, 2021. As of April 30, 2021, no holders have converted or indicated their intention to convert the 2025 Notes. The 2025 Notes are classified as long-term debt.</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net carrying amount of the liability component of the 2025 Notes is as follows:</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As of March 31, 2021</w:t>
            </w:r>
          </w:p>
        </w:tc>
        <w:tc>
          <w:tcPr>
            <w:tcW w:w="20" w:type="dxa"/>
            <w:vAlign w:val="bottom"/>
          </w:tcPr>
          <w:p>
            <w:pPr>
              <w:spacing w:after="0"/>
              <w:rPr>
                <w:sz w:val="14"/>
                <w:szCs w:val="14"/>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As of December 31, 2020</w:t>
            </w:r>
          </w:p>
        </w:tc>
      </w:tr>
      <w:tr>
        <w:trPr>
          <w:trHeight w:val="154"/>
        </w:trPr>
        <w:tc>
          <w:tcPr>
            <w:tcW w:w="5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20" w:type="dxa"/>
            <w:vAlign w:val="bottom"/>
            <w:tcBorders>
              <w:top w:val="single" w:sz="8" w:color="auto"/>
            </w:tcBorders>
            <w:gridSpan w:val="4"/>
          </w:tcPr>
          <w:p>
            <w:pPr>
              <w:jc w:val="right"/>
              <w:ind w:right="299"/>
              <w:spacing w:after="0" w:line="154"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Principal</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460,000</w:t>
            </w: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59"/>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460,000</w:t>
            </w:r>
          </w:p>
        </w:tc>
        <w:tc>
          <w:tcPr>
            <w:tcW w:w="80" w:type="dxa"/>
            <w:vAlign w:val="bottom"/>
            <w:shd w:val="clear" w:color="auto" w:fill="CFF0FC"/>
          </w:tcPr>
          <w:p>
            <w:pPr>
              <w:spacing w:after="0"/>
              <w:rPr>
                <w:sz w:val="19"/>
                <w:szCs w:val="19"/>
                <w:color w:val="auto"/>
              </w:rPr>
            </w:pPr>
          </w:p>
        </w:tc>
      </w:tr>
      <w:tr>
        <w:trPr>
          <w:trHeight w:val="227"/>
        </w:trPr>
        <w:tc>
          <w:tcPr>
            <w:tcW w:w="540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(84,365)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(88,756)</w:t>
            </w: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Unamortized issuance costs</w:t>
            </w: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(6,629)</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(6,973)</w:t>
            </w:r>
          </w:p>
        </w:tc>
      </w:tr>
      <w:tr>
        <w:trPr>
          <w:trHeight w:val="221"/>
        </w:trPr>
        <w:tc>
          <w:tcPr>
            <w:tcW w:w="5400" w:type="dxa"/>
            <w:vAlign w:val="bottom"/>
          </w:tcPr>
          <w:p>
            <w:pPr>
              <w:spacing w:after="0"/>
              <w:rPr>
                <w:sz w:val="20"/>
                <w:szCs w:val="20"/>
                <w:color w:val="auto"/>
              </w:rPr>
            </w:pPr>
            <w:r>
              <w:rPr>
                <w:rFonts w:ascii="Arial" w:cs="Arial" w:eastAsia="Arial" w:hAnsi="Arial"/>
                <w:sz w:val="18"/>
                <w:szCs w:val="18"/>
                <w:color w:val="auto"/>
              </w:rPr>
              <w:t>Net carrying amount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369,006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364,271</w:t>
            </w: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net carrying amount of the equity component of the 2025 Notes is as follows: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As of March 31, 2021</w:t>
            </w:r>
          </w:p>
        </w:tc>
        <w:tc>
          <w:tcPr>
            <w:tcW w:w="80" w:type="dxa"/>
            <w:vAlign w:val="bottom"/>
          </w:tcPr>
          <w:p>
            <w:pPr>
              <w:spacing w:after="0"/>
              <w:rPr>
                <w:sz w:val="14"/>
                <w:szCs w:val="14"/>
                <w:color w:val="auto"/>
              </w:rPr>
            </w:pPr>
          </w:p>
        </w:tc>
        <w:tc>
          <w:tcPr>
            <w:tcW w:w="1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As of December 31, 2020</w:t>
            </w:r>
          </w:p>
        </w:tc>
      </w:tr>
      <w:tr>
        <w:trPr>
          <w:trHeight w:val="154"/>
        </w:trPr>
        <w:tc>
          <w:tcPr>
            <w:tcW w:w="5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4"/>
          </w:tcPr>
          <w:p>
            <w:pPr>
              <w:jc w:val="right"/>
              <w:ind w:right="320"/>
              <w:spacing w:after="0" w:line="154" w:lineRule="exact"/>
              <w:rPr>
                <w:sz w:val="20"/>
                <w:szCs w:val="20"/>
                <w:color w:val="auto"/>
              </w:rPr>
            </w:pPr>
            <w:r>
              <w:rPr>
                <w:rFonts w:ascii="Arial" w:cs="Arial" w:eastAsia="Arial" w:hAnsi="Arial"/>
                <w:sz w:val="14"/>
                <w:szCs w:val="14"/>
                <w:b w:val="1"/>
                <w:bCs w:val="1"/>
                <w:color w:val="auto"/>
              </w:rPr>
              <w:t>(in thousands)</w:t>
            </w: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Debt discount for conversion option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98,730</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98,730</w:t>
            </w:r>
          </w:p>
        </w:tc>
        <w:tc>
          <w:tcPr>
            <w:tcW w:w="80" w:type="dxa"/>
            <w:vAlign w:val="bottom"/>
            <w:shd w:val="clear" w:color="auto" w:fill="CFF0FC"/>
          </w:tcPr>
          <w:p>
            <w:pPr>
              <w:spacing w:after="0"/>
              <w:rPr>
                <w:sz w:val="19"/>
                <w:szCs w:val="19"/>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8"/>
                <w:szCs w:val="18"/>
                <w:color w:val="auto"/>
              </w:rPr>
              <w:t>Issuance costs</w:t>
            </w:r>
          </w:p>
        </w:tc>
        <w:tc>
          <w:tcPr>
            <w:tcW w:w="12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(2,120)</w:t>
            </w:r>
          </w:p>
        </w:tc>
      </w:tr>
      <w:tr>
        <w:trPr>
          <w:trHeight w:val="221"/>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96,610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6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96,610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expense related to the 2025 Notes is as follows: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 w:name="page17"/>
    <w:bookmarkEnd w:id="16"/>
    <w:tbl>
      <w:tblPr>
        <w:tblLayout w:type="fixed"/>
        <w:tblInd w:w="114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3040" w:type="dxa"/>
            <w:vAlign w:val="bottom"/>
            <w:tcBorders>
              <w:bottom w:val="single" w:sz="8" w:color="auto"/>
            </w:tcBorders>
            <w:gridSpan w:val="5"/>
          </w:tcPr>
          <w:p>
            <w:pPr>
              <w:jc w:val="center"/>
              <w:ind w:left="560"/>
              <w:spacing w:after="0"/>
              <w:rPr>
                <w:sz w:val="20"/>
                <w:szCs w:val="20"/>
                <w:color w:val="auto"/>
              </w:rPr>
            </w:pPr>
            <w:r>
              <w:rPr>
                <w:rFonts w:ascii="Arial" w:cs="Arial" w:eastAsia="Arial" w:hAnsi="Arial"/>
                <w:sz w:val="14"/>
                <w:szCs w:val="14"/>
                <w:b w:val="1"/>
                <w:bCs w:val="1"/>
                <w:color w:val="auto"/>
                <w:w w:val="94"/>
              </w:rPr>
              <w:t>Three Months Ended March 31,</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r>
      <w:tr>
        <w:trPr>
          <w:trHeight w:val="154"/>
        </w:trPr>
        <w:tc>
          <w:tcPr>
            <w:tcW w:w="5280" w:type="dxa"/>
            <w:vAlign w:val="bottom"/>
          </w:tcPr>
          <w:p>
            <w:pPr>
              <w:spacing w:after="0"/>
              <w:rPr>
                <w:sz w:val="13"/>
                <w:szCs w:val="13"/>
                <w:color w:val="auto"/>
              </w:rPr>
            </w:pPr>
          </w:p>
        </w:tc>
        <w:tc>
          <w:tcPr>
            <w:tcW w:w="1060" w:type="dxa"/>
            <w:vAlign w:val="bottom"/>
            <w:tcBorders>
              <w:bottom w:val="single" w:sz="8" w:color="auto"/>
            </w:tcBorders>
          </w:tcPr>
          <w:p>
            <w:pPr>
              <w:jc w:val="right"/>
              <w:ind w:right="40"/>
              <w:spacing w:after="0" w:line="154"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187"/>
              <w:spacing w:after="0" w:line="154"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r>
      <w:tr>
        <w:trPr>
          <w:trHeight w:val="154"/>
        </w:trPr>
        <w:tc>
          <w:tcPr>
            <w:tcW w:w="5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80" w:type="dxa"/>
            <w:vAlign w:val="bottom"/>
            <w:gridSpan w:val="4"/>
          </w:tcPr>
          <w:p>
            <w:pPr>
              <w:jc w:val="center"/>
              <w:ind w:right="327"/>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28"/>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1060" w:type="dxa"/>
            <w:vAlign w:val="bottom"/>
            <w:shd w:val="clear" w:color="auto" w:fill="CFF0FC"/>
          </w:tcPr>
          <w:p>
            <w:pPr>
              <w:jc w:val="right"/>
              <w:ind w:right="8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center"/>
              <w:ind w:right="1067"/>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r>
      <w:tr>
        <w:trPr>
          <w:trHeight w:val="227"/>
        </w:trPr>
        <w:tc>
          <w:tcPr>
            <w:tcW w:w="528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10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r>
      <w:tr>
        <w:trPr>
          <w:trHeight w:val="221"/>
        </w:trPr>
        <w:tc>
          <w:tcPr>
            <w:tcW w:w="5280" w:type="dxa"/>
            <w:vAlign w:val="bottom"/>
          </w:tcPr>
          <w:p>
            <w:pPr>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top w:val="single" w:sz="8" w:color="auto"/>
              <w:bottom w:val="single" w:sz="8" w:color="auto"/>
            </w:tcBorders>
          </w:tcPr>
          <w:p>
            <w:pPr>
              <w:jc w:val="right"/>
              <w:ind w:right="88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10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In connection with the offering of the 2025 Notes, the Company purchased capped call options (“Capped Call Options”) with respect to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for $50.6 million. The Capped Call Options are purchased call options that give the Company the option to purchase up to approximately 1.6</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million shares of its common stock for $282.52 per share, which corresponds to the approximate initial conversion price of the 2025 Notes. The Capped Call</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Options were purchased in order to offset potential dilution to the Company’s common stock upon any conversion of the 2025 Notes, subject to a cap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$426.44 per share, and expire concurrently with the 2025 Notes. The $50.6 million paid for the Capped Call Options are recorded in stockholders’ equity as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 reduction in additional paid-in capital and are not accounted for as separate derivative financial instruments.</w:t>
      </w:r>
    </w:p>
    <w:p>
      <w:pPr>
        <w:spacing w:after="0" w:line="209"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2022 Convertible Senior Notes, Convertible Note Hedge and Warrant</w:t>
      </w:r>
    </w:p>
    <w:p>
      <w:pPr>
        <w:spacing w:after="0" w:line="222" w:lineRule="exact"/>
        <w:rPr>
          <w:sz w:val="20"/>
          <w:szCs w:val="20"/>
          <w:color w:val="auto"/>
        </w:rPr>
      </w:pPr>
    </w:p>
    <w:p>
      <w:pPr>
        <w:ind w:right="60" w:firstLine="667"/>
        <w:spacing w:after="0" w:line="283" w:lineRule="auto"/>
        <w:rPr>
          <w:sz w:val="20"/>
          <w:szCs w:val="20"/>
          <w:color w:val="auto"/>
        </w:rPr>
      </w:pPr>
      <w:r>
        <w:rPr>
          <w:rFonts w:ascii="Arial" w:cs="Arial" w:eastAsia="Arial" w:hAnsi="Arial"/>
          <w:sz w:val="16"/>
          <w:szCs w:val="16"/>
          <w:color w:val="auto"/>
        </w:rPr>
        <w:t>In May 2017, the Company issued $350 million aggregate principal amount of 0.25% convertible senior notes due June 1, 2022 in a private offering and an additional $50 million aggregate principal amount of such notes pursuant to the exercise in full of the over-allotment options of the initial purchasers (the “2022 Notes”). Each $1,000 principal amount of the 2022 Notes will initially be convertible into 10.5519 shares of the Company’s common stock (the “Conversion Option of the 2022 Notes”), which is equivalent to a conversion price of approximately $94.77 per share, under certain circumstances, subject to adjustment upon the occurrence of specified events. On or after February 1, 2022 until the close of business on the second scheduled trading day immediately preceding the maturity date, holders may convert their notes at any time. The 2022 Notes are convertible at the option of the holders prior to the close of business on the business day immediately preceding February 1, 2022 under certain circumstances. Upon conversion, the Company will pay or deliver, as the case may be, cash, shares of the Company’s common stock or a combination of cash and shares of the Company’s common stock, at the Company’s election. The Company expects to settle the principal amount of the 2022 Notes in cash. Because the last reported sale price of the Company’s common stock for at least 20 trading days during the period of 30 consecutive trading days ending on the last trading day of the calendar quarter ended March 31, 2021 was equal to or greater than 130% of the applicable conversion price on each applicable trading day, the 2022 Notes are convertible at the option of the holders thereof during the calendar quarter ending June 30, 2021. In the first quarter of 2021, the Company settled $44.5 million of principal balance of the 2022 Notes in cash. The Company compared the consideration attributed to the fair value of the debt component with the carrying value of the debt component, which includes the proportionate amounts of unamortized debt discount and the remaining unamortized debt issuance costs and recorded a loss on early extinguishment of $2.4 million within interest expense on the Company’s statements of operations. As of April 30, 2021, the Company has received conversion notices for approximately $12.7 million of the principal balance of the 2022 Notes, which will be settled in cash during the quarter ended June 30, 2021.</w:t>
      </w:r>
    </w:p>
    <w:p>
      <w:pPr>
        <w:spacing w:after="0" w:line="173" w:lineRule="exact"/>
        <w:rPr>
          <w:sz w:val="20"/>
          <w:szCs w:val="20"/>
          <w:color w:val="auto"/>
        </w:rPr>
      </w:pPr>
    </w:p>
    <w:p>
      <w:pPr>
        <w:ind w:firstLine="667"/>
        <w:spacing w:after="0" w:line="254" w:lineRule="auto"/>
        <w:rPr>
          <w:sz w:val="20"/>
          <w:szCs w:val="20"/>
          <w:color w:val="auto"/>
        </w:rPr>
      </w:pPr>
      <w:r>
        <w:rPr>
          <w:rFonts w:ascii="Arial" w:cs="Arial" w:eastAsia="Arial" w:hAnsi="Arial"/>
          <w:sz w:val="18"/>
          <w:szCs w:val="18"/>
          <w:color w:val="auto"/>
        </w:rPr>
        <w:t>The 2022 Notes are classified as long-term debt, except for $11.8 million classified as current as of March 31, 2021, for which the principal amount is expected to be cash-settled within the next fiscal quarter. The equity component of the 2022 Notes will continue to be classified as additional paid-in capital because the Company has the option to settle the principal amount in shares and the maturity date of the 2022 Notes is more than 12 months away. However, it is the Company’s intent to settle the principal amount of the 2022 Notes in cash. As of March 31, 2021, $81.4 million of principal remains outstanding on the 2022 Notes.</w:t>
      </w:r>
    </w:p>
    <w:p>
      <w:pPr>
        <w:spacing w:after="0" w:line="192" w:lineRule="exact"/>
        <w:rPr>
          <w:sz w:val="20"/>
          <w:szCs w:val="20"/>
          <w:color w:val="auto"/>
        </w:rPr>
      </w:pPr>
    </w:p>
    <w:p>
      <w:pPr>
        <w:ind w:right="20" w:firstLine="667"/>
        <w:spacing w:after="0" w:line="268" w:lineRule="auto"/>
        <w:rPr>
          <w:sz w:val="20"/>
          <w:szCs w:val="20"/>
          <w:color w:val="auto"/>
        </w:rPr>
      </w:pPr>
      <w:r>
        <w:rPr>
          <w:rFonts w:ascii="Arial" w:cs="Arial" w:eastAsia="Arial" w:hAnsi="Arial"/>
          <w:sz w:val="17"/>
          <w:szCs w:val="17"/>
          <w:color w:val="auto"/>
        </w:rPr>
        <w:t>In connection with the offering of the 2022 Notes, the Company entered into convertible note hedge transactions (the “Convertible Note Hedges”) with certain counterparties in which the Company has the option to purchase (subject to adjustment for certain specified events) up to approximately 4.2 million shares of the Company’s common stock at a price of approximately $94.77 per share. The Convertible Note Hedges will be settled in cash or shares, or any combination thereof, in accordance with the settlement method of the 2022 Notes in excess of the par amount, and are expected to settle concurrently with the conversion of the 2022 Notes. In addition, the Company sold warrants (the “Warrants”) to certain bank counterparties whereby the holders of the Warrants have the option to initially purchase (subject to adjustment for certain specified events) a total of approximately 4.2 million shares of the Company’s common stock at a price of $115.8 per share. The amount by which the settlement price exceeds the strike price may be settled in shares or cash at the Company’s election. The Warrants are expected to settle three business days from each trading day commencing on September 1, 2022 and ending on the 79th trading day thereafter.</w:t>
      </w:r>
    </w:p>
    <w:p>
      <w:pPr>
        <w:spacing w:after="0" w:line="180" w:lineRule="exact"/>
        <w:rPr>
          <w:sz w:val="20"/>
          <w:szCs w:val="20"/>
          <w:color w:val="auto"/>
        </w:rPr>
      </w:pPr>
    </w:p>
    <w:p>
      <w:pPr>
        <w:ind w:firstLine="667"/>
        <w:spacing w:after="0" w:line="260" w:lineRule="auto"/>
        <w:rPr>
          <w:sz w:val="20"/>
          <w:szCs w:val="20"/>
          <w:color w:val="auto"/>
        </w:rPr>
      </w:pPr>
      <w:r>
        <w:rPr>
          <w:rFonts w:ascii="Arial" w:cs="Arial" w:eastAsia="Arial" w:hAnsi="Arial"/>
          <w:sz w:val="18"/>
          <w:szCs w:val="18"/>
          <w:color w:val="auto"/>
        </w:rPr>
        <w:t>During the quarter ended March 31, 2021, the Company exercised and net-share-settled a portion of the Convertible Note Hedges, corresponding to approximately $44.5 million principal amount of 2022 Notes and received approximately 0.4 million shares of common stock and an immaterial cash payment. As of March 31, 2021, Convertible Note Hedges giving the Company the option to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7" w:name="page18"/>
    <w:bookmarkEnd w:id="17"/>
    <w:p>
      <w:pPr>
        <w:ind w:right="480"/>
        <w:spacing w:after="0" w:line="272" w:lineRule="auto"/>
        <w:rPr>
          <w:sz w:val="20"/>
          <w:szCs w:val="20"/>
          <w:color w:val="auto"/>
        </w:rPr>
      </w:pPr>
      <w:r>
        <w:rPr>
          <w:rFonts w:ascii="Arial" w:cs="Arial" w:eastAsia="Arial" w:hAnsi="Arial"/>
          <w:sz w:val="18"/>
          <w:szCs w:val="18"/>
          <w:color w:val="auto"/>
        </w:rPr>
        <w:t>purchase approximately 1.0 million shares of the Company’s common stock and Warrants giving certain counterparties the option to acquire up to 1.3 million shares of the Company’s common stock remain outstanding.</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net carrying amount of the liability component of the 2022 Notes is as follows:</w:t>
      </w:r>
    </w:p>
    <w:p>
      <w:pPr>
        <w:spacing w:after="0" w:line="12"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As of March 31, 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70"/>
        </w:trPr>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gridSpan w:val="7"/>
          </w:tcPr>
          <w:p>
            <w:pPr>
              <w:jc w:val="right"/>
              <w:ind w:right="228"/>
              <w:spacing w:after="0"/>
              <w:rPr>
                <w:sz w:val="20"/>
                <w:szCs w:val="20"/>
                <w:color w:val="auto"/>
              </w:rPr>
            </w:pPr>
            <w:r>
              <w:rPr>
                <w:rFonts w:ascii="Arial" w:cs="Arial" w:eastAsia="Arial" w:hAnsi="Arial"/>
                <w:sz w:val="14"/>
                <w:szCs w:val="14"/>
                <w:b w:val="1"/>
                <w:bCs w:val="1"/>
                <w:color w:val="auto"/>
                <w:w w:val="89"/>
              </w:rPr>
              <w:t>(in thousands)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Principal</w:t>
            </w: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4"/>
              </w:rPr>
              <w:t>81,383</w:t>
            </w:r>
          </w:p>
        </w:tc>
        <w:tc>
          <w:tcPr>
            <w:tcW w:w="6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125,839</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Unamortized debt discount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(5,544)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(10,397)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Unamortized issuance costs</w:t>
            </w: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(777)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75,430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114,665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980" w:type="dxa"/>
            <w:vAlign w:val="bottom"/>
            <w:gridSpan w:val="6"/>
          </w:tcPr>
          <w:p>
            <w:pPr>
              <w:jc w:val="right"/>
              <w:ind w:right="51"/>
              <w:spacing w:after="0"/>
              <w:rPr>
                <w:sz w:val="20"/>
                <w:szCs w:val="20"/>
                <w:color w:val="auto"/>
              </w:rPr>
            </w:pPr>
            <w:r>
              <w:rPr>
                <w:rFonts w:ascii="Arial" w:cs="Arial" w:eastAsia="Arial" w:hAnsi="Arial"/>
                <w:sz w:val="18"/>
                <w:szCs w:val="18"/>
                <w:color w:val="auto"/>
                <w:w w:val="90"/>
              </w:rPr>
              <w:t>The net carrying amount of the equity component of the 2022 Notes is as follows: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5"/>
          </w:tcPr>
          <w:p>
            <w:pPr>
              <w:ind w:left="40"/>
              <w:spacing w:after="0"/>
              <w:rPr>
                <w:sz w:val="20"/>
                <w:szCs w:val="20"/>
                <w:color w:val="auto"/>
              </w:rPr>
            </w:pPr>
            <w:r>
              <w:rPr>
                <w:rFonts w:ascii="Arial" w:cs="Arial" w:eastAsia="Arial" w:hAnsi="Arial"/>
                <w:sz w:val="14"/>
                <w:szCs w:val="14"/>
                <w:b w:val="1"/>
                <w:bCs w:val="1"/>
                <w:color w:val="auto"/>
              </w:rPr>
              <w:t>As of March 31, 2021</w:t>
            </w:r>
          </w:p>
        </w:tc>
        <w:tc>
          <w:tcPr>
            <w:tcW w:w="20" w:type="dxa"/>
            <w:vAlign w:val="bottom"/>
          </w:tcPr>
          <w:p>
            <w:pPr>
              <w:spacing w:after="0"/>
              <w:rPr>
                <w:sz w:val="24"/>
                <w:szCs w:val="24"/>
                <w:color w:val="auto"/>
              </w:rPr>
            </w:pPr>
          </w:p>
        </w:tc>
        <w:tc>
          <w:tcPr>
            <w:tcW w:w="17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0"/>
              </w:rPr>
              <w:t>As of December 31, 2020</w:t>
            </w:r>
          </w:p>
        </w:tc>
        <w:tc>
          <w:tcPr>
            <w:tcW w:w="0" w:type="dxa"/>
            <w:vAlign w:val="bottom"/>
          </w:tcPr>
          <w:p>
            <w:pPr>
              <w:spacing w:after="0"/>
              <w:rPr>
                <w:sz w:val="1"/>
                <w:szCs w:val="1"/>
                <w:color w:val="auto"/>
              </w:rPr>
            </w:pPr>
          </w:p>
        </w:tc>
      </w:tr>
      <w:tr>
        <w:trPr>
          <w:trHeight w:val="221"/>
        </w:trPr>
        <w:tc>
          <w:tcPr>
            <w:tcW w:w="520" w:type="dxa"/>
            <w:vAlign w:val="bottom"/>
            <w:tcBorders>
              <w:right w:val="single" w:sz="8" w:color="CFF0FC"/>
            </w:tcBorders>
          </w:tcPr>
          <w:p>
            <w:pPr>
              <w:spacing w:after="0"/>
              <w:rPr>
                <w:sz w:val="19"/>
                <w:szCs w:val="19"/>
                <w:color w:val="auto"/>
              </w:rPr>
            </w:pPr>
          </w:p>
        </w:tc>
        <w:tc>
          <w:tcPr>
            <w:tcW w:w="500" w:type="dxa"/>
            <w:vAlign w:val="bottom"/>
            <w:tcBorders>
              <w:top w:val="single" w:sz="8" w:color="CFF0FC"/>
            </w:tcBorders>
            <w:shd w:val="clear" w:color="auto" w:fill="CFF0FC"/>
          </w:tcPr>
          <w:p>
            <w:pPr>
              <w:spacing w:after="0"/>
              <w:rPr>
                <w:sz w:val="19"/>
                <w:szCs w:val="19"/>
                <w:color w:val="auto"/>
              </w:rPr>
            </w:pPr>
          </w:p>
        </w:tc>
        <w:tc>
          <w:tcPr>
            <w:tcW w:w="43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gridSpan w:val="7"/>
            <w:shd w:val="clear" w:color="auto" w:fill="CFF0FC"/>
          </w:tcPr>
          <w:p>
            <w:pPr>
              <w:jc w:val="right"/>
              <w:ind w:right="248"/>
              <w:spacing w:after="0"/>
              <w:rPr>
                <w:sz w:val="20"/>
                <w:szCs w:val="20"/>
                <w:color w:val="auto"/>
              </w:rPr>
            </w:pPr>
            <w:r>
              <w:rPr>
                <w:rFonts w:ascii="Arial" w:cs="Arial" w:eastAsia="Arial" w:hAnsi="Arial"/>
                <w:sz w:val="14"/>
                <w:szCs w:val="14"/>
                <w:b w:val="1"/>
                <w:bCs w:val="1"/>
                <w:color w:val="auto"/>
                <w:w w:val="87"/>
              </w:rPr>
              <w:t>(in thousands)</w:t>
            </w:r>
          </w:p>
        </w:tc>
        <w:tc>
          <w:tcPr>
            <w:tcW w:w="5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Debt discount for conversion option</w:t>
            </w:r>
          </w:p>
        </w:tc>
        <w:tc>
          <w:tcPr>
            <w:tcW w:w="64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21,568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3"/>
          </w:tcPr>
          <w:p>
            <w:pPr>
              <w:jc w:val="right"/>
              <w:ind w:right="408"/>
              <w:spacing w:after="0"/>
              <w:rPr>
                <w:sz w:val="20"/>
                <w:szCs w:val="20"/>
                <w:color w:val="auto"/>
              </w:rPr>
            </w:pPr>
            <w:r>
              <w:rPr>
                <w:rFonts w:ascii="Arial" w:cs="Arial" w:eastAsia="Arial" w:hAnsi="Arial"/>
                <w:sz w:val="18"/>
                <w:szCs w:val="18"/>
                <w:color w:val="auto"/>
                <w:w w:val="79"/>
              </w:rPr>
              <w:t>$</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33,349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Borders>
              <w:right w:val="single" w:sz="8" w:color="CFF0FC"/>
            </w:tcBorders>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Issuance costs</w:t>
            </w: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(756)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1"/>
        </w:trPr>
        <w:tc>
          <w:tcPr>
            <w:tcW w:w="5340" w:type="dxa"/>
            <w:vAlign w:val="bottom"/>
            <w:gridSpan w:val="3"/>
          </w:tcPr>
          <w:p>
            <w:pPr>
              <w:ind w:left="460"/>
              <w:spacing w:after="0"/>
              <w:rPr>
                <w:sz w:val="20"/>
                <w:szCs w:val="20"/>
                <w:color w:val="auto"/>
              </w:rPr>
            </w:pPr>
            <w:r>
              <w:rPr>
                <w:rFonts w:ascii="Arial" w:cs="Arial" w:eastAsia="Arial" w:hAnsi="Arial"/>
                <w:sz w:val="18"/>
                <w:szCs w:val="18"/>
                <w:color w:val="auto"/>
              </w:rPr>
              <w:t>Net carrying amount</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1"/>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20,812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ind w:right="408"/>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32,451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gridSpan w:val="3"/>
            <w:vMerge w:val="restart"/>
          </w:tcPr>
          <w:p>
            <w:pPr>
              <w:spacing w:after="0"/>
              <w:rPr>
                <w:sz w:val="20"/>
                <w:szCs w:val="20"/>
                <w:color w:val="auto"/>
              </w:rPr>
            </w:pPr>
            <w:r>
              <w:rPr>
                <w:rFonts w:ascii="Arial" w:cs="Arial" w:eastAsia="Arial" w:hAnsi="Arial"/>
                <w:sz w:val="18"/>
                <w:szCs w:val="18"/>
                <w:color w:val="auto"/>
              </w:rPr>
              <w:t>Interest expense related to the 2022 Notes is as follows:</w:t>
            </w: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534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42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5,307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4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4820" w:type="dxa"/>
            <w:vAlign w:val="bottom"/>
            <w:gridSpan w:val="2"/>
          </w:tcPr>
          <w:p>
            <w:pPr>
              <w:ind w:left="500"/>
              <w:spacing w:after="0"/>
              <w:rPr>
                <w:sz w:val="20"/>
                <w:szCs w:val="20"/>
                <w:color w:val="auto"/>
              </w:rPr>
            </w:pPr>
            <w:r>
              <w:rPr>
                <w:rFonts w:ascii="Arial" w:cs="Arial" w:eastAsia="Arial" w:hAnsi="Arial"/>
                <w:sz w:val="18"/>
                <w:szCs w:val="18"/>
                <w:color w:val="auto"/>
              </w:rPr>
              <w:t>Total interest expense</w:t>
            </w:r>
          </w:p>
        </w:tc>
        <w:tc>
          <w:tcPr>
            <w:tcW w:w="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19" w:lineRule="exact"/>
        <w:rPr>
          <w:sz w:val="20"/>
          <w:szCs w:val="20"/>
          <w:color w:val="auto"/>
        </w:rPr>
      </w:pPr>
    </w:p>
    <w:p>
      <w:pPr>
        <w:ind w:right="140" w:firstLine="540"/>
        <w:spacing w:after="0" w:line="336" w:lineRule="auto"/>
        <w:rPr>
          <w:sz w:val="20"/>
          <w:szCs w:val="20"/>
          <w:color w:val="auto"/>
        </w:rPr>
      </w:pPr>
      <w:r>
        <w:rPr>
          <w:rFonts w:ascii="Arial" w:cs="Arial" w:eastAsia="Arial" w:hAnsi="Arial"/>
          <w:sz w:val="16"/>
          <w:szCs w:val="16"/>
          <w:color w:val="auto"/>
        </w:rPr>
        <w:t>The Company leases office facilities under non-cancelable operating leases that expire at various dates through May 2031. Certain operating leases contain optional termination dates, and the Company is not reasonably certain to extend its lease agreements beyond those dates.</w:t>
      </w:r>
    </w:p>
    <w:p>
      <w:pPr>
        <w:spacing w:after="0" w:line="21" w:lineRule="exact"/>
        <w:rPr>
          <w:sz w:val="20"/>
          <w:szCs w:val="20"/>
          <w:color w:val="auto"/>
        </w:rPr>
      </w:pPr>
    </w:p>
    <w:p>
      <w:pPr>
        <w:ind w:right="300" w:firstLine="540"/>
        <w:spacing w:after="0" w:line="272" w:lineRule="auto"/>
        <w:rPr>
          <w:sz w:val="20"/>
          <w:szCs w:val="20"/>
          <w:color w:val="auto"/>
        </w:rPr>
      </w:pPr>
      <w:r>
        <w:rPr>
          <w:rFonts w:ascii="Arial" w:cs="Arial" w:eastAsia="Arial" w:hAnsi="Arial"/>
          <w:sz w:val="18"/>
          <w:szCs w:val="18"/>
          <w:color w:val="auto"/>
        </w:rPr>
        <w:t>During the three months ended March 31, 2021, the Company extended the lease term for the lease in Tokyo, Japan and recorded $1.2 million of right-of-use assets and lease liabilities.</w:t>
      </w:r>
    </w:p>
    <w:p>
      <w:pPr>
        <w:spacing w:after="0" w:line="67" w:lineRule="exact"/>
        <w:rPr>
          <w:sz w:val="20"/>
          <w:szCs w:val="20"/>
          <w:color w:val="auto"/>
        </w:rPr>
      </w:pPr>
    </w:p>
    <w:p>
      <w:pPr>
        <w:ind w:right="60" w:firstLine="540"/>
        <w:spacing w:after="0" w:line="276" w:lineRule="auto"/>
        <w:rPr>
          <w:sz w:val="20"/>
          <w:szCs w:val="20"/>
          <w:color w:val="auto"/>
        </w:rPr>
      </w:pPr>
      <w:r>
        <w:rPr>
          <w:rFonts w:ascii="Arial" w:cs="Arial" w:eastAsia="Arial" w:hAnsi="Arial"/>
          <w:sz w:val="17"/>
          <w:szCs w:val="17"/>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March 31, 2021 is 5.2%.</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Operating lease expense costs were </w:t>
      </w:r>
      <w:r>
        <w:rPr>
          <w:rFonts w:ascii="Arial" w:cs="Arial" w:eastAsia="Arial" w:hAnsi="Arial"/>
          <w:sz w:val="16"/>
          <w:szCs w:val="16"/>
          <w:color w:val="auto"/>
          <w:highlight w:val="cyan"/>
        </w:rPr>
        <w:t>$12.0</w:t>
      </w:r>
      <w:r>
        <w:rPr>
          <w:rFonts w:ascii="Arial" w:cs="Arial" w:eastAsia="Arial" w:hAnsi="Arial"/>
          <w:sz w:val="16"/>
          <w:szCs w:val="16"/>
          <w:color w:val="auto"/>
        </w:rPr>
        <w:t xml:space="preserve"> million for the three months ended March 31, 2021 and $9.7 million for the three months ended March 31,</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02" w:lineRule="exact"/>
        <w:rPr>
          <w:sz w:val="20"/>
          <w:szCs w:val="20"/>
          <w:color w:val="auto"/>
        </w:rPr>
      </w:pPr>
    </w:p>
    <w:p>
      <w:pPr>
        <w:ind w:firstLine="540"/>
        <w:spacing w:after="0" w:line="272" w:lineRule="auto"/>
        <w:rPr>
          <w:sz w:val="20"/>
          <w:szCs w:val="20"/>
          <w:color w:val="auto"/>
        </w:rPr>
      </w:pPr>
      <w:r>
        <w:rPr>
          <w:rFonts w:ascii="Arial" w:cs="Arial" w:eastAsia="Arial" w:hAnsi="Arial"/>
          <w:sz w:val="18"/>
          <w:szCs w:val="18"/>
          <w:color w:val="auto"/>
        </w:rPr>
        <w:t>The Company subleases some of its unused spaces to third parties. Operating sublease income generated under all operating lease agreements for the three months ended March 31, 2021 and 2020 are as follows:</w:t>
      </w:r>
    </w:p>
    <w:p>
      <w:pPr>
        <w:spacing w:after="0" w:line="367"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4022090</wp:posOffset>
            </wp:positionH>
            <wp:positionV relativeFrom="paragraph">
              <wp:posOffset>5715</wp:posOffset>
            </wp:positionV>
            <wp:extent cx="19919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91995" cy="8255"/>
                    </a:xfrm>
                    <a:prstGeom prst="rect">
                      <a:avLst/>
                    </a:prstGeom>
                    <a:noFill/>
                  </pic:spPr>
                </pic:pic>
              </a:graphicData>
            </a:graphic>
          </wp:anchor>
        </w:drawing>
      </w:r>
    </w:p>
    <w:p>
      <w:pPr>
        <w:spacing w:after="0" w:line="4" w:lineRule="exact"/>
        <w:rPr>
          <w:sz w:val="20"/>
          <w:szCs w:val="20"/>
          <w:color w:val="auto"/>
        </w:rPr>
      </w:pPr>
    </w:p>
    <w:p>
      <w:pPr>
        <w:ind w:left="6960"/>
        <w:spacing w:after="0"/>
        <w:tabs>
          <w:tab w:leader="none" w:pos="86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4022090</wp:posOffset>
            </wp:positionH>
            <wp:positionV relativeFrom="paragraph">
              <wp:posOffset>-635</wp:posOffset>
            </wp:positionV>
            <wp:extent cx="19919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91995" cy="8255"/>
                    </a:xfrm>
                    <a:prstGeom prst="rect">
                      <a:avLst/>
                    </a:prstGeom>
                    <a:noFill/>
                  </pic:spPr>
                </pic:pic>
              </a:graphicData>
            </a:graphic>
          </wp:anchor>
        </w:drawing>
      </w:r>
    </w:p>
    <w:p>
      <w:pPr>
        <w:ind w:left="74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-635</wp:posOffset>
            </wp:positionV>
            <wp:extent cx="4987925" cy="144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87925" cy="144780"/>
                    </a:xfrm>
                    <a:prstGeom prst="rect">
                      <a:avLst/>
                    </a:prstGeom>
                    <a:noFill/>
                  </pic:spPr>
                </pic:pic>
              </a:graphicData>
            </a:graphic>
          </wp:anchor>
        </w:drawing>
      </w:r>
    </w:p>
    <w:p>
      <w:pPr>
        <w:ind w:left="1700"/>
        <w:spacing w:after="0"/>
        <w:tabs>
          <w:tab w:leader="none" w:pos="6320" w:val="left"/>
          <w:tab w:leader="none" w:pos="7460" w:val="left"/>
          <w:tab w:leader="none" w:pos="8100" w:val="left"/>
          <w:tab w:leader="none" w:pos="9040" w:val="left"/>
        </w:tabs>
        <w:rPr>
          <w:sz w:val="20"/>
          <w:szCs w:val="20"/>
          <w:color w:val="auto"/>
        </w:rPr>
      </w:pPr>
      <w:r>
        <w:rPr>
          <w:rFonts w:ascii="Arial" w:cs="Arial" w:eastAsia="Arial" w:hAnsi="Arial"/>
          <w:sz w:val="18"/>
          <w:szCs w:val="18"/>
          <w:color w:val="auto"/>
        </w:rPr>
        <w:t>Operating sublease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1,259</w:t>
        <w:tab/>
        <w:t>$</w:t>
      </w:r>
      <w:r>
        <w:rPr>
          <w:sz w:val="20"/>
          <w:szCs w:val="20"/>
          <w:color w:val="auto"/>
        </w:rPr>
        <w:tab/>
      </w:r>
      <w:r>
        <w:rPr>
          <w:rFonts w:ascii="Arial" w:cs="Arial" w:eastAsia="Arial" w:hAnsi="Arial"/>
          <w:sz w:val="15"/>
          <w:szCs w:val="15"/>
          <w:color w:val="auto"/>
        </w:rPr>
        <w:t>1,354</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18" w:name="page19"/>
    <w:bookmarkEnd w:id="18"/>
    <w:p>
      <w:pPr>
        <w:ind w:right="420" w:firstLine="540"/>
        <w:spacing w:after="0" w:line="272" w:lineRule="auto"/>
        <w:rPr>
          <w:sz w:val="20"/>
          <w:szCs w:val="20"/>
          <w:color w:val="auto"/>
        </w:rPr>
      </w:pPr>
      <w:r>
        <w:rPr>
          <w:rFonts w:ascii="Arial" w:cs="Arial" w:eastAsia="Arial" w:hAnsi="Arial"/>
          <w:sz w:val="18"/>
          <w:szCs w:val="18"/>
          <w:color w:val="auto"/>
        </w:rPr>
        <w:t>Cash payments related to operating lease liabilities were $17.9 million for the three months ended March 31, 2021 and $9.6 million or the three months ended March 31, 2020.</w:t>
      </w:r>
    </w:p>
    <w:p>
      <w:pPr>
        <w:spacing w:after="0" w:line="170" w:lineRule="exact"/>
        <w:rPr>
          <w:sz w:val="20"/>
          <w:szCs w:val="20"/>
          <w:color w:val="auto"/>
        </w:rPr>
      </w:pPr>
    </w:p>
    <w:p>
      <w:pPr>
        <w:ind w:left="540" w:right="8420" w:hanging="533"/>
        <w:spacing w:after="0" w:line="450" w:lineRule="auto"/>
        <w:tabs>
          <w:tab w:leader="none" w:pos="258"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Contractual Obligations</w:t>
      </w:r>
    </w:p>
    <w:p>
      <w:pPr>
        <w:spacing w:after="0" w:line="1" w:lineRule="exact"/>
        <w:rPr>
          <w:sz w:val="20"/>
          <w:szCs w:val="20"/>
          <w:color w:val="auto"/>
        </w:rPr>
      </w:pPr>
    </w:p>
    <w:p>
      <w:pPr>
        <w:ind w:firstLine="540"/>
        <w:spacing w:after="0" w:line="273" w:lineRule="auto"/>
        <w:rPr>
          <w:sz w:val="20"/>
          <w:szCs w:val="20"/>
          <w:color w:val="auto"/>
        </w:rPr>
      </w:pPr>
      <w:r>
        <w:rPr>
          <w:rFonts w:ascii="Arial" w:cs="Arial" w:eastAsia="Arial" w:hAnsi="Arial"/>
          <w:sz w:val="17"/>
          <w:szCs w:val="17"/>
          <w:color w:val="auto"/>
        </w:rPr>
        <w:t>The Company leases its office facilities under non-cancelable operating leases that expire at various dates through May 2031. Lease expense for non-cancelable operating leases with free rental periods or scheduled rent increases is recognized on a straight-line basis over the terms of the leases. Improvement reimbursements from landlords of $24.1 million are being amortized on a straight-line basis into lease expense over the terms of the leases. Certain leases contain optional termination dates. The table below only includes payments up to the optional termination date. If the Company were to extend leases beyond the optional termination date, the future commitments would increase by approximately $86.8 million.</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payments under all operating and finance lease agreements as of March 31, 2021 are as follows:</w:t>
      </w:r>
    </w:p>
    <w:p>
      <w:pPr>
        <w:spacing w:after="0" w:line="80"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Operating</w:t>
            </w:r>
          </w:p>
        </w:tc>
      </w:tr>
      <w:tr>
        <w:trPr>
          <w:trHeight w:val="154"/>
        </w:trPr>
        <w:tc>
          <w:tcPr>
            <w:tcW w:w="6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215"/>
              <w:spacing w:after="0" w:line="154"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3"/>
                <w:szCs w:val="13"/>
                <w:color w:val="auto"/>
              </w:rPr>
            </w:pPr>
          </w:p>
        </w:tc>
      </w:tr>
      <w:tr>
        <w:trPr>
          <w:trHeight w:val="228"/>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38,727</w:t>
            </w:r>
          </w:p>
        </w:tc>
        <w:tc>
          <w:tcPr>
            <w:tcW w:w="80" w:type="dxa"/>
            <w:vAlign w:val="bottom"/>
            <w:shd w:val="clear" w:color="auto" w:fill="CFF0FC"/>
          </w:tcPr>
          <w:p>
            <w:pPr>
              <w:spacing w:after="0"/>
              <w:rPr>
                <w:sz w:val="19"/>
                <w:szCs w:val="19"/>
                <w:color w:val="auto"/>
              </w:rPr>
            </w:pPr>
          </w:p>
        </w:tc>
      </w:tr>
      <w:tr>
        <w:trPr>
          <w:trHeight w:val="227"/>
        </w:trPr>
        <w:tc>
          <w:tcPr>
            <w:tcW w:w="634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50,294</w:t>
            </w:r>
          </w:p>
        </w:tc>
        <w:tc>
          <w:tcPr>
            <w:tcW w:w="8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49,255</w:t>
            </w:r>
          </w:p>
        </w:tc>
        <w:tc>
          <w:tcPr>
            <w:tcW w:w="80" w:type="dxa"/>
            <w:vAlign w:val="bottom"/>
            <w:shd w:val="clear" w:color="auto" w:fill="CFF0FC"/>
          </w:tcPr>
          <w:p>
            <w:pPr>
              <w:spacing w:after="0"/>
              <w:rPr>
                <w:sz w:val="19"/>
                <w:szCs w:val="19"/>
                <w:color w:val="auto"/>
              </w:rPr>
            </w:pPr>
          </w:p>
        </w:tc>
      </w:tr>
      <w:tr>
        <w:trPr>
          <w:trHeight w:val="227"/>
        </w:trPr>
        <w:tc>
          <w:tcPr>
            <w:tcW w:w="634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47,925</w:t>
            </w:r>
          </w:p>
        </w:tc>
        <w:tc>
          <w:tcPr>
            <w:tcW w:w="8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47,994</w:t>
            </w:r>
          </w:p>
        </w:tc>
        <w:tc>
          <w:tcPr>
            <w:tcW w:w="80" w:type="dxa"/>
            <w:vAlign w:val="bottom"/>
            <w:shd w:val="clear" w:color="auto" w:fill="CFF0FC"/>
          </w:tcPr>
          <w:p>
            <w:pPr>
              <w:spacing w:after="0"/>
              <w:rPr>
                <w:sz w:val="19"/>
                <w:szCs w:val="19"/>
                <w:color w:val="auto"/>
              </w:rPr>
            </w:pPr>
          </w:p>
        </w:tc>
      </w:tr>
      <w:tr>
        <w:trPr>
          <w:trHeight w:val="228"/>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135,561</w:t>
            </w:r>
          </w:p>
        </w:tc>
        <w:tc>
          <w:tcPr>
            <w:tcW w:w="80" w:type="dxa"/>
            <w:vAlign w:val="bottom"/>
            <w:tcBorders>
              <w:bottom w:val="single" w:sz="8" w:color="CFF0FC"/>
            </w:tcBorders>
          </w:tcPr>
          <w:p>
            <w:pPr>
              <w:spacing w:after="0"/>
              <w:rPr>
                <w:sz w:val="19"/>
                <w:szCs w:val="19"/>
                <w:color w:val="auto"/>
              </w:rPr>
            </w:pPr>
          </w:p>
        </w:tc>
      </w:tr>
      <w:tr>
        <w:trPr>
          <w:trHeight w:val="221"/>
        </w:trPr>
        <w:tc>
          <w:tcPr>
            <w:tcW w:w="6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369,756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8" w:lineRule="exact"/>
        <w:rPr>
          <w:sz w:val="20"/>
          <w:szCs w:val="20"/>
          <w:color w:val="auto"/>
        </w:rPr>
      </w:pPr>
    </w:p>
    <w:p>
      <w:pPr>
        <w:ind w:right="220" w:firstLine="510"/>
        <w:spacing w:after="0" w:line="260" w:lineRule="auto"/>
        <w:rPr>
          <w:sz w:val="20"/>
          <w:szCs w:val="20"/>
          <w:color w:val="auto"/>
        </w:rPr>
      </w:pPr>
      <w:r>
        <w:rPr>
          <w:rFonts w:ascii="Arial" w:cs="Arial" w:eastAsia="Arial" w:hAnsi="Arial"/>
          <w:sz w:val="18"/>
          <w:szCs w:val="18"/>
          <w:color w:val="auto"/>
        </w:rPr>
        <w:t>As of March 31, 2021, there were no material changes in our vendor commitments under non-cancelable arrangements, as disclosed in the Company’s audited consolidated financial statements for the year ended December 31, 2020 and related notes thereto contained in the Company’s Annual Report on Form 10-K, except as noted below.</w:t>
      </w:r>
    </w:p>
    <w:p>
      <w:pPr>
        <w:spacing w:after="0" w:line="252" w:lineRule="exact"/>
        <w:rPr>
          <w:sz w:val="20"/>
          <w:szCs w:val="20"/>
          <w:color w:val="auto"/>
        </w:rPr>
      </w:pPr>
    </w:p>
    <w:p>
      <w:pPr>
        <w:ind w:right="80" w:firstLine="510"/>
        <w:spacing w:after="0" w:line="272" w:lineRule="auto"/>
        <w:rPr>
          <w:sz w:val="20"/>
          <w:szCs w:val="20"/>
          <w:color w:val="auto"/>
        </w:rPr>
      </w:pPr>
      <w:r>
        <w:rPr>
          <w:rFonts w:ascii="Arial" w:cs="Arial" w:eastAsia="Arial" w:hAnsi="Arial"/>
          <w:sz w:val="18"/>
          <w:szCs w:val="18"/>
          <w:color w:val="auto"/>
        </w:rPr>
        <w:t>In March 2021, the Company entered various vendor commitments with contractual obligations of approximately $7.3 million, payable over the two to three year term of the agreements.</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5" w:lineRule="exact"/>
        <w:rPr>
          <w:sz w:val="20"/>
          <w:szCs w:val="20"/>
          <w:color w:val="auto"/>
        </w:rPr>
      </w:pPr>
    </w:p>
    <w:p>
      <w:pPr>
        <w:ind w:right="80" w:firstLine="510"/>
        <w:spacing w:after="0" w:line="260" w:lineRule="auto"/>
        <w:rPr>
          <w:sz w:val="20"/>
          <w:szCs w:val="20"/>
          <w:color w:val="auto"/>
        </w:rPr>
      </w:pPr>
      <w:r>
        <w:rPr>
          <w:rFonts w:ascii="Arial" w:cs="Arial" w:eastAsia="Arial" w:hAnsi="Arial"/>
          <w:sz w:val="18"/>
          <w:szCs w:val="18"/>
          <w:color w:val="212529"/>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Acquisition</w:t>
      </w:r>
    </w:p>
    <w:p>
      <w:pPr>
        <w:spacing w:after="0" w:line="333" w:lineRule="exact"/>
        <w:rPr>
          <w:sz w:val="20"/>
          <w:szCs w:val="20"/>
          <w:color w:val="auto"/>
        </w:rPr>
      </w:pPr>
    </w:p>
    <w:p>
      <w:pPr>
        <w:ind w:right="20" w:firstLine="510"/>
        <w:spacing w:after="0" w:line="276" w:lineRule="auto"/>
        <w:rPr>
          <w:sz w:val="20"/>
          <w:szCs w:val="20"/>
          <w:color w:val="auto"/>
        </w:rPr>
      </w:pPr>
      <w:r>
        <w:rPr>
          <w:rFonts w:ascii="Arial" w:cs="Arial" w:eastAsia="Arial" w:hAnsi="Arial"/>
          <w:sz w:val="17"/>
          <w:szCs w:val="17"/>
          <w:color w:val="212529"/>
        </w:rPr>
        <w:t xml:space="preserve">On February 9, 2021, the Company acquired 100% of the equity interests of Hustle Con Media, Inc. (the “Hustle”), a media company that produces a newsletter, podcast, and premium research content for innovative professionals. </w:t>
      </w:r>
      <w:r>
        <w:rPr>
          <w:rFonts w:ascii="Arial" w:cs="Arial" w:eastAsia="Arial" w:hAnsi="Arial"/>
          <w:sz w:val="17"/>
          <w:szCs w:val="17"/>
          <w:color w:val="000000"/>
        </w:rPr>
        <w:t>The Hustle will enable the Company to better meet the needs of scaling</w:t>
      </w:r>
      <w:r>
        <w:rPr>
          <w:rFonts w:ascii="Arial" w:cs="Arial" w:eastAsia="Arial" w:hAnsi="Arial"/>
          <w:sz w:val="17"/>
          <w:szCs w:val="17"/>
          <w:color w:val="212529"/>
        </w:rPr>
        <w:t xml:space="preserve"> </w:t>
      </w:r>
      <w:r>
        <w:rPr>
          <w:rFonts w:ascii="Arial" w:cs="Arial" w:eastAsia="Arial" w:hAnsi="Arial"/>
          <w:sz w:val="17"/>
          <w:szCs w:val="17"/>
          <w:color w:val="000000"/>
        </w:rPr>
        <w:t xml:space="preserve">companies by delivering educational, business and technology trend content in their preferred formats. The total cash purchase price for the acquisition was </w:t>
      </w:r>
      <w:r>
        <w:rPr>
          <w:rFonts w:ascii="Arial" w:cs="Arial" w:eastAsia="Arial" w:hAnsi="Arial"/>
          <w:sz w:val="17"/>
          <w:szCs w:val="17"/>
          <w:color w:val="212529"/>
        </w:rPr>
        <w:t>$17.2 million, net of cash acquired, which includes an upward working capital adjustment of $0.4 million.</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color w:val="212529"/>
        </w:rPr>
        <w:t>The following table summarizes the fair value of assets acquired and liabilities assumed as of the date of acquisition:</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19" w:name="page20"/>
    <w:bookmarkEnd w:id="19"/>
    <w:tbl>
      <w:tblPr>
        <w:tblLayout w:type="fixed"/>
        <w:tblInd w:w="170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Fair value</w:t>
            </w:r>
          </w:p>
        </w:tc>
      </w:tr>
      <w:tr>
        <w:trPr>
          <w:trHeight w:val="154"/>
        </w:trPr>
        <w:tc>
          <w:tcPr>
            <w:tcW w:w="57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right"/>
              <w:ind w:right="494"/>
              <w:spacing w:after="0" w:line="154"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8"/>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3,089</w:t>
            </w:r>
          </w:p>
        </w:tc>
        <w:tc>
          <w:tcPr>
            <w:tcW w:w="80" w:type="dxa"/>
            <w:vAlign w:val="bottom"/>
            <w:shd w:val="clear" w:color="auto" w:fill="CFF0FC"/>
          </w:tcPr>
          <w:p>
            <w:pPr>
              <w:spacing w:after="0"/>
              <w:rPr>
                <w:sz w:val="19"/>
                <w:szCs w:val="19"/>
                <w:color w:val="auto"/>
              </w:rPr>
            </w:pPr>
          </w:p>
        </w:tc>
      </w:tr>
      <w:tr>
        <w:trPr>
          <w:trHeight w:val="227"/>
        </w:trPr>
        <w:tc>
          <w:tcPr>
            <w:tcW w:w="578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1,153</w:t>
            </w:r>
          </w:p>
        </w:tc>
        <w:tc>
          <w:tcPr>
            <w:tcW w:w="8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and noncurrent assets</w:t>
            </w:r>
          </w:p>
        </w:tc>
        <w:tc>
          <w:tcPr>
            <w:tcW w:w="3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FF0FC"/>
          </w:tcPr>
          <w:p>
            <w:pPr>
              <w:spacing w:after="0"/>
              <w:rPr>
                <w:sz w:val="19"/>
                <w:szCs w:val="19"/>
                <w:color w:val="auto"/>
              </w:rPr>
            </w:pPr>
          </w:p>
        </w:tc>
      </w:tr>
      <w:tr>
        <w:trPr>
          <w:trHeight w:val="227"/>
        </w:trPr>
        <w:tc>
          <w:tcPr>
            <w:tcW w:w="5780" w:type="dxa"/>
            <w:vAlign w:val="bottom"/>
          </w:tcPr>
          <w:p>
            <w:pPr>
              <w:spacing w:after="0"/>
              <w:rPr>
                <w:sz w:val="20"/>
                <w:szCs w:val="20"/>
                <w:color w:val="auto"/>
              </w:rPr>
            </w:pPr>
            <w:r>
              <w:rPr>
                <w:rFonts w:ascii="Arial" w:cs="Arial" w:eastAsia="Arial" w:hAnsi="Arial"/>
                <w:sz w:val="18"/>
                <w:szCs w:val="18"/>
                <w:color w:val="auto"/>
              </w:rPr>
              <w:t>Current backlog asset</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FF0FC"/>
          </w:tcPr>
          <w:p>
            <w:pPr>
              <w:spacing w:after="0"/>
              <w:rPr>
                <w:sz w:val="19"/>
                <w:szCs w:val="19"/>
                <w:color w:val="auto"/>
              </w:rPr>
            </w:pPr>
          </w:p>
        </w:tc>
      </w:tr>
      <w:tr>
        <w:trPr>
          <w:trHeight w:val="227"/>
        </w:trPr>
        <w:tc>
          <w:tcPr>
            <w:tcW w:w="578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16,987</w:t>
            </w:r>
          </w:p>
        </w:tc>
        <w:tc>
          <w:tcPr>
            <w:tcW w:w="8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3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(2,975)</w:t>
            </w:r>
          </w:p>
        </w:tc>
      </w:tr>
      <w:tr>
        <w:trPr>
          <w:trHeight w:val="227"/>
        </w:trPr>
        <w:tc>
          <w:tcPr>
            <w:tcW w:w="5780" w:type="dxa"/>
            <w:vAlign w:val="bottom"/>
          </w:tcPr>
          <w:p>
            <w:pPr>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(825)</w:t>
            </w: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(1,042)</w:t>
            </w:r>
          </w:p>
        </w:tc>
      </w:tr>
      <w:tr>
        <w:trPr>
          <w:trHeight w:val="221"/>
        </w:trPr>
        <w:tc>
          <w:tcPr>
            <w:tcW w:w="5780" w:type="dxa"/>
            <w:vAlign w:val="bottom"/>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20,299</w:t>
            </w:r>
          </w:p>
        </w:tc>
        <w:tc>
          <w:tcPr>
            <w:tcW w:w="8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As part of the purchase price allocation, the Company recorded a net deferred tax liability for approximately $1.0 million related to the difference between the tax basis and fair value of the acquired intangible assets. This net deferred tax liability provided a source of additional income to support the realizability of the Company’s pre-existing, U.S. deferred tax assets. As the Company has recorded a full valuation allowance against its U.S. deferred tax assets, the Company released a portion of its valuation allowance and recorded a corresponding income tax benefit of $1.0 million in the consolidated statement of operations for the period ended March 31, 2021.</w:t>
      </w:r>
    </w:p>
    <w:p>
      <w:pPr>
        <w:spacing w:after="0" w:line="84" w:lineRule="exact"/>
        <w:rPr>
          <w:sz w:val="20"/>
          <w:szCs w:val="20"/>
          <w:color w:val="auto"/>
        </w:rPr>
      </w:pPr>
    </w:p>
    <w:p>
      <w:pPr>
        <w:ind w:right="80" w:firstLine="510"/>
        <w:spacing w:after="0" w:line="276" w:lineRule="auto"/>
        <w:rPr>
          <w:sz w:val="20"/>
          <w:szCs w:val="20"/>
          <w:color w:val="auto"/>
        </w:rPr>
      </w:pPr>
      <w:r>
        <w:rPr>
          <w:rFonts w:ascii="Arial" w:cs="Arial" w:eastAsia="Arial" w:hAnsi="Arial"/>
          <w:sz w:val="17"/>
          <w:szCs w:val="17"/>
          <w:color w:val="auto"/>
        </w:rPr>
        <w:t>The excess of the purchase consideration over the fair value of net tangible and identifiable intangible assets and liabilities acquired was recorded as goodwill. The Company believes the goodwill is attributable to the significant value obtained from the Company utilizing the advertising space within the Hustle’s newsletter and podcast, as well as the market influence of the premium research content to promote its products to the Hustle’s customer base and acquire new customers. The goodwill recognized is not deductible for U.S. or foreign income tax purposes.</w:t>
      </w:r>
    </w:p>
    <w:p>
      <w:pPr>
        <w:spacing w:after="0" w:line="6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 xml:space="preserve">The Company applied income approach to estimate the fair values of the intangible assets acquired. The primary intangible asset acquired in the business acquisition was customer relationships and the fair value of </w:t>
      </w:r>
      <w:r>
        <w:rPr>
          <w:rFonts w:ascii="Arial" w:cs="Arial" w:eastAsia="Arial" w:hAnsi="Arial"/>
          <w:sz w:val="16"/>
          <w:szCs w:val="16"/>
          <w:color w:val="212529"/>
        </w:rPr>
        <w:t>$2.4</w:t>
      </w:r>
      <w:r>
        <w:rPr>
          <w:rFonts w:ascii="Arial" w:cs="Arial" w:eastAsia="Arial" w:hAnsi="Arial"/>
          <w:sz w:val="16"/>
          <w:szCs w:val="16"/>
          <w:color w:val="auto"/>
        </w:rPr>
        <w:t xml:space="preserve"> million was determined based on the estimated present value of expected after-tax cash flows attributable to subscribers using an excess earnings method. The Company applied various estimates and assumptions with respect to forecasted revenue growth rates, the revenue attributable to the existing customers over time and the discount rate. The fair values assigned to the other tangible and identifiable intangible assets acquired and liabilities assumed as part of the business combination were based on management’s estimates and assumptions.</w:t>
      </w:r>
    </w:p>
    <w:p>
      <w:pPr>
        <w:spacing w:after="0" w:line="57" w:lineRule="exact"/>
        <w:rPr>
          <w:sz w:val="20"/>
          <w:szCs w:val="20"/>
          <w:color w:val="auto"/>
        </w:rPr>
      </w:pPr>
    </w:p>
    <w:p>
      <w:pPr>
        <w:ind w:firstLine="510"/>
        <w:spacing w:after="0" w:line="336" w:lineRule="auto"/>
        <w:rPr>
          <w:sz w:val="20"/>
          <w:szCs w:val="20"/>
          <w:color w:val="auto"/>
        </w:rPr>
      </w:pPr>
      <w:r>
        <w:rPr>
          <w:rFonts w:ascii="Arial" w:cs="Arial" w:eastAsia="Arial" w:hAnsi="Arial"/>
          <w:sz w:val="16"/>
          <w:szCs w:val="16"/>
          <w:color w:val="auto"/>
        </w:rPr>
        <w:t xml:space="preserve">The Company began amortizing the customer relationships on the date of acquisition over a period of </w:t>
      </w:r>
      <w:r>
        <w:rPr>
          <w:rFonts w:ascii="Arial" w:cs="Arial" w:eastAsia="Arial" w:hAnsi="Arial"/>
          <w:sz w:val="16"/>
          <w:szCs w:val="16"/>
          <w:color w:val="212529"/>
        </w:rPr>
        <w:t>seven years</w:t>
      </w:r>
      <w:r>
        <w:rPr>
          <w:rFonts w:ascii="Arial" w:cs="Arial" w:eastAsia="Arial" w:hAnsi="Arial"/>
          <w:sz w:val="16"/>
          <w:szCs w:val="16"/>
          <w:color w:val="auto"/>
        </w:rPr>
        <w:t xml:space="preserve"> based on expected future cash flow attributable to existing customers. The amortization expense is recorded to sales and marketing expense in the consolidated statements of operations.</w:t>
      </w:r>
    </w:p>
    <w:p>
      <w:pPr>
        <w:spacing w:after="0" w:line="21"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The Company has included the operating results of the Hustle in its consolidated financial statements since the date of the acquisition. The acquisition did not have a material effect on the revenue or earnings in the consolidated income statement for the reporting periods presented. The pro forma results of the Company as if the acquisition had taken place on the first day of 2020 were not materially different from the amounts reflected in the accompanying consolidated financial statements.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626"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13. Changes in Stockholders’ Equity</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changes in stockholders’ equity for the three months ended March 31, 2021 and 2020.</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320" w:type="dxa"/>
            <w:vAlign w:val="bottom"/>
            <w:gridSpan w:val="4"/>
          </w:tcPr>
          <w:p>
            <w:pPr>
              <w:jc w:val="center"/>
              <w:ind w:left="196"/>
              <w:spacing w:after="0"/>
              <w:rPr>
                <w:sz w:val="20"/>
                <w:szCs w:val="20"/>
                <w:color w:val="auto"/>
              </w:rPr>
            </w:pPr>
            <w:r>
              <w:rPr>
                <w:rFonts w:ascii="Arial" w:cs="Arial" w:eastAsia="Arial" w:hAnsi="Arial"/>
                <w:sz w:val="14"/>
                <w:szCs w:val="14"/>
                <w:b w:val="1"/>
                <w:bCs w:val="1"/>
                <w:color w:val="auto"/>
                <w:w w:val="92"/>
              </w:rPr>
              <w:t>Common</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4"/>
            <w:vMerge w:val="restart"/>
          </w:tcPr>
          <w:p>
            <w:pPr>
              <w:jc w:val="right"/>
              <w:ind w:right="32"/>
              <w:spacing w:after="0"/>
              <w:rPr>
                <w:sz w:val="20"/>
                <w:szCs w:val="20"/>
                <w:color w:val="auto"/>
              </w:rPr>
            </w:pPr>
            <w:r>
              <w:rPr>
                <w:rFonts w:ascii="Arial" w:cs="Arial" w:eastAsia="Arial" w:hAnsi="Arial"/>
                <w:sz w:val="14"/>
                <w:szCs w:val="14"/>
                <w:b w:val="1"/>
                <w:bCs w:val="1"/>
                <w:color w:val="auto"/>
                <w:w w:val="97"/>
              </w:rPr>
              <w:t>Treasury Stock, $0.001</w:t>
            </w:r>
          </w:p>
        </w:tc>
        <w:tc>
          <w:tcPr>
            <w:tcW w:w="18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320" w:type="dxa"/>
            <w:vAlign w:val="bottom"/>
            <w:gridSpan w:val="4"/>
          </w:tcPr>
          <w:p>
            <w:pPr>
              <w:jc w:val="center"/>
              <w:ind w:left="196"/>
              <w:spacing w:after="0" w:line="147" w:lineRule="exact"/>
              <w:rPr>
                <w:sz w:val="20"/>
                <w:szCs w:val="20"/>
                <w:color w:val="auto"/>
              </w:rPr>
            </w:pPr>
            <w:r>
              <w:rPr>
                <w:rFonts w:ascii="Arial" w:cs="Arial" w:eastAsia="Arial" w:hAnsi="Arial"/>
                <w:sz w:val="14"/>
                <w:szCs w:val="14"/>
                <w:b w:val="1"/>
                <w:bCs w:val="1"/>
                <w:color w:val="auto"/>
                <w:w w:val="90"/>
              </w:rPr>
              <w:t>Stock, $0.001</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Other</w:t>
            </w:r>
          </w:p>
        </w:tc>
        <w:tc>
          <w:tcPr>
            <w:tcW w:w="1000" w:type="dxa"/>
            <w:vAlign w:val="bottom"/>
            <w:gridSpan w:val="3"/>
            <w:vMerge w:val="restart"/>
          </w:tcPr>
          <w:p>
            <w:pPr>
              <w:jc w:val="right"/>
              <w:ind w:right="62"/>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600" w:type="dxa"/>
            <w:vAlign w:val="bottom"/>
          </w:tcPr>
          <w:p>
            <w:pPr>
              <w:spacing w:after="0"/>
              <w:rPr>
                <w:sz w:val="14"/>
                <w:szCs w:val="14"/>
                <w:color w:val="auto"/>
              </w:rPr>
            </w:pPr>
          </w:p>
        </w:tc>
        <w:tc>
          <w:tcPr>
            <w:tcW w:w="1320" w:type="dxa"/>
            <w:vAlign w:val="bottom"/>
            <w:tcBorders>
              <w:bottom w:val="single" w:sz="8" w:color="auto"/>
            </w:tcBorders>
            <w:gridSpan w:val="4"/>
          </w:tcPr>
          <w:p>
            <w:pPr>
              <w:jc w:val="center"/>
              <w:ind w:left="196"/>
              <w:spacing w:after="0"/>
              <w:rPr>
                <w:sz w:val="20"/>
                <w:szCs w:val="20"/>
                <w:color w:val="auto"/>
              </w:rPr>
            </w:pPr>
            <w:r>
              <w:rPr>
                <w:rFonts w:ascii="Arial" w:cs="Arial" w:eastAsia="Arial" w:hAnsi="Arial"/>
                <w:sz w:val="14"/>
                <w:szCs w:val="14"/>
                <w:b w:val="1"/>
                <w:bCs w:val="1"/>
                <w:color w:val="auto"/>
                <w:w w:val="93"/>
              </w:rPr>
              <w:t>Par Value</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Par Value</w:t>
            </w:r>
          </w:p>
        </w:tc>
        <w:tc>
          <w:tcPr>
            <w:tcW w:w="1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10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6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9"/>
                <w:szCs w:val="19"/>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75"/>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9"/>
                <w:szCs w:val="19"/>
                <w:color w:val="auto"/>
              </w:rPr>
            </w:pPr>
          </w:p>
        </w:tc>
        <w:tc>
          <w:tcPr>
            <w:tcW w:w="94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1"/>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December 31, 2020</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46,115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$ 1,241,167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(483,161)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762,655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600" w:type="dxa"/>
            <w:vAlign w:val="bottom"/>
          </w:tcPr>
          <w:p>
            <w:pPr>
              <w:spacing w:after="0"/>
              <w:rPr>
                <w:sz w:val="20"/>
                <w:szCs w:val="20"/>
                <w:color w:val="auto"/>
              </w:rPr>
            </w:pPr>
            <w:r>
              <w:rPr>
                <w:rFonts w:ascii="Arial" w:cs="Arial" w:eastAsia="Arial" w:hAnsi="Arial"/>
                <w:sz w:val="18"/>
                <w:szCs w:val="18"/>
                <w:color w:val="auto"/>
                <w:w w:val="90"/>
              </w:rPr>
              <w:t>Issuance of common stock under stock plans, net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0" w:type="dxa"/>
            <w:vAlign w:val="bottom"/>
          </w:tcPr>
          <w:p>
            <w:pPr>
              <w:ind w:left="140"/>
              <w:spacing w:after="0"/>
              <w:rPr>
                <w:sz w:val="20"/>
                <w:szCs w:val="20"/>
                <w:color w:val="auto"/>
              </w:rPr>
            </w:pPr>
            <w:r>
              <w:rPr>
                <w:rFonts w:ascii="Arial" w:cs="Arial" w:eastAsia="Arial" w:hAnsi="Arial"/>
                <w:sz w:val="18"/>
                <w:szCs w:val="18"/>
                <w:color w:val="auto"/>
              </w:rPr>
              <w:t>of shares withheld</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00" w:type="dxa"/>
            <w:vAlign w:val="bottom"/>
          </w:tcPr>
          <w:p>
            <w:pPr>
              <w:ind w:left="140"/>
              <w:spacing w:after="0"/>
              <w:rPr>
                <w:sz w:val="20"/>
                <w:szCs w:val="20"/>
                <w:color w:val="auto"/>
              </w:rPr>
            </w:pPr>
            <w:r>
              <w:rPr>
                <w:rFonts w:ascii="Arial" w:cs="Arial" w:eastAsia="Arial" w:hAnsi="Arial"/>
                <w:sz w:val="18"/>
                <w:szCs w:val="18"/>
                <w:color w:val="auto"/>
              </w:rPr>
              <w:t>for employee taxes</w:t>
            </w:r>
          </w:p>
        </w:tc>
        <w:tc>
          <w:tcPr>
            <w:tcW w:w="860" w:type="dxa"/>
            <w:vAlign w:val="bottom"/>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6,582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32,947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32,947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tcPr>
          <w:p>
            <w:pPr>
              <w:spacing w:after="0"/>
              <w:rPr>
                <w:sz w:val="20"/>
                <w:szCs w:val="20"/>
                <w:color w:val="auto"/>
              </w:rPr>
            </w:pPr>
            <w:r>
              <w:rPr>
                <w:rFonts w:ascii="Arial" w:cs="Arial" w:eastAsia="Arial" w:hAnsi="Arial"/>
                <w:sz w:val="18"/>
                <w:szCs w:val="18"/>
                <w:color w:val="auto"/>
                <w:w w:val="91"/>
              </w:rPr>
              <w:t>Equity component of the 2022 Notes conversions</w:t>
            </w:r>
          </w:p>
        </w:tc>
        <w:tc>
          <w:tcPr>
            <w:tcW w:w="860" w:type="dxa"/>
            <w:vAlign w:val="bottom"/>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(2,307)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Settlement of Convertible Note Hedges</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(2,489)</w:t>
            </w:r>
          </w:p>
        </w:tc>
        <w:tc>
          <w:tcPr>
            <w:tcW w:w="6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14"/>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 on investments, net of</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 of ($36)</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8"/>
        </w:trPr>
        <w:tc>
          <w:tcPr>
            <w:tcW w:w="360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(23,159)</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(23,159)</w:t>
            </w:r>
          </w:p>
        </w:tc>
        <w:tc>
          <w:tcPr>
            <w:tcW w:w="0" w:type="dxa"/>
            <w:vAlign w:val="bottom"/>
          </w:tcPr>
          <w:p>
            <w:pPr>
              <w:spacing w:after="0"/>
              <w:rPr>
                <w:sz w:val="1"/>
                <w:szCs w:val="1"/>
                <w:color w:val="auto"/>
              </w:rPr>
            </w:pPr>
          </w:p>
        </w:tc>
      </w:tr>
      <w:tr>
        <w:trPr>
          <w:trHeight w:val="221"/>
        </w:trPr>
        <w:tc>
          <w:tcPr>
            <w:tcW w:w="3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March 31, 2021</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46,596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$ 1,279,113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 (506,320</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$ 774,714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80" w:type="dxa"/>
            <w:vAlign w:val="bottom"/>
            <w:gridSpan w:val="2"/>
          </w:tcPr>
          <w:p>
            <w:pPr>
              <w:jc w:val="center"/>
              <w:ind w:left="577"/>
              <w:spacing w:after="0"/>
              <w:rPr>
                <w:sz w:val="20"/>
                <w:szCs w:val="20"/>
                <w:color w:val="auto"/>
              </w:rPr>
            </w:pPr>
            <w:r>
              <w:rPr>
                <w:rFonts w:ascii="Arial" w:cs="Arial" w:eastAsia="Arial" w:hAnsi="Arial"/>
                <w:sz w:val="14"/>
                <w:szCs w:val="14"/>
                <w:b w:val="1"/>
                <w:bCs w:val="1"/>
                <w:color w:val="auto"/>
                <w:w w:val="95"/>
              </w:rPr>
              <w:t>Common</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460" w:type="dxa"/>
            <w:vAlign w:val="bottom"/>
          </w:tcPr>
          <w:p>
            <w:pPr>
              <w:spacing w:after="0"/>
              <w:rPr>
                <w:sz w:val="12"/>
                <w:szCs w:val="12"/>
                <w:color w:val="auto"/>
              </w:rPr>
            </w:pPr>
          </w:p>
        </w:tc>
        <w:tc>
          <w:tcPr>
            <w:tcW w:w="1560" w:type="dxa"/>
            <w:vAlign w:val="bottom"/>
            <w:gridSpan w:val="3"/>
          </w:tcPr>
          <w:p>
            <w:pPr>
              <w:jc w:val="center"/>
              <w:ind w:left="297"/>
              <w:spacing w:after="0" w:line="147" w:lineRule="exact"/>
              <w:rPr>
                <w:sz w:val="20"/>
                <w:szCs w:val="20"/>
                <w:color w:val="auto"/>
              </w:rPr>
            </w:pPr>
            <w:r>
              <w:rPr>
                <w:rFonts w:ascii="Arial" w:cs="Arial" w:eastAsia="Arial" w:hAnsi="Arial"/>
                <w:sz w:val="14"/>
                <w:szCs w:val="14"/>
                <w:b w:val="1"/>
                <w:bCs w:val="1"/>
                <w:color w:val="auto"/>
                <w:w w:val="92"/>
              </w:rPr>
              <w:t>Stock, $0.001</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460" w:type="dxa"/>
            <w:vAlign w:val="bottom"/>
          </w:tcPr>
          <w:p>
            <w:pPr>
              <w:spacing w:after="0"/>
              <w:rPr>
                <w:sz w:val="14"/>
                <w:szCs w:val="14"/>
                <w:color w:val="auto"/>
              </w:rPr>
            </w:pPr>
          </w:p>
        </w:tc>
        <w:tc>
          <w:tcPr>
            <w:tcW w:w="1280" w:type="dxa"/>
            <w:vAlign w:val="bottom"/>
            <w:tcBorders>
              <w:bottom w:val="single" w:sz="8" w:color="auto"/>
            </w:tcBorders>
            <w:gridSpan w:val="2"/>
          </w:tcPr>
          <w:p>
            <w:pPr>
              <w:jc w:val="center"/>
              <w:ind w:left="577"/>
              <w:spacing w:after="0"/>
              <w:rPr>
                <w:sz w:val="20"/>
                <w:szCs w:val="20"/>
                <w:color w:val="auto"/>
              </w:rPr>
            </w:pPr>
            <w:r>
              <w:rPr>
                <w:rFonts w:ascii="Arial" w:cs="Arial" w:eastAsia="Arial" w:hAnsi="Arial"/>
                <w:sz w:val="14"/>
                <w:szCs w:val="14"/>
                <w:b w:val="1"/>
                <w:bCs w:val="1"/>
                <w:color w:val="auto"/>
                <w:w w:val="97"/>
              </w:rPr>
              <w:t>Par Value</w:t>
            </w: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460" w:type="dxa"/>
            <w:vAlign w:val="bottom"/>
          </w:tcPr>
          <w:p>
            <w:pPr>
              <w:spacing w:after="0"/>
              <w:rPr>
                <w:sz w:val="13"/>
                <w:szCs w:val="13"/>
                <w:color w:val="auto"/>
              </w:rPr>
            </w:pPr>
          </w:p>
        </w:tc>
        <w:tc>
          <w:tcPr>
            <w:tcW w:w="1280" w:type="dxa"/>
            <w:vAlign w:val="bottom"/>
            <w:gridSpan w:val="2"/>
          </w:tcPr>
          <w:p>
            <w:pPr>
              <w:ind w:left="300"/>
              <w:spacing w:after="0" w:line="154" w:lineRule="exact"/>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jc w:val="right"/>
              <w:ind w:right="11"/>
              <w:spacing w:after="0" w:line="154"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060" w:type="dxa"/>
            <w:vAlign w:val="bottom"/>
            <w:gridSpan w:val="2"/>
          </w:tcPr>
          <w:p>
            <w:pPr>
              <w:jc w:val="center"/>
              <w:ind w:right="180"/>
              <w:spacing w:after="0" w:line="154"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3"/>
                <w:szCs w:val="13"/>
                <w:color w:val="auto"/>
              </w:rPr>
            </w:pPr>
          </w:p>
        </w:tc>
        <w:tc>
          <w:tcPr>
            <w:tcW w:w="900" w:type="dxa"/>
            <w:vAlign w:val="bottom"/>
            <w:gridSpan w:val="2"/>
          </w:tcPr>
          <w:p>
            <w:pPr>
              <w:jc w:val="center"/>
              <w:ind w:right="320"/>
              <w:spacing w:after="0" w:line="154" w:lineRule="exact"/>
              <w:rPr>
                <w:sz w:val="20"/>
                <w:szCs w:val="20"/>
                <w:color w:val="auto"/>
              </w:rPr>
            </w:pPr>
            <w:r>
              <w:rPr>
                <w:rFonts w:ascii="Arial" w:cs="Arial" w:eastAsia="Arial" w:hAnsi="Arial"/>
                <w:sz w:val="14"/>
                <w:szCs w:val="14"/>
                <w:b w:val="1"/>
                <w:bCs w:val="1"/>
                <w:color w:val="auto"/>
                <w:w w:val="90"/>
              </w:rPr>
              <w:t>(Loss)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520"/>
              <w:spacing w:after="0" w:line="154"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3"/>
                <w:szCs w:val="13"/>
                <w:color w:val="auto"/>
              </w:rPr>
            </w:pPr>
          </w:p>
        </w:tc>
        <w:tc>
          <w:tcPr>
            <w:tcW w:w="940" w:type="dxa"/>
            <w:vAlign w:val="bottom"/>
            <w:gridSpan w:val="2"/>
          </w:tcPr>
          <w:p>
            <w:pPr>
              <w:jc w:val="right"/>
              <w:ind w:right="480"/>
              <w:spacing w:after="0" w:line="154"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1"/>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December 31,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42,955</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$ 1,048,380</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(398,130)</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649,958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60" w:type="dxa"/>
            <w:vAlign w:val="bottom"/>
          </w:tcPr>
          <w:p>
            <w:pPr>
              <w:spacing w:after="0"/>
              <w:rPr>
                <w:sz w:val="20"/>
                <w:szCs w:val="20"/>
                <w:color w:val="auto"/>
              </w:rPr>
            </w:pPr>
            <w:r>
              <w:rPr>
                <w:rFonts w:ascii="Arial" w:cs="Arial" w:eastAsia="Arial" w:hAnsi="Arial"/>
                <w:sz w:val="18"/>
                <w:szCs w:val="18"/>
                <w:color w:val="auto"/>
                <w:w w:val="93"/>
              </w:rPr>
              <w:t>Issuance of common stock under stock plans, net of shares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460" w:type="dxa"/>
            <w:vAlign w:val="bottom"/>
          </w:tcPr>
          <w:p>
            <w:pPr>
              <w:ind w:left="140"/>
              <w:spacing w:after="0"/>
              <w:rPr>
                <w:sz w:val="20"/>
                <w:szCs w:val="20"/>
                <w:color w:val="auto"/>
              </w:rPr>
            </w:pPr>
            <w:r>
              <w:rPr>
                <w:rFonts w:ascii="Arial" w:cs="Arial" w:eastAsia="Arial" w:hAnsi="Arial"/>
                <w:sz w:val="18"/>
                <w:szCs w:val="18"/>
                <w:color w:val="auto"/>
              </w:rPr>
              <w:t>withheld for employee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6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(1,077)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w w:val="96"/>
              </w:rPr>
              <w:t>Unrealized gain on investments, net of income taxes of $0</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6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(17,716)</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(17,716)</w:t>
            </w:r>
          </w:p>
        </w:tc>
        <w:tc>
          <w:tcPr>
            <w:tcW w:w="0" w:type="dxa"/>
            <w:vAlign w:val="bottom"/>
          </w:tcPr>
          <w:p>
            <w:pPr>
              <w:spacing w:after="0"/>
              <w:rPr>
                <w:sz w:val="1"/>
                <w:szCs w:val="1"/>
                <w:color w:val="auto"/>
              </w:rPr>
            </w:pPr>
          </w:p>
        </w:tc>
      </w:tr>
      <w:tr>
        <w:trPr>
          <w:trHeight w:val="221"/>
        </w:trPr>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March 31, 2020</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43,366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$ 1,077,605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(415,846)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660,973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Changes in Accumulated Other Comprehensive Loss</w:t>
      </w:r>
    </w:p>
    <w:p>
      <w:pPr>
        <w:spacing w:after="0" w:line="119" w:lineRule="exact"/>
        <w:rPr>
          <w:sz w:val="20"/>
          <w:szCs w:val="20"/>
          <w:color w:val="auto"/>
        </w:rPr>
      </w:pPr>
    </w:p>
    <w:p>
      <w:pPr>
        <w:ind w:right="80" w:firstLine="510"/>
        <w:spacing w:after="0" w:line="272" w:lineRule="auto"/>
        <w:rPr>
          <w:sz w:val="20"/>
          <w:szCs w:val="20"/>
          <w:color w:val="auto"/>
        </w:rPr>
      </w:pPr>
      <w:r>
        <w:rPr>
          <w:rFonts w:ascii="Arial" w:cs="Arial" w:eastAsia="Arial" w:hAnsi="Arial"/>
          <w:sz w:val="18"/>
          <w:szCs w:val="18"/>
          <w:color w:val="auto"/>
        </w:rPr>
        <w:t>The following table summarizes the changes in accumulated other comprehensive loss, which is reported as a component of stockholders’ equity, for the three months ended March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Cumulative</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Unrealized Gain</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40" w:type="dxa"/>
            <w:vAlign w:val="bottom"/>
            <w:gridSpan w:val="2"/>
          </w:tcPr>
          <w:p>
            <w:pPr>
              <w:jc w:val="right"/>
              <w:ind w:right="380"/>
              <w:spacing w:after="0" w:line="147" w:lineRule="exact"/>
              <w:rPr>
                <w:sz w:val="20"/>
                <w:szCs w:val="20"/>
                <w:color w:val="auto"/>
              </w:rPr>
            </w:pPr>
            <w:r>
              <w:rPr>
                <w:rFonts w:ascii="Arial" w:cs="Arial" w:eastAsia="Arial" w:hAnsi="Arial"/>
                <w:sz w:val="14"/>
                <w:szCs w:val="14"/>
                <w:b w:val="1"/>
                <w:bCs w:val="1"/>
                <w:color w:val="auto"/>
              </w:rPr>
              <w:t>Translation</w:t>
            </w:r>
          </w:p>
        </w:tc>
        <w:tc>
          <w:tcPr>
            <w:tcW w:w="13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on</w:t>
            </w: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Adjustment</w:t>
            </w: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Investments</w:t>
            </w:r>
          </w:p>
        </w:tc>
        <w:tc>
          <w:tcPr>
            <w:tcW w:w="114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4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10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at January 1, 2021</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4,180</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4,603</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(2,489)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(2,729)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reclassified from accumulated other comprehensive</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2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income</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80" w:type="dxa"/>
            <w:vAlign w:val="bottom"/>
            <w:gridSpan w:val="2"/>
          </w:tcPr>
          <w:p>
            <w:pPr>
              <w:ind w:left="1140"/>
              <w:spacing w:after="0"/>
              <w:rPr>
                <w:sz w:val="20"/>
                <w:szCs w:val="20"/>
                <w:color w:val="auto"/>
              </w:rPr>
            </w:pPr>
            <w:r>
              <w:rPr>
                <w:rFonts w:ascii="Arial" w:cs="Arial" w:eastAsia="Arial" w:hAnsi="Arial"/>
                <w:sz w:val="18"/>
                <w:szCs w:val="18"/>
                <w:color w:val="auto"/>
              </w:rPr>
              <w:t>Ending balance at March 31, 2021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20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jc w:val="right"/>
              <w:ind w:right="571"/>
              <w:spacing w:after="0"/>
              <w:rPr>
                <w:sz w:val="20"/>
                <w:szCs w:val="20"/>
                <w:color w:val="auto"/>
              </w:rPr>
            </w:pPr>
            <w:r>
              <w:rPr>
                <w:rFonts w:ascii="Arial" w:cs="Arial" w:eastAsia="Arial" w:hAnsi="Arial"/>
                <w:sz w:val="18"/>
                <w:szCs w:val="18"/>
                <w:color w:val="auto"/>
              </w:rPr>
              <w:t>21</w:t>
            </w: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638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4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15. Stock-Based Compensation Expense</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two tables show stock-based compensation expense by award type and where the stock-based compensation expense is recorded in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statements of operations:</w:t>
      </w:r>
    </w:p>
    <w:p>
      <w:pPr>
        <w:spacing w:after="0" w:line="281"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540" w:type="dxa"/>
            <w:vAlign w:val="bottom"/>
            <w:tcBorders>
              <w:bottom w:val="single" w:sz="8" w:color="auto"/>
            </w:tcBorders>
            <w:gridSpan w:val="4"/>
          </w:tcPr>
          <w:p>
            <w:pPr>
              <w:jc w:val="center"/>
              <w:ind w:left="440"/>
              <w:spacing w:after="0"/>
              <w:rPr>
                <w:sz w:val="20"/>
                <w:szCs w:val="20"/>
                <w:color w:val="auto"/>
              </w:rPr>
            </w:pPr>
            <w:r>
              <w:rPr>
                <w:rFonts w:ascii="Arial" w:cs="Arial" w:eastAsia="Arial" w:hAnsi="Arial"/>
                <w:sz w:val="14"/>
                <w:szCs w:val="14"/>
                <w:b w:val="1"/>
                <w:bCs w:val="1"/>
                <w:color w:val="auto"/>
                <w:w w:val="95"/>
              </w:rPr>
              <w:t>Three Months End 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gridSpan w:val="3"/>
          </w:tcPr>
          <w:p>
            <w:pPr>
              <w:jc w:val="center"/>
              <w:ind w:right="277"/>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880" w:type="dxa"/>
            <w:vAlign w:val="bottom"/>
            <w:shd w:val="clear" w:color="auto" w:fill="CFF0FC"/>
          </w:tcPr>
          <w:p>
            <w:pPr>
              <w:jc w:val="right"/>
              <w:ind w:right="7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RSUs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28,737</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24,303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8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2,092</w:t>
            </w:r>
          </w:p>
        </w:tc>
        <w:tc>
          <w:tcPr>
            <w:tcW w:w="2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880" w:type="dxa"/>
            <w:vAlign w:val="bottom"/>
            <w:tcBorders>
              <w:bottom w:val="single" w:sz="8" w:color="auto"/>
            </w:tcBorders>
          </w:tcPr>
          <w:p>
            <w:pPr>
              <w:jc w:val="right"/>
              <w:ind w:right="70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32,423</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Effect of stock-based compensation expense on income by line item:</w:t>
            </w: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69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540" w:type="dxa"/>
            <w:vAlign w:val="bottom"/>
            <w:tcBorders>
              <w:bottom w:val="single" w:sz="8" w:color="auto"/>
            </w:tcBorders>
            <w:gridSpan w:val="4"/>
          </w:tcPr>
          <w:p>
            <w:pPr>
              <w:jc w:val="center"/>
              <w:ind w:left="440"/>
              <w:spacing w:after="0"/>
              <w:rPr>
                <w:sz w:val="20"/>
                <w:szCs w:val="20"/>
                <w:color w:val="auto"/>
              </w:rPr>
            </w:pPr>
            <w:r>
              <w:rPr>
                <w:rFonts w:ascii="Arial" w:cs="Arial" w:eastAsia="Arial" w:hAnsi="Arial"/>
                <w:sz w:val="14"/>
                <w:szCs w:val="14"/>
                <w:b w:val="1"/>
                <w:bCs w:val="1"/>
                <w:color w:val="auto"/>
                <w:w w:val="95"/>
              </w:rPr>
              <w:t>Three Months End March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gridSpan w:val="3"/>
          </w:tcPr>
          <w:p>
            <w:pPr>
              <w:jc w:val="center"/>
              <w:ind w:right="277"/>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subscription</w:t>
            </w:r>
          </w:p>
        </w:tc>
        <w:tc>
          <w:tcPr>
            <w:tcW w:w="880" w:type="dxa"/>
            <w:vAlign w:val="bottom"/>
            <w:shd w:val="clear" w:color="auto" w:fill="CFF0FC"/>
          </w:tcPr>
          <w:p>
            <w:pPr>
              <w:jc w:val="right"/>
              <w:ind w:right="7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Cost of revenue, professional services and other</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697</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11,484</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13,629</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5,303</w:t>
            </w:r>
          </w:p>
        </w:tc>
        <w:tc>
          <w:tcPr>
            <w:tcW w:w="2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80" w:type="dxa"/>
            <w:vAlign w:val="bottom"/>
            <w:gridSpan w:val="2"/>
          </w:tcPr>
          <w:p>
            <w:pPr>
              <w:ind w:left="60"/>
              <w:spacing w:after="0"/>
              <w:rPr>
                <w:sz w:val="20"/>
                <w:szCs w:val="20"/>
                <w:color w:val="auto"/>
              </w:rPr>
            </w:pPr>
            <w:r>
              <w:rPr>
                <w:rFonts w:ascii="Arial" w:cs="Arial" w:eastAsia="Arial" w:hAnsi="Arial"/>
                <w:sz w:val="18"/>
                <w:szCs w:val="18"/>
                <w:color w:val="auto"/>
              </w:rPr>
              <w:t>Total stock-based compensation expense</w:t>
            </w:r>
          </w:p>
        </w:tc>
        <w:tc>
          <w:tcPr>
            <w:tcW w:w="880" w:type="dxa"/>
            <w:vAlign w:val="bottom"/>
            <w:tcBorders>
              <w:bottom w:val="single" w:sz="8" w:color="auto"/>
            </w:tcBorders>
          </w:tcPr>
          <w:p>
            <w:pPr>
              <w:jc w:val="right"/>
              <w:ind w:right="70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32,423</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20" w:firstLine="510"/>
        <w:spacing w:after="0" w:line="272" w:lineRule="auto"/>
        <w:rPr>
          <w:sz w:val="20"/>
          <w:szCs w:val="20"/>
          <w:color w:val="auto"/>
        </w:rPr>
      </w:pPr>
      <w:r>
        <w:rPr>
          <w:rFonts w:ascii="Arial" w:cs="Arial" w:eastAsia="Arial" w:hAnsi="Arial"/>
          <w:sz w:val="18"/>
          <w:szCs w:val="18"/>
          <w:color w:val="auto"/>
        </w:rPr>
        <w:t>Capitalized software development costs excluded from stock-based compensation expense is $1.1 million for the three months ended March 31, 2021 and $848 thousand for the three months ended March 31, 2020.</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 and Geographic Data</w:t>
      </w:r>
    </w:p>
    <w:p>
      <w:pPr>
        <w:spacing w:after="0" w:line="119"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 the performance of these resources on a consolidated basis. Since the Company operates in one operating segment, all required financial segment information can be found in the consolidated financial statements. Revenue and long-lived assets by geographic region, based on the physical location of the operations recording the sale or the asset, are as follows: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geographical region:</w:t>
      </w:r>
    </w:p>
    <w:p>
      <w:pPr>
        <w:spacing w:after="0" w:line="29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 March 31,</w:t>
            </w:r>
          </w:p>
        </w:tc>
        <w:tc>
          <w:tcPr>
            <w:tcW w:w="0" w:type="dxa"/>
            <w:vAlign w:val="bottom"/>
          </w:tcPr>
          <w:p>
            <w:pPr>
              <w:spacing w:after="0"/>
              <w:rPr>
                <w:sz w:val="1"/>
                <w:szCs w:val="1"/>
                <w:color w:val="auto"/>
              </w:rPr>
            </w:pPr>
          </w:p>
        </w:tc>
      </w:tr>
      <w:tr>
        <w:trPr>
          <w:trHeight w:val="154"/>
        </w:trPr>
        <w:tc>
          <w:tcPr>
            <w:tcW w:w="3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7"/>
              <w:spacing w:after="0" w:line="154"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4"/>
              <w:spacing w:after="0" w:line="154"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3"/>
          </w:tcPr>
          <w:p>
            <w:pPr>
              <w:jc w:val="right"/>
              <w:ind w:right="31"/>
              <w:spacing w:after="0" w:line="153"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820" w:type="dxa"/>
            <w:vAlign w:val="bottom"/>
          </w:tcPr>
          <w:p>
            <w:pPr>
              <w:spacing w:after="0"/>
              <w:rPr>
                <w:sz w:val="20"/>
                <w:szCs w:val="20"/>
                <w:color w:val="auto"/>
              </w:rPr>
            </w:pPr>
            <w:r>
              <w:rPr>
                <w:rFonts w:ascii="Arial" w:cs="Arial" w:eastAsia="Arial" w:hAnsi="Arial"/>
                <w:sz w:val="18"/>
                <w:szCs w:val="18"/>
                <w:color w:val="auto"/>
              </w:rPr>
              <w:t>Americas</w:t>
            </w:r>
          </w:p>
        </w:tc>
        <w:tc>
          <w:tcPr>
            <w:tcW w:w="118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173,870</w:t>
            </w:r>
          </w:p>
        </w:tc>
        <w:tc>
          <w:tcPr>
            <w:tcW w:w="26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131,139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83,370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52,671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 Pacific</w:t>
            </w:r>
          </w:p>
        </w:tc>
        <w:tc>
          <w:tcPr>
            <w:tcW w:w="8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24,125</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281,365</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198,968</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Percentage of revenues generated outside</w:t>
            </w:r>
          </w:p>
        </w:tc>
        <w:tc>
          <w:tcPr>
            <w:tcW w:w="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140"/>
              <w:spacing w:after="0"/>
              <w:rPr>
                <w:sz w:val="20"/>
                <w:szCs w:val="20"/>
                <w:color w:val="auto"/>
              </w:rPr>
            </w:pPr>
            <w:r>
              <w:rPr>
                <w:rFonts w:ascii="Arial" w:cs="Arial" w:eastAsia="Arial" w:hAnsi="Arial"/>
                <w:sz w:val="18"/>
                <w:szCs w:val="18"/>
                <w:color w:val="auto"/>
              </w:rPr>
              <w:t>of the Americas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100" w:firstLine="510"/>
        <w:spacing w:after="0" w:line="272" w:lineRule="auto"/>
        <w:rPr>
          <w:sz w:val="20"/>
          <w:szCs w:val="20"/>
          <w:color w:val="auto"/>
        </w:rPr>
      </w:pPr>
      <w:r>
        <w:rPr>
          <w:rFonts w:ascii="Arial" w:cs="Arial" w:eastAsia="Arial" w:hAnsi="Arial"/>
          <w:sz w:val="18"/>
          <w:szCs w:val="18"/>
          <w:color w:val="auto"/>
        </w:rPr>
        <w:t>Revenue derived from customers outside the United States (international) was approximately 45% of total revenue in the three months ended March 31, 2021 and 42% of total revenue in the three months ended March 31, 2020.</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Total long-lived assets by geographical region:</w:t>
      </w:r>
    </w:p>
    <w:p>
      <w:pPr>
        <w:spacing w:after="0" w:line="294" w:lineRule="exact"/>
        <w:rPr>
          <w:sz w:val="20"/>
          <w:szCs w:val="20"/>
          <w:color w:val="auto"/>
        </w:rPr>
      </w:pPr>
    </w:p>
    <w:tbl>
      <w:tblPr>
        <w:tblLayout w:type="fixed"/>
        <w:tblInd w:w="118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As of March 31, 2021</w:t>
            </w:r>
          </w:p>
        </w:tc>
        <w:tc>
          <w:tcPr>
            <w:tcW w:w="6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December 31, 2020</w:t>
            </w:r>
          </w:p>
        </w:tc>
      </w:tr>
      <w:tr>
        <w:trPr>
          <w:trHeight w:val="154"/>
        </w:trPr>
        <w:tc>
          <w:tcPr>
            <w:tcW w:w="4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4"/>
          </w:tcPr>
          <w:p>
            <w:pPr>
              <w:ind w:left="720"/>
              <w:spacing w:after="0" w:line="154" w:lineRule="exact"/>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8"/>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9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198,979</w:t>
            </w: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206,789</w:t>
            </w:r>
          </w:p>
        </w:tc>
        <w:tc>
          <w:tcPr>
            <w:tcW w:w="180" w:type="dxa"/>
            <w:vAlign w:val="bottom"/>
            <w:shd w:val="clear" w:color="auto" w:fill="CFF0FC"/>
          </w:tcPr>
          <w:p>
            <w:pPr>
              <w:spacing w:after="0"/>
              <w:rPr>
                <w:sz w:val="19"/>
                <w:szCs w:val="19"/>
                <w:color w:val="auto"/>
              </w:rPr>
            </w:pPr>
          </w:p>
        </w:tc>
      </w:tr>
      <w:tr>
        <w:trPr>
          <w:trHeight w:val="227"/>
        </w:trPr>
        <w:tc>
          <w:tcPr>
            <w:tcW w:w="4060" w:type="dxa"/>
            <w:vAlign w:val="bottom"/>
          </w:tcPr>
          <w:p>
            <w:pPr>
              <w:spacing w:after="0"/>
              <w:rPr>
                <w:sz w:val="20"/>
                <w:szCs w:val="20"/>
                <w:color w:val="auto"/>
              </w:rPr>
            </w:pPr>
            <w:r>
              <w:rPr>
                <w:rFonts w:ascii="Arial" w:cs="Arial" w:eastAsia="Arial" w:hAnsi="Arial"/>
                <w:sz w:val="18"/>
                <w:szCs w:val="18"/>
                <w:color w:val="auto"/>
              </w:rPr>
              <w:t>Europe</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148,715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159,338</w:t>
            </w:r>
          </w:p>
        </w:tc>
        <w:tc>
          <w:tcPr>
            <w:tcW w:w="180" w:type="dxa"/>
            <w:vAlign w:val="bottom"/>
          </w:tcPr>
          <w:p>
            <w:pPr>
              <w:spacing w:after="0"/>
              <w:rPr>
                <w:sz w:val="19"/>
                <w:szCs w:val="19"/>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5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10,889</w:t>
            </w:r>
          </w:p>
        </w:tc>
        <w:tc>
          <w:tcPr>
            <w:tcW w:w="180" w:type="dxa"/>
            <w:vAlign w:val="bottom"/>
            <w:shd w:val="clear" w:color="auto" w:fill="CFF0FC"/>
          </w:tcPr>
          <w:p>
            <w:pPr>
              <w:spacing w:after="0"/>
              <w:rPr>
                <w:sz w:val="19"/>
                <w:szCs w:val="19"/>
                <w:color w:val="auto"/>
              </w:rPr>
            </w:pPr>
          </w:p>
        </w:tc>
      </w:tr>
      <w:tr>
        <w:trPr>
          <w:trHeight w:val="261"/>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long-lived assets</w:t>
            </w:r>
          </w:p>
        </w:tc>
        <w:tc>
          <w:tcPr>
            <w:tcW w:w="5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358,446</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377,016</w:t>
            </w:r>
          </w:p>
        </w:tc>
        <w:tc>
          <w:tcPr>
            <w:tcW w:w="180" w:type="dxa"/>
            <w:vAlign w:val="bottom"/>
            <w:tcBorders>
              <w:bottom w:val="single" w:sz="8" w:color="CFF0FC"/>
            </w:tcBorders>
          </w:tcPr>
          <w:p>
            <w:pPr>
              <w:spacing w:after="0"/>
              <w:rPr>
                <w:sz w:val="22"/>
                <w:szCs w:val="22"/>
                <w:color w:val="auto"/>
              </w:rPr>
            </w:pPr>
          </w:p>
        </w:tc>
      </w:tr>
      <w:tr>
        <w:trPr>
          <w:trHeight w:val="194"/>
        </w:trPr>
        <w:tc>
          <w:tcPr>
            <w:tcW w:w="40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Percentage of long-lived assets held outside of the</w:t>
            </w:r>
          </w:p>
        </w:tc>
        <w:tc>
          <w:tcPr>
            <w:tcW w:w="5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28"/>
        </w:trPr>
        <w:tc>
          <w:tcPr>
            <w:tcW w:w="4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Americas</w:t>
            </w:r>
          </w:p>
        </w:tc>
        <w:tc>
          <w:tcPr>
            <w:tcW w:w="5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69215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9619"/>
          </w:cols>
          <w:pgMar w:left="840" w:top="554" w:right="1440" w:bottom="1440" w:gutter="0" w:footer="0" w:header="0"/>
        </w:sectPr>
      </w:pPr>
    </w:p>
    <w:bookmarkStart w:id="23" w:name="page24"/>
    <w:bookmarkEnd w:id="23"/>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9" w:lineRule="exact"/>
        <w:rPr>
          <w:sz w:val="20"/>
          <w:szCs w:val="20"/>
          <w:color w:val="auto"/>
        </w:rPr>
      </w:pPr>
    </w:p>
    <w:p>
      <w:pPr>
        <w:ind w:right="40" w:firstLine="510"/>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2020 filed with the SEC on February 16, 2021.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6" w:lineRule="exact"/>
        <w:rPr>
          <w:sz w:val="20"/>
          <w:szCs w:val="20"/>
          <w:color w:val="auto"/>
        </w:rPr>
      </w:pPr>
    </w:p>
    <w:p>
      <w:pPr>
        <w:ind w:right="260" w:firstLine="544"/>
        <w:spacing w:after="0" w:line="260" w:lineRule="auto"/>
        <w:rPr>
          <w:sz w:val="20"/>
          <w:szCs w:val="20"/>
          <w:color w:val="auto"/>
        </w:rPr>
      </w:pPr>
      <w:r>
        <w:rPr>
          <w:rFonts w:ascii="Arial" w:cs="Arial" w:eastAsia="Arial" w:hAnsi="Arial"/>
          <w:sz w:val="18"/>
          <w:szCs w:val="18"/>
          <w:color w:val="212529"/>
        </w:rPr>
        <w:t>We provide a cloud-based customer relationship management (“CRM”) Platform. Our CRM Platform is comprised of Marketing Hub, Sales Hub, Service Hub and content management system (“CMS”) Hub as well as other tools and integrations that enable companies to attract, engage, and delight customers throughout the customer experience.</w:t>
      </w:r>
    </w:p>
    <w:p>
      <w:pPr>
        <w:spacing w:after="0" w:line="185" w:lineRule="exact"/>
        <w:rPr>
          <w:sz w:val="20"/>
          <w:szCs w:val="20"/>
          <w:color w:val="auto"/>
        </w:rPr>
      </w:pPr>
    </w:p>
    <w:p>
      <w:pPr>
        <w:ind w:right="60" w:firstLine="544"/>
        <w:spacing w:after="0" w:line="289" w:lineRule="auto"/>
        <w:rPr>
          <w:sz w:val="20"/>
          <w:szCs w:val="20"/>
          <w:color w:val="auto"/>
        </w:rPr>
      </w:pPr>
      <w:r>
        <w:rPr>
          <w:rFonts w:ascii="Arial" w:cs="Arial" w:eastAsia="Arial" w:hAnsi="Arial"/>
          <w:sz w:val="16"/>
          <w:szCs w:val="16"/>
          <w:color w:val="212529"/>
        </w:rPr>
        <w:t>At the core of our CRM Platform is our CRM that our customers use which creates a single view of all interactions a prospective or existing customer has with their marketing, sales and customer service teams. The CRM shares data across every application in the CRM Platform, automatically informing more personalized emails, website content, ads, and conversations, and enables more accurate timing cues for our customer’s internal teams. In addition, the CRM Platform was built to easily and seamlessly integrate third party applications to further customize to an individual company’s industry or needs. We designed and built our CRM Platform to serve a broad range of customers globally. Our CRM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spacing w:after="0" w:line="165" w:lineRule="exact"/>
        <w:rPr>
          <w:sz w:val="20"/>
          <w:szCs w:val="20"/>
          <w:color w:val="auto"/>
        </w:rPr>
      </w:pPr>
    </w:p>
    <w:p>
      <w:pPr>
        <w:ind w:firstLine="544"/>
        <w:spacing w:after="0" w:line="287" w:lineRule="auto"/>
        <w:rPr>
          <w:sz w:val="20"/>
          <w:szCs w:val="20"/>
          <w:color w:val="auto"/>
        </w:rPr>
      </w:pPr>
      <w:r>
        <w:rPr>
          <w:rFonts w:ascii="Arial" w:cs="Arial" w:eastAsia="Arial" w:hAnsi="Arial"/>
          <w:sz w:val="16"/>
          <w:szCs w:val="16"/>
          <w:color w:val="auto"/>
        </w:rPr>
        <w:t>We focus on selling to mid-market business-to-business, or B2B, companies, which we define as companies that have between two and 2,000 employees. While our CRM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CRM Platform through our free products and then upgrade to our paid products. As of March 31, 2021, we had 4,551 full-time employees and 113,925 Total Customers of varying sizes in more than 120 countries, representing almost every industry.</w:t>
      </w:r>
    </w:p>
    <w:p>
      <w:pPr>
        <w:spacing w:after="0" w:line="170" w:lineRule="exact"/>
        <w:rPr>
          <w:sz w:val="20"/>
          <w:szCs w:val="20"/>
          <w:color w:val="auto"/>
        </w:rPr>
      </w:pPr>
    </w:p>
    <w:p>
      <w:pPr>
        <w:ind w:firstLine="544"/>
        <w:spacing w:after="0" w:line="271" w:lineRule="auto"/>
        <w:rPr>
          <w:sz w:val="20"/>
          <w:szCs w:val="20"/>
          <w:color w:val="auto"/>
        </w:rPr>
      </w:pPr>
      <w:r>
        <w:rPr>
          <w:rFonts w:ascii="Arial" w:cs="Arial" w:eastAsia="Arial" w:hAnsi="Arial"/>
          <w:sz w:val="17"/>
          <w:szCs w:val="17"/>
          <w:color w:val="auto"/>
        </w:rPr>
        <w:t>We derive most of our revenue from subscriptions to our cloud-based CRM Platform and related professional services, which consist of customer on-</w:t>
      </w:r>
      <w:r>
        <w:rPr>
          <w:rFonts w:ascii="Arial" w:cs="Arial" w:eastAsia="Arial" w:hAnsi="Arial"/>
          <w:sz w:val="17"/>
          <w:szCs w:val="17"/>
          <w:color w:val="212529"/>
        </w:rPr>
        <w:t xml:space="preserve">boarding </w:t>
      </w:r>
      <w:r>
        <w:rPr>
          <w:rFonts w:ascii="Arial" w:cs="Arial" w:eastAsia="Arial" w:hAnsi="Arial"/>
          <w:sz w:val="17"/>
          <w:szCs w:val="17"/>
          <w:color w:val="000000"/>
        </w:rPr>
        <w:t>and training services. Subscription revenue accounted for 96% of our total revenue for both the three months ended March 31, 2021 and 2020. We</w:t>
      </w:r>
      <w:r>
        <w:rPr>
          <w:rFonts w:ascii="Arial" w:cs="Arial" w:eastAsia="Arial" w:hAnsi="Arial"/>
          <w:sz w:val="17"/>
          <w:szCs w:val="17"/>
          <w:color w:val="212529"/>
        </w:rPr>
        <w:t xml:space="preserve"> </w:t>
      </w:r>
      <w:r>
        <w:rPr>
          <w:rFonts w:ascii="Arial" w:cs="Arial" w:eastAsia="Arial" w:hAnsi="Arial"/>
          <w:sz w:val="17"/>
          <w:szCs w:val="17"/>
          <w:color w:val="000000"/>
        </w:rPr>
        <w:t>sell multiple product plans at different base prices on a subscription basis, each of which includes our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and subdomains. Most of our customers’ subscriptions are one year or less in duration.</w:t>
      </w:r>
    </w:p>
    <w:p>
      <w:pPr>
        <w:spacing w:after="0" w:line="177" w:lineRule="exact"/>
        <w:rPr>
          <w:sz w:val="20"/>
          <w:szCs w:val="20"/>
          <w:color w:val="auto"/>
        </w:rPr>
      </w:pPr>
    </w:p>
    <w:p>
      <w:pPr>
        <w:jc w:val="both"/>
        <w:ind w:right="80" w:firstLine="544"/>
        <w:spacing w:after="0" w:line="260" w:lineRule="auto"/>
        <w:rPr>
          <w:sz w:val="20"/>
          <w:szCs w:val="20"/>
          <w:color w:val="auto"/>
        </w:rPr>
      </w:pPr>
      <w:r>
        <w:rPr>
          <w:rFonts w:ascii="Arial" w:cs="Arial" w:eastAsia="Arial" w:hAnsi="Arial"/>
          <w:sz w:val="18"/>
          <w:szCs w:val="18"/>
          <w:color w:val="auto"/>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spacing w:after="0" w:line="185" w:lineRule="exact"/>
        <w:rPr>
          <w:sz w:val="20"/>
          <w:szCs w:val="20"/>
          <w:color w:val="auto"/>
        </w:rPr>
      </w:pPr>
    </w:p>
    <w:p>
      <w:pPr>
        <w:jc w:val="both"/>
        <w:ind w:right="60" w:firstLine="544"/>
        <w:spacing w:after="0" w:line="307" w:lineRule="auto"/>
        <w:rPr>
          <w:sz w:val="20"/>
          <w:szCs w:val="20"/>
          <w:color w:val="auto"/>
        </w:rPr>
      </w:pPr>
      <w:r>
        <w:rPr>
          <w:rFonts w:ascii="Arial" w:cs="Arial" w:eastAsia="Arial" w:hAnsi="Arial"/>
          <w:sz w:val="16"/>
          <w:szCs w:val="16"/>
          <w:color w:val="auto"/>
        </w:rPr>
        <w:t>Many of our customers purchase on-boarding and training services which are designed to help customers enhance their ability to attract, engage and delight their customers using our CRM Platform. Professional services and other revenue accounted for 4% of total revenue for both the three months ended March 31, 2021 and 2020. We expect professional services and other margins to range from a moderate loss to breakeven for the foreseeable future.</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6"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In March 2020, the World Health Organization, or WHO, declared the outbreak of a disease caused by a novel strain of the coronavirus (“COVID-19”) to be a pandemic (the “pandemic”). This pandemic has had widespread, rapidly-evolving,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4" w:name="page25"/>
    <w:bookmarkEnd w:id="24"/>
    <w:p>
      <w:pPr>
        <w:jc w:val="both"/>
        <w:ind w:right="20"/>
        <w:spacing w:after="0" w:line="256" w:lineRule="auto"/>
        <w:rPr>
          <w:sz w:val="20"/>
          <w:szCs w:val="20"/>
          <w:color w:val="auto"/>
        </w:rPr>
      </w:pPr>
      <w:r>
        <w:rPr>
          <w:rFonts w:ascii="Arial" w:cs="Arial" w:eastAsia="Arial" w:hAnsi="Arial"/>
          <w:sz w:val="18"/>
          <w:szCs w:val="18"/>
          <w:color w:val="auto"/>
        </w:rPr>
        <w:t>unpredictable impacts on global societies, economies, financial markets, and business practices. Federal and state governments have implemented measures in an effort to contain the virus, including physical distancing, travel bans and restrictions, closure of non-essential businesses, quarantines, work-from-home directives, shelter-in-place orders, and limitations on public gatherings. These measurements have caused, and are continuing to cause, business slowdowns or shutdowns in affected areas, both regionally and worldwide.</w:t>
      </w:r>
    </w:p>
    <w:p>
      <w:pPr>
        <w:spacing w:after="0" w:line="189" w:lineRule="exact"/>
        <w:rPr>
          <w:sz w:val="20"/>
          <w:szCs w:val="20"/>
          <w:color w:val="auto"/>
        </w:rPr>
      </w:pPr>
    </w:p>
    <w:p>
      <w:pPr>
        <w:ind w:right="80" w:firstLine="540"/>
        <w:spacing w:after="0" w:line="276" w:lineRule="auto"/>
        <w:rPr>
          <w:sz w:val="20"/>
          <w:szCs w:val="20"/>
          <w:color w:val="auto"/>
        </w:rPr>
      </w:pPr>
      <w:r>
        <w:rPr>
          <w:rFonts w:ascii="Arial" w:cs="Arial" w:eastAsia="Arial" w:hAnsi="Arial"/>
          <w:sz w:val="17"/>
          <w:szCs w:val="17"/>
          <w:color w:val="auto"/>
        </w:rPr>
        <w:t>Our focus remains on promoting employee health and safety, serving our customers, and ensuring business continuity. As we continue to reassess local restrictions across the globe and the administration of vaccine programs ramps up and cases decline, we are moving towards slowly re-opening some our offices on a staggered, region-to-region basis in accordance with local authority guidelines while ensuring that our return to work is thoughtful, prudent, and handled with an abundance of caution with the health of our employees being the top priority.</w:t>
      </w:r>
    </w:p>
    <w:p>
      <w:pPr>
        <w:spacing w:after="0" w:line="173" w:lineRule="exact"/>
        <w:rPr>
          <w:sz w:val="20"/>
          <w:szCs w:val="20"/>
          <w:color w:val="auto"/>
        </w:rPr>
      </w:pPr>
    </w:p>
    <w:p>
      <w:pPr>
        <w:ind w:firstLine="540"/>
        <w:spacing w:after="0" w:line="285" w:lineRule="auto"/>
        <w:rPr>
          <w:sz w:val="20"/>
          <w:szCs w:val="20"/>
          <w:color w:val="auto"/>
        </w:rPr>
      </w:pPr>
      <w:r>
        <w:rPr>
          <w:rFonts w:ascii="Arial" w:cs="Arial" w:eastAsia="Arial" w:hAnsi="Arial"/>
          <w:sz w:val="16"/>
          <w:szCs w:val="16"/>
          <w:color w:val="auto"/>
        </w:rPr>
        <w:t>While the pandemic has not had a material adverse financial impact on our business to date, the broader implications of the pandemic on our results of operations and overall financial performance will depend on future developments and conditions. While the implications of the pandemic remain uncertain, we plan to continue to make investments to support business growth. We believe that the growth of our business is dependent on many factors, including our ability to expand our customer base, increase adoption of our CRM Platform within existing customers, develop new products and applications to extend the functionality of our CRM Platform and provide a high level of customer service. We expect to invest in sales and marketing to support customer growth. We also expect to invest in research and development as we continue to introduce new products and applications to extend the functionality of our CRM Platform. We also intend to maintain a high level of customer service and support which we consider critical for our continued success. We plan to continue to invest in our data center infrastructure and services capabilities in order to support continued customer growth. We also expect to continue to incur general and administrative expenses to support our business and to maintain the infrastructure required to be a public company. We expect to use our cash flow from operations and the proceeds from our convertible debt and stock offerings to fund these growth strategies and support our business despite the potential impact from the pandemic and do not expect to be profitable in the near term.</w:t>
      </w:r>
    </w:p>
    <w:p>
      <w:pPr>
        <w:spacing w:after="0" w:line="170" w:lineRule="exact"/>
        <w:rPr>
          <w:sz w:val="20"/>
          <w:szCs w:val="20"/>
          <w:color w:val="auto"/>
        </w:rPr>
      </w:pPr>
    </w:p>
    <w:p>
      <w:pPr>
        <w:ind w:right="440" w:firstLine="540"/>
        <w:spacing w:after="0" w:line="272" w:lineRule="auto"/>
        <w:rPr>
          <w:sz w:val="20"/>
          <w:szCs w:val="20"/>
          <w:color w:val="auto"/>
        </w:rPr>
      </w:pPr>
      <w:r>
        <w:rPr>
          <w:rFonts w:ascii="Arial" w:cs="Arial" w:eastAsia="Arial" w:hAnsi="Arial"/>
          <w:sz w:val="18"/>
          <w:szCs w:val="18"/>
          <w:color w:val="auto"/>
        </w:rPr>
        <w:t>See the section titled “Risk Factors” included under Part II, Item 1A below for further discussion of the possible impact of the pandemic on our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 for the Three Months Ended March 31, 2021 and 2020</w:t>
      </w:r>
    </w:p>
    <w:p>
      <w:pPr>
        <w:spacing w:after="0" w:line="119" w:lineRule="exact"/>
        <w:rPr>
          <w:sz w:val="20"/>
          <w:szCs w:val="20"/>
          <w:color w:val="auto"/>
        </w:rPr>
      </w:pPr>
    </w:p>
    <w:p>
      <w:pPr>
        <w:ind w:firstLine="510"/>
        <w:spacing w:after="0" w:line="251"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tbl>
      <w:tblPr>
        <w:tblLayout w:type="fixed"/>
        <w:tblInd w:w="1700" w:type="dxa"/>
        <w:tblCellMar>
          <w:top w:w="0" w:type="dxa"/>
          <w:left w:w="0" w:type="dxa"/>
          <w:bottom w:w="0" w:type="dxa"/>
          <w:right w:w="0" w:type="dxa"/>
        </w:tblCellMar>
      </w:tblPr>
      <w:tr>
        <w:trPr>
          <w:trHeight w:val="143"/>
        </w:trPr>
        <w:tc>
          <w:tcPr>
            <w:tcW w:w="3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4"/>
          </w:tcPr>
          <w:p>
            <w:pPr>
              <w:ind w:left="640"/>
              <w:spacing w:after="0" w:line="143" w:lineRule="exact"/>
              <w:rPr>
                <w:sz w:val="20"/>
                <w:szCs w:val="20"/>
                <w:color w:val="auto"/>
              </w:rPr>
            </w:pPr>
            <w:r>
              <w:rPr>
                <w:rFonts w:ascii="Arial" w:cs="Arial" w:eastAsia="Arial" w:hAnsi="Arial"/>
                <w:sz w:val="14"/>
                <w:szCs w:val="14"/>
                <w:b w:val="1"/>
                <w:bCs w:val="1"/>
                <w:color w:val="auto"/>
                <w:w w:val="98"/>
              </w:rPr>
              <w:t>Three Months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54"/>
        </w:trPr>
        <w:tc>
          <w:tcPr>
            <w:tcW w:w="3840" w:type="dxa"/>
            <w:vAlign w:val="bottom"/>
            <w:tcBorders>
              <w:bottom w:val="single" w:sz="8" w:color="CFF0FC"/>
            </w:tcBorders>
            <w:vMerge w:val="continue"/>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4"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92"/>
              <w:spacing w:after="0" w:line="154"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1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270,263</w:t>
            </w:r>
          </w:p>
        </w:tc>
        <w:tc>
          <w:tcPr>
            <w:tcW w:w="240" w:type="dxa"/>
            <w:vAlign w:val="bottom"/>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191,229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11,102</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revenue</w:t>
            </w:r>
          </w:p>
        </w:tc>
        <w:tc>
          <w:tcPr>
            <w:tcW w:w="1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281,365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198,968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43,853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29,734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10,881</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cost of revenues</w:t>
            </w:r>
          </w:p>
        </w:tc>
        <w:tc>
          <w:tcPr>
            <w:tcW w:w="1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54,734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38,285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226,631</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160,683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68,396</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46,202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141,017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102,328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32,250</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26,255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241,663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174,785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(15,032)</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(14,102)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40" w:type="dxa"/>
            <w:vAlign w:val="bottom"/>
          </w:tcPr>
          <w:p>
            <w:pPr>
              <w:spacing w:after="0"/>
              <w:rPr>
                <w:sz w:val="20"/>
                <w:szCs w:val="20"/>
                <w:color w:val="auto"/>
              </w:rPr>
            </w:pPr>
            <w:r>
              <w:rPr>
                <w:rFonts w:ascii="Arial" w:cs="Arial" w:eastAsia="Arial" w:hAnsi="Arial"/>
                <w:sz w:val="18"/>
                <w:szCs w:val="18"/>
                <w:color w:val="auto"/>
              </w:rPr>
              <w:t>Other expense:</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(9,399)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28"/>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21"/>
        </w:trPr>
        <w:tc>
          <w:tcPr>
            <w:tcW w:w="3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expense</w:t>
            </w:r>
          </w:p>
        </w:tc>
        <w:tc>
          <w:tcPr>
            <w:tcW w:w="13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(8,264)</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(2,948)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(23,296)</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tcPr>
          <w:p>
            <w:pPr>
              <w:ind w:left="480"/>
              <w:spacing w:after="0"/>
              <w:rPr>
                <w:sz w:val="20"/>
                <w:szCs w:val="20"/>
                <w:color w:val="auto"/>
              </w:rPr>
            </w:pPr>
            <w:r>
              <w:rPr>
                <w:rFonts w:ascii="Arial" w:cs="Arial" w:eastAsia="Arial" w:hAnsi="Arial"/>
                <w:sz w:val="18"/>
                <w:szCs w:val="18"/>
                <w:color w:val="auto"/>
              </w:rPr>
              <w:t>Income tax benefit (expense)</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1"/>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3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(23,159)</w:t>
            </w:r>
          </w:p>
        </w:tc>
        <w:tc>
          <w:tcPr>
            <w:tcW w:w="2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(17,716)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4"/>
          </w:tcPr>
          <w:p>
            <w:pPr>
              <w:jc w:val="center"/>
              <w:ind w:left="373"/>
              <w:spacing w:after="0"/>
              <w:rPr>
                <w:sz w:val="20"/>
                <w:szCs w:val="20"/>
                <w:color w:val="auto"/>
              </w:rPr>
            </w:pPr>
            <w:r>
              <w:rPr>
                <w:rFonts w:ascii="Arial" w:cs="Arial" w:eastAsia="Arial" w:hAnsi="Arial"/>
                <w:sz w:val="14"/>
                <w:szCs w:val="14"/>
                <w:b w:val="1"/>
                <w:bCs w:val="1"/>
                <w:color w:val="auto"/>
                <w:w w:val="93"/>
              </w:rPr>
              <w:t>Three Months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left="373"/>
              <w:spacing w:after="0"/>
              <w:rPr>
                <w:sz w:val="20"/>
                <w:szCs w:val="20"/>
                <w:color w:val="auto"/>
              </w:rPr>
            </w:pPr>
            <w:r>
              <w:rPr>
                <w:rFonts w:ascii="Arial" w:cs="Arial" w:eastAsia="Arial" w:hAnsi="Arial"/>
                <w:sz w:val="14"/>
                <w:szCs w:val="14"/>
                <w:b w:val="1"/>
                <w:bCs w:val="1"/>
                <w:color w:val="auto"/>
                <w:w w:val="95"/>
              </w:rPr>
              <w:t>Ended March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4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4"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2"/>
              <w:spacing w:after="0" w:line="154"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8"/>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revenue</w:t>
            </w:r>
          </w:p>
        </w:tc>
        <w:tc>
          <w:tcPr>
            <w:tcW w:w="1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cost of revenue</w:t>
            </w:r>
          </w:p>
        </w:tc>
        <w:tc>
          <w:tcPr>
            <w:tcW w:w="1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auto"/>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tcPr>
          <w:p>
            <w:pPr>
              <w:ind w:left="480"/>
              <w:spacing w:after="0"/>
              <w:rPr>
                <w:sz w:val="20"/>
                <w:szCs w:val="20"/>
                <w:color w:val="auto"/>
              </w:rPr>
            </w:pPr>
            <w:r>
              <w:rPr>
                <w:rFonts w:ascii="Arial" w:cs="Arial" w:eastAsia="Arial" w:hAnsi="Arial"/>
                <w:sz w:val="18"/>
                <w:szCs w:val="18"/>
                <w:color w:val="auto"/>
              </w:rPr>
              <w:t>Total other expense</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3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tcPr>
          <w:p>
            <w:pPr>
              <w:ind w:left="480"/>
              <w:spacing w:after="0"/>
              <w:rPr>
                <w:sz w:val="20"/>
                <w:szCs w:val="20"/>
                <w:color w:val="auto"/>
              </w:rPr>
            </w:pPr>
            <w:r>
              <w:rPr>
                <w:rFonts w:ascii="Arial" w:cs="Arial" w:eastAsia="Arial" w:hAnsi="Arial"/>
                <w:sz w:val="18"/>
                <w:szCs w:val="18"/>
                <w:color w:val="auto"/>
              </w:rPr>
              <w:t>Income tax benefit (expense)</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3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40" w:type="dxa"/>
            <w:vAlign w:val="bottom"/>
            <w:vMerge w:val="continue"/>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Percentages are based on actual values. Totals may not sum due to rounding.</w:t>
      </w:r>
    </w:p>
    <w:p>
      <w:pPr>
        <w:spacing w:after="0" w:line="22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20" w:top="657" w:right="5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Three Months Ended March 31, 2021 Compared to the Three Months Ended March 31, 2020</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Revenue</w:t>
      </w:r>
    </w:p>
    <w:p>
      <w:pPr>
        <w:spacing w:after="0" w:line="214"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93"/>
              </w:rPr>
              <w:t>Three Months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Ended March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Pr>
          <w:p>
            <w:pPr>
              <w:spacing w:after="0"/>
              <w:rPr>
                <w:sz w:val="14"/>
                <w:szCs w:val="14"/>
                <w:color w:val="auto"/>
              </w:rPr>
            </w:pP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4"/>
        </w:trPr>
        <w:tc>
          <w:tcPr>
            <w:tcW w:w="5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00"/>
              <w:spacing w:after="0" w:line="154"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95"/>
              <w:spacing w:after="0" w:line="154"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2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270,263</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191,229</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79,034</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8"/>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11,102</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3,363</w:t>
            </w:r>
          </w:p>
        </w:tc>
        <w:tc>
          <w:tcPr>
            <w:tcW w:w="14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1"/>
        </w:trPr>
        <w:tc>
          <w:tcPr>
            <w:tcW w:w="512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281,365</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198,968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82,397</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89"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Subscription revenue increased during the three months ended March 31, 2021 compared to the same period in 2020 primarily due to the increase in Total Customers, which grew from 78,776 as of March 31, 2020 to 113,925 as of March 31, 2021. Total Average Subscription Revenue per Customer decreased from $10,018 for the three months ended March 31, 2020 to $9,886 for the three months ended March 31, 2021. The growth in Total Customers was primarily driven by our increased sales representative capacity to meet market demand as well as an increase in demand primarily for our lower priced starter products and a moderate increase in demand for our Professional and Enterprise products. The decrease in average subscription revenue per customer was driven primarily by the volume of continued purchases of our lower priced starter products and that impact on our customer mix.</w:t>
      </w:r>
    </w:p>
    <w:p>
      <w:pPr>
        <w:spacing w:after="0" w:line="163" w:lineRule="exact"/>
        <w:rPr>
          <w:sz w:val="20"/>
          <w:szCs w:val="20"/>
          <w:color w:val="auto"/>
        </w:rPr>
      </w:pPr>
    </w:p>
    <w:p>
      <w:pPr>
        <w:ind w:right="80" w:firstLine="749"/>
        <w:spacing w:after="0" w:line="260" w:lineRule="auto"/>
        <w:rPr>
          <w:sz w:val="20"/>
          <w:szCs w:val="20"/>
          <w:color w:val="auto"/>
        </w:rPr>
      </w:pPr>
      <w:r>
        <w:rPr>
          <w:rFonts w:ascii="Arial" w:cs="Arial" w:eastAsia="Arial" w:hAnsi="Arial"/>
          <w:sz w:val="18"/>
          <w:szCs w:val="18"/>
          <w:color w:val="auto"/>
        </w:rPr>
        <w:t>The 43% increase in professional services and other revenue resulted primarily from the increase in Total Customers and from the delivery of on-boarding and training services for the additional subscriptions sold, as well as additional advertising revenue generated from our acquisition of the Hustle, which is not expected to recur, and fees earned on revenue share arrangements with third parties.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Ended March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35"/>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8"/>
              </w:rPr>
              <w:t>$ Change</w:t>
            </w:r>
          </w:p>
        </w:tc>
        <w:tc>
          <w:tcPr>
            <w:tcW w:w="20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20"/>
                <w:szCs w:val="20"/>
                <w:color w:val="auto"/>
              </w:rPr>
            </w:pP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54,734</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16,449</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r>
      <w:tr>
        <w:trPr>
          <w:trHeight w:val="227"/>
        </w:trPr>
        <w:tc>
          <w:tcPr>
            <w:tcW w:w="50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226,631</w:t>
            </w:r>
          </w:p>
        </w:tc>
        <w:tc>
          <w:tcPr>
            <w:tcW w:w="30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160,683</w:t>
            </w:r>
          </w:p>
        </w:tc>
        <w:tc>
          <w:tcPr>
            <w:tcW w:w="2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65,948</w:t>
            </w: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29"/>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margin percentage</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40" w:lineRule="exact"/>
        <w:rPr>
          <w:sz w:val="20"/>
          <w:szCs w:val="20"/>
          <w:color w:val="auto"/>
        </w:rPr>
      </w:pPr>
    </w:p>
    <w:p>
      <w:pPr>
        <w:ind w:right="80" w:firstLine="510"/>
        <w:spacing w:after="0" w:line="256" w:lineRule="auto"/>
        <w:rPr>
          <w:sz w:val="20"/>
          <w:szCs w:val="20"/>
          <w:color w:val="auto"/>
        </w:rPr>
      </w:pPr>
      <w:r>
        <w:rPr>
          <w:rFonts w:ascii="Arial" w:cs="Arial" w:eastAsia="Arial" w:hAnsi="Arial"/>
          <w:sz w:val="18"/>
          <w:szCs w:val="18"/>
          <w:color w:val="auto"/>
        </w:rPr>
        <w:t>Total cost of revenue for the three months ended March 31, 2021 increased compared to the same period in 2020 primarily due to an increase in subscription and hosting costs, employee-related costs, amortization of capitalized software development costs, allocated overhead expenses, offset by a decrease in amortization of acquired technology due to certain acquired technology reaching the end of its useful life during the third quarter of 2020. Gross margins remained consistent year-over-year.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Ended March 31,</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440" w:type="dxa"/>
            <w:vAlign w:val="bottom"/>
            <w:gridSpan w:val="2"/>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Subscription cost of revenue</w:t>
            </w:r>
          </w:p>
        </w:tc>
        <w:tc>
          <w:tcPr>
            <w:tcW w:w="1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43,853</w:t>
            </w:r>
          </w:p>
        </w:tc>
        <w:tc>
          <w:tcPr>
            <w:tcW w:w="2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29,734</w:t>
            </w:r>
          </w:p>
        </w:tc>
        <w:tc>
          <w:tcPr>
            <w:tcW w:w="3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14,119</w:t>
            </w:r>
          </w:p>
        </w:tc>
        <w:tc>
          <w:tcPr>
            <w:tcW w:w="200" w:type="dxa"/>
            <w:vAlign w:val="bottom"/>
            <w:vMerge w:val="continue"/>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Percentage of subscription revenue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27</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8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7" w:name="page28"/>
    <w:bookmarkEnd w:id="27"/>
    <w:p>
      <w:pPr>
        <w:ind w:right="220" w:firstLine="510"/>
        <w:spacing w:after="0" w:line="272" w:lineRule="auto"/>
        <w:rPr>
          <w:sz w:val="20"/>
          <w:szCs w:val="20"/>
          <w:color w:val="auto"/>
        </w:rPr>
      </w:pPr>
      <w:r>
        <w:rPr>
          <w:rFonts w:ascii="Arial" w:cs="Arial" w:eastAsia="Arial" w:hAnsi="Arial"/>
          <w:sz w:val="18"/>
          <w:szCs w:val="18"/>
          <w:color w:val="auto"/>
        </w:rPr>
        <w:t>The increase in subscription cost of revenue for the three months ended March 31, 2021 compared to the same period in 2020 was primarily due to the following:</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154"/>
        </w:trPr>
        <w:tc>
          <w:tcPr>
            <w:tcW w:w="64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77"/>
              <w:spacing w:after="0" w:line="154" w:lineRule="exact"/>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3"/>
                <w:szCs w:val="13"/>
                <w:color w:val="auto"/>
              </w:rPr>
            </w:pPr>
          </w:p>
        </w:tc>
      </w:tr>
      <w:tr>
        <w:trPr>
          <w:trHeight w:val="154"/>
        </w:trPr>
        <w:tc>
          <w:tcPr>
            <w:tcW w:w="6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177"/>
              <w:spacing w:after="0" w:line="154"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3"/>
                <w:szCs w:val="13"/>
                <w:color w:val="auto"/>
              </w:rPr>
            </w:pPr>
          </w:p>
        </w:tc>
      </w:tr>
      <w:tr>
        <w:trPr>
          <w:trHeight w:val="228"/>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hosting costs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9,929</w:t>
            </w:r>
          </w:p>
        </w:tc>
        <w:tc>
          <w:tcPr>
            <w:tcW w:w="80" w:type="dxa"/>
            <w:vAlign w:val="bottom"/>
            <w:shd w:val="clear" w:color="auto" w:fill="CFF0FC"/>
          </w:tcPr>
          <w:p>
            <w:pPr>
              <w:spacing w:after="0"/>
              <w:rPr>
                <w:sz w:val="19"/>
                <w:szCs w:val="19"/>
                <w:color w:val="auto"/>
              </w:rPr>
            </w:pPr>
          </w:p>
        </w:tc>
      </w:tr>
      <w:tr>
        <w:trPr>
          <w:trHeight w:val="227"/>
        </w:trPr>
        <w:tc>
          <w:tcPr>
            <w:tcW w:w="6440" w:type="dxa"/>
            <w:vAlign w:val="bottom"/>
          </w:tcPr>
          <w:p>
            <w:pPr>
              <w:spacing w:after="0"/>
              <w:rPr>
                <w:sz w:val="20"/>
                <w:szCs w:val="20"/>
                <w:color w:val="auto"/>
              </w:rPr>
            </w:pPr>
            <w:r>
              <w:rPr>
                <w:rFonts w:ascii="Arial" w:cs="Arial" w:eastAsia="Arial" w:hAnsi="Arial"/>
                <w:sz w:val="18"/>
                <w:szCs w:val="18"/>
                <w:color w:val="auto"/>
              </w:rPr>
              <w:t>Employee-related costs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3,016</w:t>
            </w:r>
          </w:p>
        </w:tc>
        <w:tc>
          <w:tcPr>
            <w:tcW w:w="8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80" w:type="dxa"/>
            <w:vAlign w:val="bottom"/>
            <w:shd w:val="clear" w:color="auto" w:fill="CFF0FC"/>
          </w:tcPr>
          <w:p>
            <w:pPr>
              <w:spacing w:after="0"/>
              <w:rPr>
                <w:sz w:val="19"/>
                <w:szCs w:val="19"/>
                <w:color w:val="auto"/>
              </w:rPr>
            </w:pPr>
          </w:p>
        </w:tc>
      </w:tr>
      <w:tr>
        <w:trPr>
          <w:trHeight w:val="227"/>
        </w:trPr>
        <w:tc>
          <w:tcPr>
            <w:tcW w:w="644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9"/>
                <w:szCs w:val="19"/>
                <w:color w:val="auto"/>
              </w:rPr>
            </w:pPr>
          </w:p>
        </w:tc>
      </w:tr>
      <w:tr>
        <w:trPr>
          <w:trHeight w:val="228"/>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acquired technology</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(661)</w:t>
            </w:r>
          </w:p>
        </w:tc>
      </w:tr>
      <w:tr>
        <w:trPr>
          <w:trHeight w:val="221"/>
        </w:trPr>
        <w:tc>
          <w:tcPr>
            <w:tcW w:w="6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14,119</w:t>
            </w:r>
          </w:p>
        </w:tc>
        <w:tc>
          <w:tcPr>
            <w:tcW w:w="8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22" w:lineRule="exact"/>
        <w:rPr>
          <w:sz w:val="20"/>
          <w:szCs w:val="20"/>
          <w:color w:val="auto"/>
        </w:rPr>
      </w:pPr>
    </w:p>
    <w:p>
      <w:pPr>
        <w:ind w:right="20" w:firstLine="579"/>
        <w:spacing w:after="0" w:line="289" w:lineRule="auto"/>
        <w:rPr>
          <w:sz w:val="20"/>
          <w:szCs w:val="20"/>
          <w:color w:val="auto"/>
        </w:rPr>
      </w:pPr>
      <w:r>
        <w:rPr>
          <w:rFonts w:ascii="Arial" w:cs="Arial" w:eastAsia="Arial" w:hAnsi="Arial"/>
          <w:sz w:val="16"/>
          <w:szCs w:val="16"/>
          <w:color w:val="auto"/>
        </w:rPr>
        <w:t>Subscription and hosting costs increased primarily due to growth in our Total Customer base from 78,776 as of March 31, 2020 to 113,925 as of March 31, 2021. Additionally, we saw higher subscription and hosting costs as we focus on the security, reliability and performance of our CRM Platform. Employee-related costs increased as a result of increased headcount as we continue to grow our customer support organization to support our customer growth and improve service levels and offerings. Amortization of capitalized software development costs increased due to the increased number of developers working on our software platform as we continue to develop new products and increased functionality. Allocated overhead expenses increased due to the expansion of our leased space and infrastructure as we continued to grow our business and expand headcount. Amortization of acquired technology decreased due to certain acquired technology reaching the end of its useful life during the third quarter of 2020.</w:t>
      </w:r>
    </w:p>
    <w:p>
      <w:pPr>
        <w:spacing w:after="0" w:line="157"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Ended March 31,</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3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20"/>
                <w:szCs w:val="20"/>
                <w:color w:val="auto"/>
              </w:rPr>
            </w:pPr>
          </w:p>
        </w:tc>
      </w:tr>
      <w:tr>
        <w:trPr>
          <w:trHeight w:val="221"/>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 cost of revenue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27"/>
        </w:trPr>
        <w:tc>
          <w:tcPr>
            <w:tcW w:w="5140" w:type="dxa"/>
            <w:vAlign w:val="bottom"/>
            <w:gridSpan w:val="2"/>
          </w:tcPr>
          <w:p>
            <w:pPr>
              <w:spacing w:after="0"/>
              <w:rPr>
                <w:sz w:val="20"/>
                <w:szCs w:val="20"/>
                <w:color w:val="auto"/>
              </w:rPr>
            </w:pPr>
            <w:r>
              <w:rPr>
                <w:rFonts w:ascii="Arial" w:cs="Arial" w:eastAsia="Arial" w:hAnsi="Arial"/>
                <w:sz w:val="18"/>
                <w:szCs w:val="18"/>
                <w:color w:val="auto"/>
              </w:rPr>
              <w:t>Percentage of professional services and other revenue</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1" w:lineRule="exact"/>
        <w:rPr>
          <w:sz w:val="20"/>
          <w:szCs w:val="20"/>
          <w:color w:val="auto"/>
        </w:rPr>
      </w:pPr>
    </w:p>
    <w:p>
      <w:pPr>
        <w:ind w:right="160" w:firstLine="749"/>
        <w:spacing w:after="0" w:line="272" w:lineRule="auto"/>
        <w:rPr>
          <w:sz w:val="20"/>
          <w:szCs w:val="20"/>
          <w:color w:val="auto"/>
        </w:rPr>
      </w:pPr>
      <w:r>
        <w:rPr>
          <w:rFonts w:ascii="Arial" w:cs="Arial" w:eastAsia="Arial" w:hAnsi="Arial"/>
          <w:sz w:val="18"/>
          <w:szCs w:val="18"/>
          <w:color w:val="auto"/>
        </w:rPr>
        <w:t>The increase in professional services and other cost of revenue for the three months ended March 31, 2021 compared to the same period in 2020 was primarily due to the following:</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r>
      <w:tr>
        <w:trPr>
          <w:trHeight w:val="221"/>
        </w:trPr>
        <w:tc>
          <w:tcPr>
            <w:tcW w:w="6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Three Months</w:t>
            </w:r>
          </w:p>
        </w:tc>
        <w:tc>
          <w:tcPr>
            <w:tcW w:w="80" w:type="dxa"/>
            <w:vAlign w:val="bottom"/>
          </w:tcPr>
          <w:p>
            <w:pPr>
              <w:spacing w:after="0"/>
              <w:rPr>
                <w:sz w:val="19"/>
                <w:szCs w:val="19"/>
                <w:color w:val="auto"/>
              </w:rPr>
            </w:pPr>
          </w:p>
        </w:tc>
      </w:tr>
      <w:tr>
        <w:trPr>
          <w:trHeight w:val="221"/>
        </w:trPr>
        <w:tc>
          <w:tcPr>
            <w:tcW w:w="6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r>
      <w:tr>
        <w:trPr>
          <w:trHeight w:val="228"/>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 and allocated overhead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2,330</w:t>
            </w:r>
          </w:p>
        </w:tc>
        <w:tc>
          <w:tcPr>
            <w:tcW w:w="80" w:type="dxa"/>
            <w:vAlign w:val="bottom"/>
            <w:shd w:val="clear" w:color="auto" w:fill="CFF0FC"/>
          </w:tcPr>
          <w:p>
            <w:pPr>
              <w:spacing w:after="0"/>
              <w:rPr>
                <w:sz w:val="19"/>
                <w:szCs w:val="19"/>
                <w:color w:val="auto"/>
              </w:rPr>
            </w:pPr>
          </w:p>
        </w:tc>
      </w:tr>
      <w:tr>
        <w:trPr>
          <w:trHeight w:val="234"/>
        </w:trPr>
        <w:tc>
          <w:tcPr>
            <w:tcW w:w="64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w:t>
            </w:r>
          </w:p>
        </w:tc>
        <w:tc>
          <w:tcPr>
            <w:tcW w:w="80" w:type="dxa"/>
            <w:vAlign w:val="bottom"/>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302" w:lineRule="exact"/>
        <w:rPr>
          <w:sz w:val="20"/>
          <w:szCs w:val="20"/>
          <w:color w:val="auto"/>
        </w:rPr>
      </w:pPr>
    </w:p>
    <w:p>
      <w:pPr>
        <w:ind w:right="600" w:firstLine="510"/>
        <w:spacing w:after="0" w:line="272" w:lineRule="auto"/>
        <w:rPr>
          <w:sz w:val="20"/>
          <w:szCs w:val="20"/>
          <w:color w:val="auto"/>
        </w:rPr>
      </w:pPr>
      <w:r>
        <w:rPr>
          <w:rFonts w:ascii="Arial" w:cs="Arial" w:eastAsia="Arial" w:hAnsi="Arial"/>
          <w:sz w:val="18"/>
          <w:szCs w:val="18"/>
          <w:color w:val="auto"/>
        </w:rPr>
        <w:t>Employee-related costs and allocated overhead expenses increased as a result of increased headcount as we continue to grow our professional services organization to support our customer growth.</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Ended March 31,</w:t>
            </w:r>
          </w:p>
        </w:tc>
        <w:tc>
          <w:tcPr>
            <w:tcW w:w="14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5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01"/>
              <w:spacing w:after="0" w:line="154"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97"/>
              <w:spacing w:after="0" w:line="154" w:lineRule="exact"/>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68,396</w:t>
            </w:r>
          </w:p>
        </w:tc>
        <w:tc>
          <w:tcPr>
            <w:tcW w:w="30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46,202</w:t>
            </w:r>
          </w:p>
        </w:tc>
        <w:tc>
          <w:tcPr>
            <w:tcW w:w="3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22,194</w:t>
            </w:r>
          </w:p>
        </w:tc>
        <w:tc>
          <w:tcPr>
            <w:tcW w:w="200" w:type="dxa"/>
            <w:vAlign w:val="bottom"/>
            <w:vMerge w:val="continue"/>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40" w:type="dxa"/>
            <w:vAlign w:val="bottom"/>
            <w:gridSpan w:val="2"/>
          </w:tcPr>
          <w:p>
            <w:pPr>
              <w:jc w:val="right"/>
              <w:ind w:right="31"/>
              <w:spacing w:after="0"/>
              <w:rPr>
                <w:sz w:val="20"/>
                <w:szCs w:val="20"/>
                <w:color w:val="auto"/>
              </w:rPr>
            </w:pPr>
            <w:r>
              <w:rPr>
                <w:rFonts w:ascii="Arial" w:cs="Arial" w:eastAsia="Arial" w:hAnsi="Arial"/>
                <w:sz w:val="18"/>
                <w:szCs w:val="18"/>
                <w:color w:val="auto"/>
                <w:w w:val="99"/>
              </w:rPr>
              <w:t>28</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8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8" w:name="page29"/>
    <w:bookmarkEnd w:id="28"/>
    <w:p>
      <w:pPr>
        <w:ind w:right="240" w:firstLine="510"/>
        <w:spacing w:after="0" w:line="272" w:lineRule="auto"/>
        <w:rPr>
          <w:sz w:val="20"/>
          <w:szCs w:val="20"/>
          <w:color w:val="auto"/>
        </w:rPr>
      </w:pPr>
      <w:r>
        <w:rPr>
          <w:rFonts w:ascii="Arial" w:cs="Arial" w:eastAsia="Arial" w:hAnsi="Arial"/>
          <w:sz w:val="18"/>
          <w:szCs w:val="18"/>
          <w:color w:val="auto"/>
        </w:rPr>
        <w:t>The increase in research and development expense for the three months ended March 31, 2021 compared to the same period in 2020 was primarily due to the following:</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r>
      <w:tr>
        <w:trPr>
          <w:trHeight w:val="154"/>
        </w:trPr>
        <w:tc>
          <w:tcPr>
            <w:tcW w:w="64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58"/>
              <w:spacing w:after="0" w:line="154" w:lineRule="exact"/>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3"/>
                <w:szCs w:val="13"/>
                <w:color w:val="auto"/>
              </w:rPr>
            </w:pPr>
          </w:p>
        </w:tc>
      </w:tr>
      <w:tr>
        <w:trPr>
          <w:trHeight w:val="154"/>
        </w:trPr>
        <w:tc>
          <w:tcPr>
            <w:tcW w:w="6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158"/>
              <w:spacing w:after="0" w:line="154"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3"/>
                <w:szCs w:val="13"/>
                <w:color w:val="auto"/>
              </w:rPr>
            </w:pPr>
          </w:p>
        </w:tc>
      </w:tr>
      <w:tr>
        <w:trPr>
          <w:trHeight w:val="228"/>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17,175</w:t>
            </w:r>
          </w:p>
        </w:tc>
        <w:tc>
          <w:tcPr>
            <w:tcW w:w="80" w:type="dxa"/>
            <w:vAlign w:val="bottom"/>
            <w:shd w:val="clear" w:color="auto" w:fill="CFF0FC"/>
          </w:tcPr>
          <w:p>
            <w:pPr>
              <w:spacing w:after="0"/>
              <w:rPr>
                <w:sz w:val="19"/>
                <w:szCs w:val="19"/>
                <w:color w:val="auto"/>
              </w:rPr>
            </w:pPr>
          </w:p>
        </w:tc>
      </w:tr>
      <w:tr>
        <w:trPr>
          <w:trHeight w:val="227"/>
        </w:trPr>
        <w:tc>
          <w:tcPr>
            <w:tcW w:w="6440" w:type="dxa"/>
            <w:vAlign w:val="bottom"/>
          </w:tcPr>
          <w:p>
            <w:pPr>
              <w:spacing w:after="0"/>
              <w:rPr>
                <w:sz w:val="20"/>
                <w:szCs w:val="20"/>
                <w:color w:val="auto"/>
              </w:rPr>
            </w:pPr>
            <w:r>
              <w:rPr>
                <w:rFonts w:ascii="Arial" w:cs="Arial" w:eastAsia="Arial" w:hAnsi="Arial"/>
                <w:sz w:val="18"/>
                <w:szCs w:val="18"/>
                <w:color w:val="auto"/>
              </w:rPr>
              <w:t>Hosting expenses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3,120</w:t>
            </w:r>
          </w:p>
        </w:tc>
        <w:tc>
          <w:tcPr>
            <w:tcW w:w="80" w:type="dxa"/>
            <w:vAlign w:val="bottom"/>
          </w:tcPr>
          <w:p>
            <w:pPr>
              <w:spacing w:after="0"/>
              <w:rPr>
                <w:sz w:val="19"/>
                <w:szCs w:val="19"/>
                <w:color w:val="auto"/>
              </w:rPr>
            </w:pPr>
          </w:p>
        </w:tc>
      </w:tr>
      <w:tr>
        <w:trPr>
          <w:trHeight w:val="228"/>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Allocated overhead expenses</w:t>
            </w: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80" w:type="dxa"/>
            <w:vAlign w:val="bottom"/>
            <w:shd w:val="clear" w:color="auto" w:fill="CFF0FC"/>
          </w:tcPr>
          <w:p>
            <w:pPr>
              <w:spacing w:after="0"/>
              <w:rPr>
                <w:sz w:val="19"/>
                <w:szCs w:val="19"/>
                <w:color w:val="auto"/>
              </w:rPr>
            </w:pPr>
          </w:p>
        </w:tc>
      </w:tr>
      <w:tr>
        <w:trPr>
          <w:trHeight w:val="234"/>
        </w:trPr>
        <w:tc>
          <w:tcPr>
            <w:tcW w:w="64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22,194</w:t>
            </w:r>
          </w:p>
        </w:tc>
        <w:tc>
          <w:tcPr>
            <w:tcW w:w="80" w:type="dxa"/>
            <w:vAlign w:val="bottom"/>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302" w:lineRule="exact"/>
        <w:rPr>
          <w:sz w:val="20"/>
          <w:szCs w:val="20"/>
          <w:color w:val="auto"/>
        </w:rPr>
      </w:pPr>
    </w:p>
    <w:p>
      <w:pPr>
        <w:ind w:firstLine="510"/>
        <w:spacing w:after="0" w:line="276" w:lineRule="auto"/>
        <w:rPr>
          <w:sz w:val="20"/>
          <w:szCs w:val="20"/>
          <w:color w:val="auto"/>
        </w:rPr>
      </w:pPr>
      <w:r>
        <w:rPr>
          <w:rFonts w:ascii="Arial" w:cs="Arial" w:eastAsia="Arial" w:hAnsi="Arial"/>
          <w:sz w:val="17"/>
          <w:szCs w:val="17"/>
          <w:color w:val="auto"/>
        </w:rPr>
        <w:t>Employee-related costs increased as a result of increased headcount as we continue to grow our engineering organization to develop new products, increase functionality and to maintain our existing CRM Platform. Hosting expense increased due to incremental spend associated with product development infrastructure that is unrelated to the hosting of our CRM Platform for paying customers. Allocated overhead expense increased due to expanding our leased space and infrastructure as we continue to grow our business and expand headcount.</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Ended March 31,</w:t>
            </w:r>
          </w:p>
        </w:tc>
        <w:tc>
          <w:tcPr>
            <w:tcW w:w="160" w:type="dxa"/>
            <w:vAlign w:val="bottom"/>
          </w:tcPr>
          <w:p>
            <w:pPr>
              <w:spacing w:after="0"/>
              <w:rPr>
                <w:sz w:val="14"/>
                <w:szCs w:val="14"/>
                <w:color w:val="auto"/>
              </w:rPr>
            </w:pPr>
          </w:p>
        </w:tc>
        <w:tc>
          <w:tcPr>
            <w:tcW w:w="8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vMerge w:val="restart"/>
          </w:tcPr>
          <w:p>
            <w:pPr>
              <w:spacing w:after="0"/>
              <w:rPr>
                <w:sz w:val="14"/>
                <w:szCs w:val="14"/>
                <w:color w:val="auto"/>
              </w:rPr>
            </w:pP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9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1"/>
              <w:spacing w:after="0" w:line="154"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77"/>
              <w:spacing w:after="0" w:line="154" w:lineRule="exact"/>
              <w:rPr>
                <w:sz w:val="20"/>
                <w:szCs w:val="20"/>
                <w:color w:val="auto"/>
              </w:rPr>
            </w:pPr>
            <w:r>
              <w:rPr>
                <w:rFonts w:ascii="Arial" w:cs="Arial" w:eastAsia="Arial" w:hAnsi="Arial"/>
                <w:sz w:val="14"/>
                <w:szCs w:val="14"/>
                <w:b w:val="1"/>
                <w:bCs w:val="1"/>
                <w:color w:val="auto"/>
                <w:w w:val="96"/>
              </w:rPr>
              <w:t>2020</w:t>
            </w:r>
          </w:p>
        </w:tc>
        <w:tc>
          <w:tcPr>
            <w:tcW w:w="3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FF0FC"/>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141,017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102,328</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38,689</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7"/>
        </w:trPr>
        <w:tc>
          <w:tcPr>
            <w:tcW w:w="49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0" w:firstLine="510"/>
        <w:spacing w:after="0" w:line="272" w:lineRule="auto"/>
        <w:rPr>
          <w:sz w:val="20"/>
          <w:szCs w:val="20"/>
          <w:color w:val="auto"/>
        </w:rPr>
      </w:pPr>
      <w:r>
        <w:rPr>
          <w:rFonts w:ascii="Arial" w:cs="Arial" w:eastAsia="Arial" w:hAnsi="Arial"/>
          <w:sz w:val="18"/>
          <w:szCs w:val="18"/>
          <w:color w:val="auto"/>
        </w:rPr>
        <w:t>The increase in sales and marketing expense for the three months ended March 31, 2021 compared to the same period in 2020 was primarily due to the following:</w:t>
      </w:r>
    </w:p>
    <w:p>
      <w:pPr>
        <w:sectPr>
          <w:pgSz w:w="11900" w:h="16838" w:orient="portrait"/>
          <w:cols w:equalWidth="0" w:num="1">
            <w:col w:w="11240"/>
          </w:cols>
          <w:pgMar w:left="320" w:top="594"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-130175</wp:posOffset>
            </wp:positionV>
            <wp:extent cx="4987925" cy="1447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87925" cy="144780"/>
                    </a:xfrm>
                    <a:prstGeom prst="rect">
                      <a:avLst/>
                    </a:prstGeom>
                    <a:noFill/>
                  </pic:spPr>
                </pic:pic>
              </a:graphicData>
            </a:graphic>
          </wp:anchor>
        </w:drawing>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Marketing programs</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Solutions Partner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-130175</wp:posOffset>
            </wp:positionV>
            <wp:extent cx="4987925" cy="144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87925" cy="144780"/>
                    </a:xfrm>
                    <a:prstGeom prst="rect">
                      <a:avLst/>
                    </a:prstGeom>
                    <a:noFill/>
                  </pic:spPr>
                </pic:pic>
              </a:graphicData>
            </a:graphic>
          </wp:anchor>
        </w:drawing>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Allocated overhead expenses</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Amortization of acquired intangible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-115570</wp:posOffset>
            </wp:positionV>
            <wp:extent cx="4987925" cy="14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87925" cy="14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176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8515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4" w:lineRule="exact"/>
        <w:rPr>
          <w:sz w:val="20"/>
          <w:szCs w:val="20"/>
          <w:color w:val="auto"/>
        </w:rPr>
      </w:pPr>
    </w:p>
    <w:p>
      <w:pPr>
        <w:jc w:val="center"/>
        <w:ind w:right="1760"/>
        <w:spacing w:after="0"/>
        <w:rPr>
          <w:sz w:val="20"/>
          <w:szCs w:val="20"/>
          <w:color w:val="auto"/>
        </w:rPr>
      </w:pPr>
      <w:r>
        <w:rPr>
          <w:rFonts w:ascii="Arial" w:cs="Arial" w:eastAsia="Arial" w:hAnsi="Arial"/>
          <w:sz w:val="14"/>
          <w:szCs w:val="14"/>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8515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jc w:val="center"/>
        <w:ind w:right="1760"/>
        <w:spacing w:after="0"/>
        <w:rPr>
          <w:sz w:val="20"/>
          <w:szCs w:val="20"/>
          <w:color w:val="auto"/>
        </w:rPr>
      </w:pPr>
      <w:r>
        <w:rPr>
          <w:rFonts w:ascii="Arial" w:cs="Arial" w:eastAsia="Arial" w:hAnsi="Arial"/>
          <w:sz w:val="14"/>
          <w:szCs w:val="14"/>
          <w:b w:val="1"/>
          <w:bCs w:val="1"/>
          <w:color w:val="auto"/>
        </w:rPr>
        <w:t>(in thousands)</w:t>
      </w:r>
    </w:p>
    <w:p>
      <w:pPr>
        <w:spacing w:after="0" w:line="13" w:lineRule="exact"/>
        <w:rPr>
          <w:sz w:val="20"/>
          <w:szCs w:val="20"/>
          <w:color w:val="auto"/>
        </w:rPr>
      </w:pPr>
    </w:p>
    <w:p>
      <w:pPr>
        <w:ind w:left="840" w:hanging="836"/>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21,337</w:t>
      </w:r>
    </w:p>
    <w:p>
      <w:pPr>
        <w:spacing w:after="0" w:line="27"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8,477</w:t>
      </w:r>
    </w:p>
    <w:p>
      <w:pPr>
        <w:spacing w:after="0" w:line="43"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4,375</w:t>
      </w:r>
    </w:p>
    <w:p>
      <w:pPr>
        <w:spacing w:after="0" w:line="43"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4,394</w:t>
      </w:r>
    </w:p>
    <w:p>
      <w:pPr>
        <w:spacing w:after="0" w:line="43"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8515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37" w:lineRule="exact"/>
        <w:rPr>
          <w:sz w:val="20"/>
          <w:szCs w:val="20"/>
          <w:color w:val="auto"/>
        </w:rPr>
      </w:pPr>
    </w:p>
    <w:p>
      <w:pPr>
        <w:ind w:left="840" w:hanging="836"/>
        <w:spacing w:after="0"/>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38,689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8515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15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45720</wp:posOffset>
            </wp:positionV>
            <wp:extent cx="851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100"/>
          </w:cols>
          <w:pgMar w:left="320" w:top="594" w:right="339" w:bottom="1440" w:gutter="0" w:footer="0" w:header="0"/>
          <w:type w:val="continuous"/>
        </w:sectPr>
      </w:pP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89"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Employee-related costs increased as a result of increased headcount as we continue to expand our selling and marketing organizations to grow our customer base. Marketing programs increased due to the timing and size of certain marketing efforts as we continue to make investments in attracting new customers. Solutions Partner commissions increased as a result of increased revenue generated through our partners. Allocated overhead expenses increased due to expanding our leased space and infrastructure as we continue to grow our business and expand headcount. Amortization of acquired intangible assets increased due to the amortization of customer relationships associated with our acquisition of the Hustle.</w:t>
      </w:r>
    </w:p>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Ended March 31,</w:t>
            </w:r>
          </w:p>
        </w:tc>
        <w:tc>
          <w:tcPr>
            <w:tcW w:w="14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5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01"/>
              <w:spacing w:after="0" w:line="154"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97"/>
              <w:spacing w:after="0" w:line="154" w:lineRule="exact"/>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32,250</w:t>
            </w:r>
          </w:p>
        </w:tc>
        <w:tc>
          <w:tcPr>
            <w:tcW w:w="30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26,255</w:t>
            </w:r>
          </w:p>
        </w:tc>
        <w:tc>
          <w:tcPr>
            <w:tcW w:w="3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5,995</w:t>
            </w:r>
          </w:p>
        </w:tc>
        <w:tc>
          <w:tcPr>
            <w:tcW w:w="200" w:type="dxa"/>
            <w:vAlign w:val="bottom"/>
            <w:vMerge w:val="continue"/>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500" w:type="dxa"/>
            <w:vAlign w:val="bottom"/>
            <w:gridSpan w:val="2"/>
          </w:tcPr>
          <w:p>
            <w:pPr>
              <w:ind w:left="58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40" w:type="dxa"/>
            <w:vAlign w:val="bottom"/>
            <w:gridSpan w:val="2"/>
          </w:tcPr>
          <w:p>
            <w:pPr>
              <w:jc w:val="right"/>
              <w:ind w:right="31"/>
              <w:spacing w:after="0"/>
              <w:rPr>
                <w:sz w:val="20"/>
                <w:szCs w:val="20"/>
                <w:color w:val="auto"/>
              </w:rPr>
            </w:pPr>
            <w:r>
              <w:rPr>
                <w:rFonts w:ascii="Arial" w:cs="Arial" w:eastAsia="Arial" w:hAnsi="Arial"/>
                <w:sz w:val="18"/>
                <w:szCs w:val="18"/>
                <w:color w:val="auto"/>
                <w:w w:val="99"/>
              </w:rPr>
              <w:t>29</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8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type w:val="continuous"/>
        </w:sectPr>
      </w:pPr>
    </w:p>
    <w:bookmarkStart w:id="29" w:name="page30"/>
    <w:bookmarkEnd w:id="29"/>
    <w:p>
      <w:pPr>
        <w:ind w:right="200" w:firstLine="510"/>
        <w:spacing w:after="0" w:line="272" w:lineRule="auto"/>
        <w:rPr>
          <w:sz w:val="20"/>
          <w:szCs w:val="20"/>
          <w:color w:val="auto"/>
        </w:rPr>
      </w:pPr>
      <w:r>
        <w:rPr>
          <w:rFonts w:ascii="Arial" w:cs="Arial" w:eastAsia="Arial" w:hAnsi="Arial"/>
          <w:sz w:val="18"/>
          <w:szCs w:val="18"/>
          <w:color w:val="auto"/>
        </w:rPr>
        <w:t>The increase in general and administrative expense for the three months ended March 31, 2021 compared to the same period in 2020 was primarily due to the following:</w:t>
      </w:r>
    </w:p>
    <w:p>
      <w:pPr>
        <w:sectPr>
          <w:pgSz w:w="11900" w:h="16838" w:orient="portrait"/>
          <w:cols w:equalWidth="0" w:num="1">
            <w:col w:w="11240"/>
          </w:cols>
          <w:pgMar w:left="320" w:top="5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-130175</wp:posOffset>
            </wp:positionV>
            <wp:extent cx="4987925" cy="144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87925" cy="144780"/>
                    </a:xfrm>
                    <a:prstGeom prst="rect">
                      <a:avLst/>
                    </a:prstGeom>
                    <a:noFill/>
                  </pic:spPr>
                </pic:pic>
              </a:graphicData>
            </a:graphic>
          </wp:anchor>
        </w:drawing>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Allocated overhead expenses</w:t>
      </w:r>
    </w:p>
    <w:p>
      <w:pPr>
        <w:spacing w:after="0" w:line="5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Customer credit card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-130175</wp:posOffset>
            </wp:positionV>
            <wp:extent cx="4987925" cy="1447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87925" cy="14478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176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8515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4" w:lineRule="exact"/>
        <w:rPr>
          <w:sz w:val="20"/>
          <w:szCs w:val="20"/>
          <w:color w:val="auto"/>
        </w:rPr>
      </w:pPr>
    </w:p>
    <w:p>
      <w:pPr>
        <w:jc w:val="center"/>
        <w:ind w:right="1760"/>
        <w:spacing w:after="0"/>
        <w:rPr>
          <w:sz w:val="20"/>
          <w:szCs w:val="20"/>
          <w:color w:val="auto"/>
        </w:rPr>
      </w:pPr>
      <w:r>
        <w:rPr>
          <w:rFonts w:ascii="Arial" w:cs="Arial" w:eastAsia="Arial" w:hAnsi="Arial"/>
          <w:sz w:val="14"/>
          <w:szCs w:val="14"/>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8515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jc w:val="center"/>
        <w:ind w:right="1760"/>
        <w:spacing w:after="0"/>
        <w:rPr>
          <w:sz w:val="20"/>
          <w:szCs w:val="20"/>
          <w:color w:val="auto"/>
        </w:rPr>
      </w:pPr>
      <w:r>
        <w:rPr>
          <w:rFonts w:ascii="Arial" w:cs="Arial" w:eastAsia="Arial" w:hAnsi="Arial"/>
          <w:sz w:val="14"/>
          <w:szCs w:val="14"/>
          <w:b w:val="1"/>
          <w:bCs w:val="1"/>
          <w:color w:val="auto"/>
        </w:rPr>
        <w:t>(in thousands)</w:t>
      </w:r>
    </w:p>
    <w:p>
      <w:pPr>
        <w:spacing w:after="0" w:line="13" w:lineRule="exact"/>
        <w:rPr>
          <w:sz w:val="20"/>
          <w:szCs w:val="20"/>
          <w:color w:val="auto"/>
        </w:rPr>
      </w:pPr>
    </w:p>
    <w:p>
      <w:pPr>
        <w:ind w:left="920" w:hanging="916"/>
        <w:spacing w:after="0"/>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2,985</w:t>
      </w:r>
    </w:p>
    <w:p>
      <w:pPr>
        <w:spacing w:after="0" w:line="27"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1,641</w:t>
      </w:r>
    </w:p>
    <w:p>
      <w:pPr>
        <w:spacing w:after="0" w:line="43"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1,369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8515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51" w:lineRule="exact"/>
        <w:rPr>
          <w:sz w:val="20"/>
          <w:szCs w:val="20"/>
          <w:color w:val="auto"/>
        </w:rPr>
      </w:pPr>
    </w:p>
    <w:p>
      <w:pPr>
        <w:ind w:left="920" w:hanging="916"/>
        <w:spacing w:after="0"/>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5,995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8515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15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45720</wp:posOffset>
            </wp:positionV>
            <wp:extent cx="8515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759" w:lineRule="exact"/>
        <w:rPr>
          <w:sz w:val="20"/>
          <w:szCs w:val="20"/>
          <w:color w:val="auto"/>
        </w:rPr>
      </w:pPr>
    </w:p>
    <w:p>
      <w:pPr>
        <w:sectPr>
          <w:pgSz w:w="11900" w:h="16838" w:orient="portrait"/>
          <w:cols w:equalWidth="0" w:num="2">
            <w:col w:w="7420" w:space="720"/>
            <w:col w:w="3100"/>
          </w:cols>
          <w:pgMar w:left="320" w:top="594" w:right="339" w:bottom="1440" w:gutter="0" w:footer="0" w:header="0"/>
          <w:type w:val="continuous"/>
        </w:sectPr>
      </w:pPr>
    </w:p>
    <w:p>
      <w:pPr>
        <w:spacing w:after="0" w:line="89" w:lineRule="exact"/>
        <w:rPr>
          <w:sz w:val="20"/>
          <w:szCs w:val="20"/>
          <w:color w:val="auto"/>
        </w:rPr>
      </w:pPr>
    </w:p>
    <w:p>
      <w:pPr>
        <w:jc w:val="both"/>
        <w:ind w:right="140" w:firstLine="510"/>
        <w:spacing w:after="0" w:line="307" w:lineRule="auto"/>
        <w:rPr>
          <w:sz w:val="20"/>
          <w:szCs w:val="20"/>
          <w:color w:val="auto"/>
        </w:rPr>
      </w:pPr>
      <w:r>
        <w:rPr>
          <w:rFonts w:ascii="Arial" w:cs="Arial" w:eastAsia="Arial" w:hAnsi="Arial"/>
          <w:sz w:val="16"/>
          <w:szCs w:val="16"/>
          <w:color w:val="auto"/>
        </w:rPr>
        <w:t>Employee-related costs increased as a result of increased headcount as we continue to grow our business and require additional personnel to support our expanded operations. Allocated overhead expenses increased due to expanding our leased space and infrastructure as we continue to grow our business and expand headcount. Customer credit card fees increased due to increased customer transactions as we continue to grow our business.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w:t>
      </w:r>
    </w:p>
    <w:p>
      <w:pPr>
        <w:spacing w:after="0" w:line="15" w:lineRule="exact"/>
        <w:rPr>
          <w:sz w:val="20"/>
          <w:szCs w:val="20"/>
          <w:color w:val="auto"/>
        </w:rPr>
      </w:pPr>
    </w:p>
    <w:p>
      <w:pPr>
        <w:jc w:val="center"/>
        <w:ind w:left="1700"/>
        <w:spacing w:after="0"/>
        <w:rPr>
          <w:sz w:val="20"/>
          <w:szCs w:val="20"/>
          <w:color w:val="auto"/>
        </w:rPr>
      </w:pPr>
      <w:r>
        <w:rPr>
          <w:rFonts w:ascii="Arial" w:cs="Arial" w:eastAsia="Arial" w:hAnsi="Arial"/>
          <w:sz w:val="14"/>
          <w:szCs w:val="14"/>
          <w:b w:val="1"/>
          <w:bCs w:val="1"/>
          <w:color w:val="auto"/>
        </w:rPr>
        <w:t>Three Months</w:t>
      </w:r>
    </w:p>
    <w:p>
      <w:pPr>
        <w:jc w:val="center"/>
        <w:ind w:left="170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-3810</wp:posOffset>
            </wp:positionV>
            <wp:extent cx="20853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1200" w:type="dxa"/>
            <w:vAlign w:val="bottom"/>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71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420" w:type="dxa"/>
            <w:vAlign w:val="bottom"/>
          </w:tcPr>
          <w:p>
            <w:pPr>
              <w:jc w:val="right"/>
              <w:ind w:right="415"/>
              <w:spacing w:after="0"/>
              <w:rPr>
                <w:sz w:val="20"/>
                <w:szCs w:val="20"/>
                <w:color w:val="auto"/>
              </w:rPr>
            </w:pPr>
            <w:r>
              <w:rPr>
                <w:rFonts w:ascii="Arial" w:cs="Arial" w:eastAsia="Arial" w:hAnsi="Arial"/>
                <w:sz w:val="14"/>
                <w:szCs w:val="14"/>
                <w:b w:val="1"/>
                <w:bCs w:val="1"/>
                <w:color w:val="auto"/>
              </w:rPr>
              <w:t>% Change</w:t>
            </w:r>
          </w:p>
        </w:tc>
      </w:tr>
      <w:tr>
        <w:trPr>
          <w:trHeight w:val="221"/>
        </w:trPr>
        <w:tc>
          <w:tcPr>
            <w:tcW w:w="48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rPr>
              <w:t>475</w:t>
            </w: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rPr>
              <w:t>4,057</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(3,582)</w:t>
            </w: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r>
      <w:tr>
        <w:trPr>
          <w:trHeight w:val="227"/>
        </w:trPr>
        <w:tc>
          <w:tcPr>
            <w:tcW w:w="4960" w:type="dxa"/>
            <w:vAlign w:val="bottom"/>
            <w:gridSpan w:val="3"/>
          </w:tcPr>
          <w:p>
            <w:pPr>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(9,399)</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(5,953)</w:t>
            </w:r>
          </w:p>
        </w:tc>
        <w:tc>
          <w:tcPr>
            <w:tcW w:w="34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r>
      <w:tr>
        <w:trPr>
          <w:trHeight w:val="227"/>
        </w:trPr>
        <w:tc>
          <w:tcPr>
            <w:tcW w:w="4960" w:type="dxa"/>
            <w:vAlign w:val="bottom"/>
            <w:gridSpan w:val="3"/>
          </w:tcPr>
          <w:p>
            <w:pPr>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(1,052)</w:t>
            </w:r>
          </w:p>
        </w:tc>
        <w:tc>
          <w:tcPr>
            <w:tcW w:w="34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1,712</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r>
      <w:tr>
        <w:trPr>
          <w:trHeight w:val="227"/>
        </w:trPr>
        <w:tc>
          <w:tcPr>
            <w:tcW w:w="4960" w:type="dxa"/>
            <w:vAlign w:val="bottom"/>
            <w:gridSpan w:val="3"/>
          </w:tcPr>
          <w:p>
            <w:pPr>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660" w:type="dxa"/>
            <w:vAlign w:val="bottom"/>
            <w:gridSpan w:val="2"/>
          </w:tcPr>
          <w:p>
            <w:pPr>
              <w:ind w:left="220"/>
              <w:spacing w:after="0"/>
              <w:rPr>
                <w:sz w:val="20"/>
                <w:szCs w:val="20"/>
                <w:color w:val="auto"/>
              </w:rPr>
            </w:pPr>
            <w:r>
              <w:rPr>
                <w:rFonts w:ascii="Arial" w:cs="Arial" w:eastAsia="Arial" w:hAnsi="Arial"/>
                <w:sz w:val="18"/>
                <w:szCs w:val="18"/>
                <w:color w:val="auto"/>
              </w:rPr>
              <w:t>not meaningful</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15" w:lineRule="exact"/>
        <w:rPr>
          <w:sz w:val="20"/>
          <w:szCs w:val="20"/>
          <w:color w:val="auto"/>
        </w:rPr>
      </w:pPr>
    </w:p>
    <w:p>
      <w:pPr>
        <w:ind w:right="160" w:firstLine="544"/>
        <w:spacing w:after="0" w:line="272" w:lineRule="auto"/>
        <w:rPr>
          <w:sz w:val="20"/>
          <w:szCs w:val="20"/>
          <w:color w:val="auto"/>
        </w:rPr>
      </w:pPr>
      <w:r>
        <w:rPr>
          <w:rFonts w:ascii="Arial" w:cs="Arial" w:eastAsia="Arial" w:hAnsi="Arial"/>
          <w:sz w:val="18"/>
          <w:szCs w:val="18"/>
          <w:color w:val="auto"/>
        </w:rPr>
        <w:t>Interest income primarily consists of interest earned on invested cash and cash equivalents balances and investments. The decrease during the three months ended March 31, 2021 is due to a decrease in yields on our investment balances.</w:t>
      </w:r>
    </w:p>
    <w:p>
      <w:pPr>
        <w:spacing w:after="0" w:line="174" w:lineRule="exact"/>
        <w:rPr>
          <w:sz w:val="20"/>
          <w:szCs w:val="20"/>
          <w:color w:val="auto"/>
        </w:rPr>
      </w:pPr>
    </w:p>
    <w:p>
      <w:pPr>
        <w:jc w:val="both"/>
        <w:ind w:right="120" w:firstLine="544"/>
        <w:spacing w:after="0" w:line="307" w:lineRule="auto"/>
        <w:rPr>
          <w:sz w:val="20"/>
          <w:szCs w:val="20"/>
          <w:color w:val="auto"/>
        </w:rPr>
      </w:pPr>
      <w:r>
        <w:rPr>
          <w:rFonts w:ascii="Arial" w:cs="Arial" w:eastAsia="Arial" w:hAnsi="Arial"/>
          <w:sz w:val="16"/>
          <w:szCs w:val="16"/>
          <w:color w:val="auto"/>
        </w:rPr>
        <w:t>Interest expense primarily consists of amortization of the debt discount and issuance costs and contractual interest expense related to our Notes, and the loss on early extinguishment of our 2022 Notes. The increase during the three months ended March 31, 2021 was primarily due to the $2.4 million loss on the early extinguishment of our 2022 Notes and amortization of the debt discount and issuance costs related to the 2025 Notes.</w:t>
      </w:r>
    </w:p>
    <w:p>
      <w:pPr>
        <w:spacing w:after="0" w:line="152" w:lineRule="exact"/>
        <w:rPr>
          <w:sz w:val="20"/>
          <w:szCs w:val="20"/>
          <w:color w:val="auto"/>
        </w:rPr>
      </w:pPr>
    </w:p>
    <w:p>
      <w:pPr>
        <w:ind w:right="600" w:firstLine="544"/>
        <w:spacing w:after="0" w:line="272" w:lineRule="auto"/>
        <w:rPr>
          <w:sz w:val="20"/>
          <w:szCs w:val="20"/>
          <w:color w:val="auto"/>
        </w:rPr>
      </w:pPr>
      <w:r>
        <w:rPr>
          <w:rFonts w:ascii="Arial" w:cs="Arial" w:eastAsia="Arial" w:hAnsi="Arial"/>
          <w:sz w:val="18"/>
          <w:szCs w:val="18"/>
          <w:color w:val="auto"/>
        </w:rPr>
        <w:t>Other income (expense) primarily consists of the impact of foreign currency transaction gains and losses associated with monetary assets and liabilities. The increase was primarily due to exchange rate fluctuations.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7" w:lineRule="exact"/>
        <w:rPr>
          <w:sz w:val="20"/>
          <w:szCs w:val="20"/>
          <w:color w:val="auto"/>
        </w:rPr>
      </w:pPr>
    </w:p>
    <w:p>
      <w:pPr>
        <w:jc w:val="center"/>
        <w:ind w:left="1480"/>
        <w:spacing w:after="0"/>
        <w:rPr>
          <w:sz w:val="20"/>
          <w:szCs w:val="20"/>
          <w:color w:val="auto"/>
        </w:rPr>
      </w:pPr>
      <w:r>
        <w:rPr>
          <w:rFonts w:ascii="Arial" w:cs="Arial" w:eastAsia="Arial" w:hAnsi="Arial"/>
          <w:sz w:val="14"/>
          <w:szCs w:val="14"/>
          <w:b w:val="1"/>
          <w:bCs w:val="1"/>
          <w:color w:val="auto"/>
        </w:rPr>
        <w:t>Three Months</w:t>
      </w:r>
    </w:p>
    <w:p>
      <w:pPr>
        <w:spacing w:after="0" w:line="2" w:lineRule="exact"/>
        <w:rPr>
          <w:sz w:val="20"/>
          <w:szCs w:val="20"/>
          <w:color w:val="auto"/>
        </w:rPr>
      </w:pPr>
    </w:p>
    <w:p>
      <w:pPr>
        <w:jc w:val="center"/>
        <w:ind w:left="148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3162935</wp:posOffset>
            </wp:positionH>
            <wp:positionV relativeFrom="paragraph">
              <wp:posOffset>-3810</wp:posOffset>
            </wp:positionV>
            <wp:extent cx="17703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7038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gridSpan w:val="3"/>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2"/>
          </w:tcPr>
          <w:p>
            <w:pPr>
              <w:jc w:val="right"/>
              <w:ind w:right="351"/>
              <w:spacing w:after="0"/>
              <w:rPr>
                <w:sz w:val="20"/>
                <w:szCs w:val="20"/>
                <w:color w:val="auto"/>
              </w:rPr>
            </w:pPr>
            <w:r>
              <w:rPr>
                <w:rFonts w:ascii="Arial" w:cs="Arial" w:eastAsia="Arial" w:hAnsi="Arial"/>
                <w:sz w:val="14"/>
                <w:szCs w:val="14"/>
                <w:b w:val="1"/>
                <w:bCs w:val="1"/>
                <w:color w:val="auto"/>
              </w:rPr>
              <w:t>% Change</w:t>
            </w:r>
          </w:p>
        </w:tc>
        <w:tc>
          <w:tcPr>
            <w:tcW w:w="560" w:type="dxa"/>
            <w:vAlign w:val="bottom"/>
          </w:tcPr>
          <w:p>
            <w:pPr>
              <w:spacing w:after="0"/>
              <w:rPr>
                <w:sz w:val="14"/>
                <w:szCs w:val="14"/>
                <w:color w:val="auto"/>
              </w:rPr>
            </w:pPr>
          </w:p>
        </w:tc>
      </w:tr>
      <w:tr>
        <w:trPr>
          <w:trHeight w:val="221"/>
        </w:trPr>
        <w:tc>
          <w:tcPr>
            <w:tcW w:w="580" w:type="dxa"/>
            <w:vAlign w:val="bottom"/>
          </w:tcPr>
          <w:p>
            <w:pPr>
              <w:spacing w:after="0"/>
              <w:rPr>
                <w:sz w:val="19"/>
                <w:szCs w:val="19"/>
                <w:color w:val="auto"/>
              </w:rPr>
            </w:pPr>
          </w:p>
        </w:tc>
        <w:tc>
          <w:tcPr>
            <w:tcW w:w="4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3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27"/>
        </w:trPr>
        <w:tc>
          <w:tcPr>
            <w:tcW w:w="58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669"/>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6"/>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type w:val="continuous"/>
        </w:sectPr>
      </w:pPr>
    </w:p>
    <w:bookmarkStart w:id="30" w:name="page31"/>
    <w:bookmarkEnd w:id="30"/>
    <w:p>
      <w:pPr>
        <w:ind w:right="200" w:firstLine="749"/>
        <w:spacing w:after="0" w:line="256" w:lineRule="auto"/>
        <w:rPr>
          <w:sz w:val="20"/>
          <w:szCs w:val="20"/>
          <w:color w:val="auto"/>
        </w:rPr>
      </w:pPr>
      <w:r>
        <w:rPr>
          <w:rFonts w:ascii="Arial" w:cs="Arial" w:eastAsia="Arial" w:hAnsi="Arial"/>
          <w:sz w:val="18"/>
          <w:szCs w:val="18"/>
          <w:color w:val="auto"/>
        </w:rPr>
        <w:t>Income tax benefit (expense) consists of current and deferred taxes for U.S. and foreign income taxes. The increase in the income tax benefit in the three months ended March 31, 2021 was primarily due to a non-recurring income tax benefit relating to the release of a portion of the Company’s valuation allowance. The release was due to recording net deferred tax liabilities related to the Hustle acquisition, which are a source of income to support the realizability of the Company’s pre-existing U.S. deferred tax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6" w:lineRule="exact"/>
        <w:rPr>
          <w:sz w:val="20"/>
          <w:szCs w:val="20"/>
          <w:color w:val="auto"/>
        </w:rPr>
      </w:pPr>
    </w:p>
    <w:p>
      <w:pPr>
        <w:ind w:right="680" w:firstLine="510"/>
        <w:spacing w:after="0" w:line="272" w:lineRule="auto"/>
        <w:rPr>
          <w:sz w:val="20"/>
          <w:szCs w:val="20"/>
          <w:color w:val="auto"/>
        </w:rPr>
      </w:pPr>
      <w:r>
        <w:rPr>
          <w:rFonts w:ascii="Arial" w:cs="Arial" w:eastAsia="Arial" w:hAnsi="Arial"/>
          <w:sz w:val="18"/>
          <w:szCs w:val="18"/>
          <w:color w:val="auto"/>
        </w:rPr>
        <w:t>Our principal sources of liquidity to date have been cash and cash equivalents, net accounts receivable, our common stock offerings, and our convertible notes offerings.</w:t>
      </w:r>
    </w:p>
    <w:p>
      <w:pPr>
        <w:spacing w:after="0" w:line="174" w:lineRule="exact"/>
        <w:rPr>
          <w:sz w:val="20"/>
          <w:szCs w:val="20"/>
          <w:color w:val="auto"/>
        </w:rPr>
      </w:pPr>
    </w:p>
    <w:p>
      <w:pPr>
        <w:ind w:right="160" w:firstLine="510"/>
        <w:spacing w:after="0" w:line="260" w:lineRule="auto"/>
        <w:rPr>
          <w:sz w:val="20"/>
          <w:szCs w:val="20"/>
          <w:color w:val="auto"/>
        </w:rPr>
      </w:pPr>
      <w:r>
        <w:rPr>
          <w:rFonts w:ascii="Arial" w:cs="Arial" w:eastAsia="Arial" w:hAnsi="Arial"/>
          <w:sz w:val="18"/>
          <w:szCs w:val="18"/>
          <w:color w:val="auto"/>
        </w:rPr>
        <w:t>The following table shows cash and cash equivalents, working capital, net cash and cash equivalents provided by operating activities, net cash and cash equivalents used in investing activities, and net cash and cash equivalents provided by financing activities for the three months ended March 31, 2021 and 2020.</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154"/>
        </w:trPr>
        <w:tc>
          <w:tcPr>
            <w:tcW w:w="4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7"/>
              <w:spacing w:after="0" w:line="154"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34"/>
              <w:spacing w:after="0" w:line="154"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4"/>
        </w:trPr>
        <w:tc>
          <w:tcPr>
            <w:tcW w:w="4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center"/>
              <w:ind w:left="537"/>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397,498</w:t>
            </w:r>
          </w:p>
        </w:tc>
        <w:tc>
          <w:tcPr>
            <w:tcW w:w="48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229,133</w:t>
            </w:r>
          </w:p>
        </w:tc>
        <w:tc>
          <w:tcPr>
            <w:tcW w:w="80" w:type="dxa"/>
            <w:vAlign w:val="bottom"/>
            <w:shd w:val="clear" w:color="auto" w:fill="CFF0FC"/>
          </w:tcPr>
          <w:p>
            <w:pPr>
              <w:spacing w:after="0"/>
              <w:rPr>
                <w:sz w:val="19"/>
                <w:szCs w:val="19"/>
                <w:color w:val="auto"/>
              </w:rPr>
            </w:pPr>
          </w:p>
        </w:tc>
      </w:tr>
      <w:tr>
        <w:trPr>
          <w:trHeight w:val="227"/>
        </w:trPr>
        <w:tc>
          <w:tcPr>
            <w:tcW w:w="4720" w:type="dxa"/>
            <w:vAlign w:val="bottom"/>
          </w:tcPr>
          <w:p>
            <w:pPr>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885,986</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785,368</w:t>
            </w:r>
          </w:p>
        </w:tc>
        <w:tc>
          <w:tcPr>
            <w:tcW w:w="8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w w:val="94"/>
              </w:rPr>
              <w:t>Net cash and cash equivalents provided by operating activities</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62,700</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23,011</w:t>
            </w:r>
          </w:p>
        </w:tc>
        <w:tc>
          <w:tcPr>
            <w:tcW w:w="80" w:type="dxa"/>
            <w:vAlign w:val="bottom"/>
            <w:shd w:val="clear" w:color="auto" w:fill="CFF0FC"/>
          </w:tcPr>
          <w:p>
            <w:pPr>
              <w:spacing w:after="0"/>
              <w:rPr>
                <w:sz w:val="19"/>
                <w:szCs w:val="19"/>
                <w:color w:val="auto"/>
              </w:rPr>
            </w:pPr>
          </w:p>
        </w:tc>
      </w:tr>
      <w:tr>
        <w:trPr>
          <w:trHeight w:val="227"/>
        </w:trPr>
        <w:tc>
          <w:tcPr>
            <w:tcW w:w="4720" w:type="dxa"/>
            <w:vAlign w:val="bottom"/>
          </w:tcPr>
          <w:p>
            <w:pPr>
              <w:spacing w:after="0"/>
              <w:rPr>
                <w:sz w:val="20"/>
                <w:szCs w:val="20"/>
                <w:color w:val="auto"/>
              </w:rPr>
            </w:pPr>
            <w:r>
              <w:rPr>
                <w:rFonts w:ascii="Arial" w:cs="Arial" w:eastAsia="Arial" w:hAnsi="Arial"/>
                <w:sz w:val="18"/>
                <w:szCs w:val="18"/>
                <w:color w:val="auto"/>
              </w:rPr>
              <w:t>Net cash and cash equivalents used in investing activities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(17,646)</w:t>
            </w:r>
          </w:p>
        </w:tc>
        <w:tc>
          <w:tcPr>
            <w:tcW w:w="4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(72,881)</w:t>
            </w:r>
          </w:p>
        </w:tc>
      </w:tr>
      <w:tr>
        <w:trPr>
          <w:trHeight w:val="214"/>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w w:val="94"/>
              </w:rPr>
              <w:t>Net cash and cash equivalents (used in) provided by financing</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(21,802)</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5,883</w:t>
            </w:r>
          </w:p>
        </w:tc>
        <w:tc>
          <w:tcPr>
            <w:tcW w:w="80" w:type="dxa"/>
            <w:vAlign w:val="bottom"/>
            <w:shd w:val="clear" w:color="auto" w:fill="CFF0FC"/>
          </w:tcPr>
          <w:p>
            <w:pPr>
              <w:spacing w:after="0"/>
              <w:rPr>
                <w:sz w:val="19"/>
                <w:szCs w:val="19"/>
                <w:color w:val="auto"/>
              </w:rPr>
            </w:pPr>
          </w:p>
        </w:tc>
      </w:tr>
    </w:tbl>
    <w:p>
      <w:pPr>
        <w:spacing w:after="0" w:line="267" w:lineRule="exact"/>
        <w:rPr>
          <w:sz w:val="20"/>
          <w:szCs w:val="20"/>
          <w:color w:val="auto"/>
        </w:rPr>
      </w:pPr>
    </w:p>
    <w:p>
      <w:pPr>
        <w:ind w:right="140" w:firstLine="510"/>
        <w:spacing w:after="0" w:line="298" w:lineRule="auto"/>
        <w:rPr>
          <w:sz w:val="20"/>
          <w:szCs w:val="20"/>
          <w:color w:val="auto"/>
        </w:rPr>
      </w:pPr>
      <w:r>
        <w:rPr>
          <w:rFonts w:ascii="Arial" w:cs="Arial" w:eastAsia="Arial" w:hAnsi="Arial"/>
          <w:sz w:val="16"/>
          <w:szCs w:val="16"/>
          <w:color w:val="auto"/>
        </w:rPr>
        <w:t>Our cash and cash equivalents at March 31, 2021 were held for working capital purposes. At March 31, 2021, $100.0 million of our cash and cash equivalents was held in accounts outside the United States. As of December 31, 2018, we no longer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spacing w:after="0" w:line="239" w:lineRule="exact"/>
        <w:rPr>
          <w:sz w:val="20"/>
          <w:szCs w:val="20"/>
          <w:color w:val="auto"/>
        </w:rPr>
      </w:pPr>
    </w:p>
    <w:p>
      <w:pPr>
        <w:ind w:right="80" w:firstLine="510"/>
        <w:spacing w:after="0" w:line="256" w:lineRule="auto"/>
        <w:rPr>
          <w:sz w:val="20"/>
          <w:szCs w:val="20"/>
          <w:color w:val="auto"/>
        </w:rPr>
      </w:pPr>
      <w:r>
        <w:rPr>
          <w:rFonts w:ascii="Arial" w:cs="Arial" w:eastAsia="Arial" w:hAnsi="Arial"/>
          <w:sz w:val="18"/>
          <w:szCs w:val="18"/>
          <w:color w:val="auto"/>
        </w:rPr>
        <w:t>Cash from operations could be affected by various risks and uncertainties, including, but not limited to, the effects of the pandemic and other risks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Provided by Operating Activities</w:t>
      </w:r>
    </w:p>
    <w:p>
      <w:pPr>
        <w:spacing w:after="0" w:line="115" w:lineRule="exact"/>
        <w:rPr>
          <w:sz w:val="20"/>
          <w:szCs w:val="20"/>
          <w:color w:val="auto"/>
        </w:rPr>
      </w:pPr>
    </w:p>
    <w:p>
      <w:pPr>
        <w:ind w:right="380" w:firstLine="510"/>
        <w:spacing w:after="0" w:line="272" w:lineRule="auto"/>
        <w:rPr>
          <w:sz w:val="20"/>
          <w:szCs w:val="20"/>
          <w:color w:val="auto"/>
        </w:rPr>
      </w:pPr>
      <w:r>
        <w:rPr>
          <w:rFonts w:ascii="Arial" w:cs="Arial" w:eastAsia="Arial" w:hAnsi="Arial"/>
          <w:sz w:val="18"/>
          <w:szCs w:val="18"/>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cash and cash equivalents provided by operating activities during the three months ended March 31, 2021 primarily reflected our net loss of</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$23.2 million and the portion of the repayment of the 2022 Notes attributable to the debt discount of $9.8 million, offset by non-cash expenses that included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$11.2 million of depreciation and amortization, $32.4 million in stock-based compensation, $0.5 million amortization of bond discounts, $6.5 million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debt discount and issuance costs, and $2.4 million of loss on early extinguishment of 2022 Notes. Working capital sources of cash and cash</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equivalents primarily included a $27.5 million increase in deferred revenue primarily resulting from the growth in the number of customers invoiced during</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period, a $4.6 million increase in accounts payable related to timing of bill payments, </w:t>
      </w:r>
      <w:r>
        <w:rPr>
          <w:rFonts w:ascii="Arial" w:cs="Arial" w:eastAsia="Arial" w:hAnsi="Arial"/>
          <w:sz w:val="17"/>
          <w:szCs w:val="17"/>
          <w:color w:val="212529"/>
        </w:rPr>
        <w:t>a $10.4 million increase in right-of-use asset,</w:t>
      </w:r>
      <w:r>
        <w:rPr>
          <w:rFonts w:ascii="Arial" w:cs="Arial" w:eastAsia="Arial" w:hAnsi="Arial"/>
          <w:sz w:val="17"/>
          <w:szCs w:val="17"/>
          <w:color w:val="auto"/>
        </w:rPr>
        <w:t xml:space="preserve"> a $16.5 million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decrease in accounts receivable related to increased collection, and $2.7 million decrease in prepaid and other assets. These sources of cash and cash</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equivalents were offset by a $6.3 million increase in deferred commissions, a $9.3 million decrease in operating lease liabilities, and a $2.4 million decrease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 accrued expenses and other liabilities.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Net cash and cash equivalents provided by operating activities during the three months ended March 31, 2020 primarily reflected our net loss of</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$17.7 million and accretion of bond discounts of $2.2 million offset by non-cash expenses that included $8.7 million of depreciation and amortization, $27.5</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million in stock-based compensation, and $5.7 million of amortization of debt discount and issuance costs. Working capital sources of cash and cash</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equivalents included a $10.8 million increase in deferred revenue primarily resulting from the growth in the number of customers invoiced during the period,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 $9.8 million decrease in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1" w:name="page32"/>
    <w:bookmarkEnd w:id="31"/>
    <w:p>
      <w:pPr>
        <w:spacing w:after="0" w:line="307" w:lineRule="auto"/>
        <w:rPr>
          <w:sz w:val="20"/>
          <w:szCs w:val="20"/>
          <w:color w:val="auto"/>
        </w:rPr>
      </w:pPr>
      <w:r>
        <w:rPr>
          <w:rFonts w:ascii="Arial" w:cs="Arial" w:eastAsia="Arial" w:hAnsi="Arial"/>
          <w:sz w:val="16"/>
          <w:szCs w:val="16"/>
          <w:color w:val="auto"/>
        </w:rPr>
        <w:t>accounts receivable related to increased collection, a $1.5 million increase in accounts payable related to timing of bill payments, and a $5.7 million increase in right-of-use asset. These sources of cash and cash equivalents were offset by a $15.1 million increase in prepaid expenses and other assets, a $5.3 million decrease in operating lease liabilities, a $5.4 million decrease in accrued expenses and other liabilities, and a $1.5 million increase in deferred commissions.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Used in Investing Activities</w:t>
      </w:r>
    </w:p>
    <w:p>
      <w:pPr>
        <w:spacing w:after="0" w:line="115" w:lineRule="exact"/>
        <w:rPr>
          <w:sz w:val="20"/>
          <w:szCs w:val="20"/>
          <w:color w:val="auto"/>
        </w:rPr>
      </w:pPr>
    </w:p>
    <w:p>
      <w:pPr>
        <w:jc w:val="both"/>
        <w:ind w:right="120" w:firstLine="544"/>
        <w:spacing w:after="0" w:line="307" w:lineRule="auto"/>
        <w:rPr>
          <w:sz w:val="20"/>
          <w:szCs w:val="20"/>
          <w:color w:val="auto"/>
        </w:rPr>
      </w:pPr>
      <w:r>
        <w:rPr>
          <w:rFonts w:ascii="Arial" w:cs="Arial" w:eastAsia="Arial" w:hAnsi="Arial"/>
          <w:sz w:val="16"/>
          <w:szCs w:val="16"/>
          <w:color w:val="auto"/>
        </w:rPr>
        <w:t>Our investing activities have consisted primarily of purchases and maturities of investments, property and equipment purchases, an acquisition of a business, strategic investments, an equity method investment and capitalization of software development costs. Capitalized software development costs are related to new products or improvements to our existing software platform that expands the functionality for our customers.</w:t>
      </w:r>
    </w:p>
    <w:p>
      <w:pPr>
        <w:spacing w:after="0" w:line="152" w:lineRule="exact"/>
        <w:rPr>
          <w:sz w:val="20"/>
          <w:szCs w:val="20"/>
          <w:color w:val="auto"/>
        </w:rPr>
      </w:pPr>
    </w:p>
    <w:p>
      <w:pPr>
        <w:ind w:right="340" w:firstLine="544"/>
        <w:spacing w:after="0" w:line="256" w:lineRule="auto"/>
        <w:rPr>
          <w:sz w:val="20"/>
          <w:szCs w:val="20"/>
          <w:color w:val="auto"/>
        </w:rPr>
      </w:pPr>
      <w:r>
        <w:rPr>
          <w:rFonts w:ascii="Arial" w:cs="Arial" w:eastAsia="Arial" w:hAnsi="Arial"/>
          <w:sz w:val="18"/>
          <w:szCs w:val="18"/>
          <w:color w:val="auto"/>
        </w:rPr>
        <w:t>Net cash and cash equivalents used in investing activities during the three months ended March 31, 2021 consisted primarily of $362.3 million purchases of investments, $4.0 million of purchased property and equipment, a $16.8 million business acquisition, $1.9 million of purchases of strategic investments, $2.3 million in an equity method investment and $7.3 million of capitalized software development costs. These uses of cash were offset by $376.9 million received related to the maturity of investments.</w:t>
      </w:r>
    </w:p>
    <w:p>
      <w:pPr>
        <w:spacing w:after="0" w:line="189" w:lineRule="exact"/>
        <w:rPr>
          <w:sz w:val="20"/>
          <w:szCs w:val="20"/>
          <w:color w:val="auto"/>
        </w:rPr>
      </w:pPr>
    </w:p>
    <w:p>
      <w:pPr>
        <w:ind w:right="280" w:firstLine="580"/>
        <w:spacing w:after="0" w:line="260" w:lineRule="auto"/>
        <w:rPr>
          <w:sz w:val="20"/>
          <w:szCs w:val="20"/>
          <w:color w:val="auto"/>
        </w:rPr>
      </w:pPr>
      <w:r>
        <w:rPr>
          <w:rFonts w:ascii="Arial" w:cs="Arial" w:eastAsia="Arial" w:hAnsi="Arial"/>
          <w:sz w:val="18"/>
          <w:szCs w:val="18"/>
          <w:color w:val="auto"/>
        </w:rPr>
        <w:t>Net cash and cash equivalents used in investing activities during the three months ended March 31, 2020 consisted primarily of $439.9 million purchases of investments, $11.1 million of purchased property and equipment, and $4.8 million of capitalized software development costs. These uses of cash were offset by $382.9 million received related to the maturity of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Provided by Financing Activities</w:t>
      </w:r>
    </w:p>
    <w:p>
      <w:pPr>
        <w:spacing w:after="0" w:line="115" w:lineRule="exact"/>
        <w:rPr>
          <w:sz w:val="20"/>
          <w:szCs w:val="20"/>
          <w:color w:val="auto"/>
        </w:rPr>
      </w:pPr>
    </w:p>
    <w:p>
      <w:pPr>
        <w:ind w:right="160" w:firstLine="510"/>
        <w:spacing w:after="0" w:line="336" w:lineRule="auto"/>
        <w:rPr>
          <w:sz w:val="20"/>
          <w:szCs w:val="20"/>
          <w:color w:val="auto"/>
        </w:rPr>
      </w:pPr>
      <w:r>
        <w:rPr>
          <w:rFonts w:ascii="Arial" w:cs="Arial" w:eastAsia="Arial" w:hAnsi="Arial"/>
          <w:sz w:val="16"/>
          <w:szCs w:val="16"/>
          <w:color w:val="auto"/>
        </w:rPr>
        <w:t>Our financing activities have consisted primarily of the various components of our 2022 Notes repayment, the issuance of common stock under our stock plans, payments of employee taxes related to the net share settlement of stock-based awards, and repayments of our finance lease obligations.</w:t>
      </w:r>
    </w:p>
    <w:p>
      <w:pPr>
        <w:spacing w:after="0" w:line="128" w:lineRule="exact"/>
        <w:rPr>
          <w:sz w:val="20"/>
          <w:szCs w:val="20"/>
          <w:color w:val="auto"/>
        </w:rPr>
      </w:pPr>
    </w:p>
    <w:p>
      <w:pPr>
        <w:ind w:right="280" w:firstLine="544"/>
        <w:spacing w:after="0" w:line="256" w:lineRule="auto"/>
        <w:rPr>
          <w:sz w:val="20"/>
          <w:szCs w:val="20"/>
          <w:color w:val="auto"/>
        </w:rPr>
      </w:pPr>
      <w:r>
        <w:rPr>
          <w:rFonts w:ascii="Arial" w:cs="Arial" w:eastAsia="Arial" w:hAnsi="Arial"/>
          <w:sz w:val="18"/>
          <w:szCs w:val="18"/>
          <w:color w:val="auto"/>
        </w:rPr>
        <w:t>For the three months ended March 31, 2021 cash used in financing activities consisted of $35.9 million used for repayment of the 2022 Notes attributable to the principal and $3.0 million used for payment of employee taxes related to the net share settlement of stock-based awards, offset by $0.7 million of proceeds from the settlement of the Convertible Note Hedges related to the 2022 Notes and $16.3 million of proceeds related to issuance of common stock under stock plans.</w:t>
      </w:r>
    </w:p>
    <w:p>
      <w:pPr>
        <w:spacing w:after="0" w:line="189" w:lineRule="exact"/>
        <w:rPr>
          <w:sz w:val="20"/>
          <w:szCs w:val="20"/>
          <w:color w:val="auto"/>
        </w:rPr>
      </w:pPr>
    </w:p>
    <w:p>
      <w:pPr>
        <w:ind w:right="220" w:firstLine="544"/>
        <w:spacing w:after="0" w:line="260" w:lineRule="auto"/>
        <w:rPr>
          <w:sz w:val="20"/>
          <w:szCs w:val="20"/>
          <w:color w:val="auto"/>
        </w:rPr>
      </w:pPr>
      <w:r>
        <w:rPr>
          <w:rFonts w:ascii="Arial" w:cs="Arial" w:eastAsia="Arial" w:hAnsi="Arial"/>
          <w:sz w:val="18"/>
          <w:szCs w:val="18"/>
          <w:color w:val="auto"/>
        </w:rPr>
        <w:t>For the three months ended March 31, 2020, cash provided by financing activities consisted of $6.9 million of proceeds related to issuance of common stock under stock plans. This source of cash was offset by $0.9 million used for payment of employee taxes related to the net share settlement of stock-based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6" w:lineRule="exact"/>
        <w:rPr>
          <w:sz w:val="20"/>
          <w:szCs w:val="20"/>
          <w:color w:val="auto"/>
        </w:rPr>
      </w:pPr>
    </w:p>
    <w:p>
      <w:pPr>
        <w:ind w:right="600" w:firstLine="749"/>
        <w:spacing w:after="0" w:line="336" w:lineRule="auto"/>
        <w:rPr>
          <w:sz w:val="20"/>
          <w:szCs w:val="20"/>
          <w:color w:val="auto"/>
        </w:rPr>
      </w:pPr>
      <w:r>
        <w:rPr>
          <w:rFonts w:ascii="Arial" w:cs="Arial" w:eastAsia="Arial" w:hAnsi="Arial"/>
          <w:sz w:val="16"/>
          <w:szCs w:val="16"/>
          <w:color w:val="auto"/>
        </w:rPr>
        <w:t>There have been no significant changes in our critical accounting policies and estimates during the three months ended March 31, 2021 as compared to the critical accounting policies and estimates disclosed in our Annual Report on Form 10-K for the year ended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9" w:lineRule="exact"/>
        <w:rPr>
          <w:sz w:val="20"/>
          <w:szCs w:val="20"/>
          <w:color w:val="auto"/>
        </w:rPr>
      </w:pPr>
    </w:p>
    <w:p>
      <w:pPr>
        <w:ind w:right="60" w:firstLine="510"/>
        <w:spacing w:after="0" w:line="260" w:lineRule="auto"/>
        <w:rPr>
          <w:sz w:val="20"/>
          <w:szCs w:val="20"/>
          <w:color w:val="auto"/>
        </w:rPr>
      </w:pPr>
      <w:r>
        <w:rPr>
          <w:rFonts w:ascii="Arial" w:cs="Arial" w:eastAsia="Arial" w:hAnsi="Arial"/>
          <w:sz w:val="18"/>
          <w:szCs w:val="18"/>
          <w:color w:val="auto"/>
        </w:rPr>
        <w:t>As of March 31, 2021, there were no material changes in our contractual obligations and commitments from those disclosed in the Annual Report on Form 10-K filed with the SEC on February 16, 2021, other than those in the notes to the consolidated financial statements appearing elsewhere in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ind w:right="140" w:firstLine="510"/>
        <w:spacing w:after="0" w:line="272" w:lineRule="auto"/>
        <w:rPr>
          <w:sz w:val="20"/>
          <w:szCs w:val="20"/>
          <w:color w:val="auto"/>
        </w:rPr>
      </w:pPr>
      <w:r>
        <w:rPr>
          <w:rFonts w:ascii="Arial" w:cs="Arial" w:eastAsia="Arial" w:hAnsi="Arial"/>
          <w:sz w:val="18"/>
          <w:szCs w:val="18"/>
          <w:color w:val="auto"/>
        </w:rPr>
        <w:t xml:space="preserve">For information on recent accounting pronouncements,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the notes to the consolidated financial statements appearing elsewhere in this Quarterly Report on Form 10-Q.</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ind w:right="80" w:firstLine="510"/>
        <w:spacing w:after="0" w:line="282" w:lineRule="auto"/>
        <w:rPr>
          <w:sz w:val="20"/>
          <w:szCs w:val="20"/>
          <w:color w:val="auto"/>
        </w:rPr>
      </w:pPr>
      <w:r>
        <w:rPr>
          <w:rFonts w:ascii="Arial" w:cs="Arial" w:eastAsia="Arial" w:hAnsi="Arial"/>
          <w:sz w:val="17"/>
          <w:szCs w:val="17"/>
          <w:color w:val="auto"/>
        </w:rPr>
        <w:t>As of March 31, 2021, we are committed to contribute additional capital of $10.2 million to the Black Economic Development Fund (Note 5). There were no other material off-balance sheet arrangements exclusive of operating leases and indemnifications of officers, directors and employees for certain events or occurrences while the officer, director or employee is, or was, serving at our request in such capacity.</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32" w:name="page33"/>
    <w:bookmarkEnd w:id="32"/>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5" w:lineRule="exact"/>
        <w:rPr>
          <w:sz w:val="20"/>
          <w:szCs w:val="20"/>
          <w:color w:val="auto"/>
        </w:rPr>
      </w:pPr>
    </w:p>
    <w:p>
      <w:pPr>
        <w:ind w:right="360" w:firstLine="544"/>
        <w:spacing w:after="0" w:line="282" w:lineRule="auto"/>
        <w:rPr>
          <w:sz w:val="20"/>
          <w:szCs w:val="20"/>
          <w:color w:val="auto"/>
        </w:rPr>
      </w:pPr>
      <w:r>
        <w:rPr>
          <w:rFonts w:ascii="Arial" w:cs="Arial" w:eastAsia="Arial" w:hAnsi="Arial"/>
          <w:sz w:val="17"/>
          <w:szCs w:val="17"/>
          <w:color w:val="auto"/>
        </w:rPr>
        <w:t>We have foreign currency risks related to our revenue and operating expenses denominated in currencies other than the U.S. dollar, primarily the Euro, British Pound Sterling, Australian dollar, Singaporean dollar, Japanese Yen, and Colombian Peso. Since we translate foreign currencies into U.S. dollars for financial reporting purposes, currency fluctuations can have an impact on our financial results.</w:t>
      </w:r>
    </w:p>
    <w:p>
      <w:pPr>
        <w:spacing w:after="0" w:line="62" w:lineRule="exact"/>
        <w:rPr>
          <w:sz w:val="20"/>
          <w:szCs w:val="20"/>
          <w:color w:val="auto"/>
        </w:rPr>
      </w:pPr>
    </w:p>
    <w:p>
      <w:pPr>
        <w:ind w:right="40" w:firstLine="544"/>
        <w:spacing w:after="0" w:line="293" w:lineRule="auto"/>
        <w:rPr>
          <w:sz w:val="20"/>
          <w:szCs w:val="20"/>
          <w:color w:val="auto"/>
        </w:rPr>
      </w:pPr>
      <w:r>
        <w:rPr>
          <w:rFonts w:ascii="Arial" w:cs="Arial" w:eastAsia="Arial" w:hAnsi="Arial"/>
          <w:sz w:val="16"/>
          <w:szCs w:val="16"/>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We recognized immaterial amounts of foreign currency gains and losses in each of the periods presented.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 and our risk grows.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5" w:lineRule="exact"/>
        <w:rPr>
          <w:sz w:val="20"/>
          <w:szCs w:val="20"/>
          <w:color w:val="auto"/>
        </w:rPr>
      </w:pPr>
    </w:p>
    <w:p>
      <w:pPr>
        <w:ind w:firstLine="544"/>
        <w:spacing w:after="0" w:line="273" w:lineRule="auto"/>
        <w:rPr>
          <w:sz w:val="20"/>
          <w:szCs w:val="20"/>
          <w:color w:val="auto"/>
        </w:rPr>
      </w:pPr>
      <w:r>
        <w:rPr>
          <w:rFonts w:ascii="Arial" w:cs="Arial" w:eastAsia="Arial" w:hAnsi="Arial"/>
          <w:sz w:val="17"/>
          <w:szCs w:val="17"/>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5" w:lineRule="exact"/>
        <w:rPr>
          <w:sz w:val="20"/>
          <w:szCs w:val="20"/>
          <w:color w:val="auto"/>
        </w:rPr>
      </w:pPr>
    </w:p>
    <w:p>
      <w:pPr>
        <w:ind w:right="120" w:firstLine="544"/>
        <w:spacing w:after="0" w:line="260" w:lineRule="auto"/>
        <w:rPr>
          <w:sz w:val="20"/>
          <w:szCs w:val="20"/>
          <w:color w:val="auto"/>
        </w:rPr>
      </w:pPr>
      <w:r>
        <w:rPr>
          <w:rFonts w:ascii="Arial" w:cs="Arial" w:eastAsia="Arial" w:hAnsi="Arial"/>
          <w:sz w:val="18"/>
          <w:szCs w:val="18"/>
          <w:color w:val="auto"/>
        </w:rPr>
        <w:t>We do not believe that inflation has had a material effect on our business. However, if our costs, in particular personnel, sales and marketing and hosting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 Risk and Market Interest Risk</w:t>
      </w:r>
    </w:p>
    <w:p>
      <w:pPr>
        <w:spacing w:after="0" w:line="115"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In May 2017, we issued $400.0 million aggregate principal amount of 0.25% convertible senior due June 1, 2022, of which $272.1 million was repurchased in June 2020 and $44.5 million was settled in cash in the first quarter of 2021. As of March 31, 2021, $81.4 million of principal remains outstanding on the 2022 Notes. Also in June 2020, we issued $460 million aggregate principal amount of convertible senior notes due June 1, 2025. The fair value of our convertible senior notes is subject to interest rate risk, market risk and other factors due to the convertible feature. The fair value of the convertible senior notes will generally increase as our common stock price increases and will generally decrease as our common stock price declines in value. The interest and market value changes affect the fair value of our convertible senior notes but do not impact our financial position, cash flows or results of operations due to the fixed nature of the debt obligation. Generally, the fair values of 2022 Notes and the 2025 Notes (the “Notes”) will increase as interest rates fall and decrease as interest rates rise. Additionally, we carry the convertible senior notes at face value less unamortized discount on our balance sheet, and we present the fair value for required disclosure purposes only.</w:t>
      </w:r>
    </w:p>
    <w:p>
      <w:pPr>
        <w:spacing w:after="0" w:line="247" w:lineRule="exact"/>
        <w:rPr>
          <w:sz w:val="20"/>
          <w:szCs w:val="20"/>
          <w:color w:val="auto"/>
        </w:rPr>
      </w:pPr>
    </w:p>
    <w:p>
      <w:pPr>
        <w:jc w:val="both"/>
        <w:ind w:right="60" w:firstLine="544"/>
        <w:spacing w:after="0" w:line="260" w:lineRule="auto"/>
        <w:rPr>
          <w:sz w:val="20"/>
          <w:szCs w:val="20"/>
          <w:color w:val="auto"/>
        </w:rPr>
      </w:pPr>
      <w:r>
        <w:rPr>
          <w:rFonts w:ascii="Arial" w:cs="Arial" w:eastAsia="Arial" w:hAnsi="Arial"/>
          <w:sz w:val="18"/>
          <w:szCs w:val="18"/>
          <w:color w:val="auto"/>
        </w:rPr>
        <w:t>The table below provides a sensitivity analysis of hypothetical 10% changes of our stock price as of March 31, 2021 and the estimated impact on the fair value of the Notes. The selected scenarios are not predictions of future events, but rather are intended to illustrate the effect such event may have on the fair value of the Notes.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2022 Notes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3"/>
              </w:rPr>
              <w:t>Estimated change in</w:t>
            </w:r>
          </w:p>
        </w:tc>
        <w:tc>
          <w:tcPr>
            <w:tcW w:w="2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Hypothetical percentage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2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Hypothetical change in HubSpot stock price</w:t>
            </w:r>
          </w:p>
        </w:tc>
        <w:tc>
          <w:tcPr>
            <w:tcW w:w="1180" w:type="dxa"/>
            <w:vAlign w:val="bottom"/>
          </w:tcPr>
          <w:p>
            <w:pPr>
              <w:spacing w:after="0"/>
              <w:rPr>
                <w:sz w:val="12"/>
                <w:szCs w:val="12"/>
                <w:color w:val="auto"/>
              </w:rPr>
            </w:pPr>
          </w:p>
        </w:tc>
        <w:tc>
          <w:tcPr>
            <w:tcW w:w="16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Fair value</w:t>
            </w:r>
          </w:p>
        </w:tc>
        <w:tc>
          <w:tcPr>
            <w:tcW w:w="1540" w:type="dxa"/>
            <w:vAlign w:val="bottom"/>
            <w:gridSpan w:val="3"/>
            <w:vMerge w:val="continue"/>
          </w:tcPr>
          <w:p>
            <w:pPr>
              <w:spacing w:after="0"/>
              <w:rPr>
                <w:sz w:val="12"/>
                <w:szCs w:val="12"/>
                <w:color w:val="auto"/>
              </w:rPr>
            </w:pPr>
          </w:p>
        </w:tc>
        <w:tc>
          <w:tcPr>
            <w:tcW w:w="20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increase (decrease) in fair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26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2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10% increase</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428,982</w:t>
            </w:r>
          </w:p>
        </w:tc>
        <w:tc>
          <w:tcPr>
            <w:tcW w:w="2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41,549</w:t>
            </w:r>
          </w:p>
        </w:tc>
        <w:tc>
          <w:tcPr>
            <w:tcW w:w="160" w:type="dxa"/>
            <w:vAlign w:val="bottom"/>
            <w:vMerge w:val="continue"/>
            <w:shd w:val="clear" w:color="auto" w:fill="CCEEFF"/>
          </w:tcPr>
          <w:p>
            <w:pPr>
              <w:spacing w:after="0"/>
              <w:rPr>
                <w:sz w:val="19"/>
                <w:szCs w:val="19"/>
                <w:color w:val="auto"/>
              </w:rPr>
            </w:pPr>
          </w:p>
        </w:tc>
        <w:tc>
          <w:tcPr>
            <w:tcW w:w="2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No change</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387,433</w:t>
            </w:r>
          </w:p>
        </w:tc>
        <w:tc>
          <w:tcPr>
            <w:tcW w:w="20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10% decrease</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350,972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(36,460)</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jc w:val="right"/>
              <w:ind w:right="1114"/>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33" w:name="page34"/>
    <w:bookmarkEnd w:id="33"/>
    <w:p>
      <w:pPr>
        <w:ind w:left="560"/>
        <w:spacing w:after="0"/>
        <w:rPr>
          <w:sz w:val="20"/>
          <w:szCs w:val="20"/>
          <w:color w:val="auto"/>
        </w:rPr>
      </w:pPr>
      <w:r>
        <w:rPr>
          <w:rFonts w:ascii="Arial" w:cs="Arial" w:eastAsia="Arial" w:hAnsi="Arial"/>
          <w:sz w:val="18"/>
          <w:szCs w:val="18"/>
          <w:b w:val="1"/>
          <w:bCs w:val="1"/>
          <w:color w:val="auto"/>
        </w:rPr>
        <w:t>2025 Notes</w:t>
      </w:r>
    </w:p>
    <w:p>
      <w:pPr>
        <w:spacing w:after="0" w:line="218"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3"/>
              </w:rPr>
              <w:t>Estimated change in</w:t>
            </w:r>
          </w:p>
        </w:tc>
        <w:tc>
          <w:tcPr>
            <w:tcW w:w="2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Hypothetical percentage</w:t>
            </w:r>
          </w:p>
        </w:tc>
        <w:tc>
          <w:tcPr>
            <w:tcW w:w="0" w:type="dxa"/>
            <w:vAlign w:val="bottom"/>
          </w:tcPr>
          <w:p>
            <w:pPr>
              <w:spacing w:after="0"/>
              <w:rPr>
                <w:sz w:val="1"/>
                <w:szCs w:val="1"/>
                <w:color w:val="auto"/>
              </w:rPr>
            </w:pPr>
          </w:p>
        </w:tc>
      </w:tr>
      <w:tr>
        <w:trPr>
          <w:trHeight w:val="147"/>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Hypothetical change in HubSpot stock price</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1540" w:type="dxa"/>
            <w:vAlign w:val="bottom"/>
            <w:gridSpan w:val="3"/>
            <w:vMerge w:val="continue"/>
          </w:tcPr>
          <w:p>
            <w:pPr>
              <w:spacing w:after="0"/>
              <w:rPr>
                <w:sz w:val="12"/>
                <w:szCs w:val="12"/>
                <w:color w:val="auto"/>
              </w:rPr>
            </w:pPr>
          </w:p>
        </w:tc>
        <w:tc>
          <w:tcPr>
            <w:tcW w:w="20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increase (decrease) in fair</w:t>
            </w:r>
          </w:p>
        </w:tc>
        <w:tc>
          <w:tcPr>
            <w:tcW w:w="0" w:type="dxa"/>
            <w:vAlign w:val="bottom"/>
          </w:tcPr>
          <w:p>
            <w:pPr>
              <w:spacing w:after="0"/>
              <w:rPr>
                <w:sz w:val="1"/>
                <w:szCs w:val="1"/>
                <w:color w:val="auto"/>
              </w:rPr>
            </w:pPr>
          </w:p>
        </w:tc>
      </w:tr>
      <w:tr>
        <w:trPr>
          <w:trHeight w:val="170"/>
        </w:trPr>
        <w:tc>
          <w:tcPr>
            <w:tcW w:w="4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fair value</w:t>
            </w:r>
          </w:p>
        </w:tc>
        <w:tc>
          <w:tcPr>
            <w:tcW w:w="2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10% increase</w:t>
            </w:r>
          </w:p>
        </w:tc>
        <w:tc>
          <w:tcPr>
            <w:tcW w:w="120" w:type="dxa"/>
            <w:vAlign w:val="bottom"/>
            <w:vMerge w:val="continue"/>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837,057</w:t>
            </w:r>
          </w:p>
        </w:tc>
        <w:tc>
          <w:tcPr>
            <w:tcW w:w="200" w:type="dxa"/>
            <w:vAlign w:val="bottom"/>
            <w:vMerge w:val="continue"/>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78,582</w:t>
            </w:r>
          </w:p>
        </w:tc>
        <w:tc>
          <w:tcPr>
            <w:tcW w:w="160" w:type="dxa"/>
            <w:vAlign w:val="bottom"/>
            <w:vMerge w:val="continue"/>
          </w:tcPr>
          <w:p>
            <w:pPr>
              <w:spacing w:after="0"/>
              <w:rPr>
                <w:sz w:val="19"/>
                <w:szCs w:val="19"/>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No change</w:t>
            </w:r>
          </w:p>
        </w:tc>
        <w:tc>
          <w:tcPr>
            <w:tcW w:w="42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758,476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10% decrease</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705,355</w:t>
            </w:r>
          </w:p>
        </w:tc>
        <w:tc>
          <w:tcPr>
            <w:tcW w:w="2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(53,121)</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38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9" w:lineRule="exact"/>
        <w:rPr>
          <w:sz w:val="20"/>
          <w:szCs w:val="20"/>
          <w:color w:val="auto"/>
        </w:rPr>
      </w:pPr>
    </w:p>
    <w:p>
      <w:pPr>
        <w:ind w:firstLine="510"/>
        <w:spacing w:after="0" w:line="298" w:lineRule="auto"/>
        <w:rPr>
          <w:sz w:val="20"/>
          <w:szCs w:val="20"/>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59" w:lineRule="exact"/>
        <w:rPr>
          <w:sz w:val="20"/>
          <w:szCs w:val="20"/>
          <w:color w:val="auto"/>
        </w:rPr>
      </w:pPr>
    </w:p>
    <w:p>
      <w:pPr>
        <w:jc w:val="both"/>
        <w:ind w:right="80" w:firstLine="510"/>
        <w:spacing w:after="0" w:line="260"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8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u w:val="single" w:color="auto"/>
          <w:color w:val="auto"/>
        </w:rPr>
        <w:t>Inherent Limitations of Internal Controls</w:t>
      </w:r>
      <w:r>
        <w:rPr>
          <w:rFonts w:ascii="Arial" w:cs="Arial" w:eastAsia="Arial" w:hAnsi="Arial"/>
          <w:sz w:val="16"/>
          <w:szCs w:val="16"/>
          <w:color w:val="auto"/>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3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9" w:lineRule="exact"/>
        <w:rPr>
          <w:sz w:val="20"/>
          <w:szCs w:val="20"/>
          <w:color w:val="auto"/>
        </w:rPr>
      </w:pPr>
    </w:p>
    <w:p>
      <w:pPr>
        <w:ind w:firstLine="510"/>
        <w:spacing w:after="0" w:line="276"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35" w:name="page36"/>
    <w:bookmarkEnd w:id="35"/>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9"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333"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The effects of the COVID-19 pandemic have materially affected how we and our customers are operating our businesses, and the duration and extent to which this will impact our future results of operations and overall financial performance remains uncertain.</w:t>
      </w:r>
    </w:p>
    <w:p>
      <w:pPr>
        <w:spacing w:after="0" w:line="67" w:lineRule="exact"/>
        <w:rPr>
          <w:sz w:val="20"/>
          <w:szCs w:val="20"/>
          <w:color w:val="auto"/>
        </w:rPr>
      </w:pPr>
    </w:p>
    <w:p>
      <w:pPr>
        <w:ind w:firstLine="749"/>
        <w:spacing w:after="0" w:line="252" w:lineRule="auto"/>
        <w:rPr>
          <w:sz w:val="20"/>
          <w:szCs w:val="20"/>
          <w:color w:val="auto"/>
        </w:rPr>
      </w:pPr>
      <w:r>
        <w:rPr>
          <w:rFonts w:ascii="Arial" w:cs="Arial" w:eastAsia="Arial" w:hAnsi="Arial"/>
          <w:sz w:val="18"/>
          <w:szCs w:val="18"/>
          <w:color w:val="auto"/>
        </w:rPr>
        <w:t>In December 2019, a novel coronavirus disease (“COVID-19”), was reported and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(the “pandemic”). The pandemic, which has continued to spread, and the related adverse public health developments, including orders to shelter-in-place, travel restrictions, and mandated business closures, have adversely affected workforces, organizations, customers, economies, and financial markets globally, leading to an economic downturn and increased market volatility. It has also disrupted the normal operations of many businesses, including ours.</w:t>
      </w:r>
    </w:p>
    <w:p>
      <w:pPr>
        <w:spacing w:after="0" w:line="87" w:lineRule="exact"/>
        <w:rPr>
          <w:sz w:val="20"/>
          <w:szCs w:val="20"/>
          <w:color w:val="auto"/>
        </w:rPr>
      </w:pPr>
    </w:p>
    <w:p>
      <w:pPr>
        <w:ind w:right="20" w:firstLine="749"/>
        <w:spacing w:after="0" w:line="266" w:lineRule="auto"/>
        <w:rPr>
          <w:sz w:val="20"/>
          <w:szCs w:val="20"/>
          <w:color w:val="auto"/>
        </w:rPr>
      </w:pPr>
      <w:r>
        <w:rPr>
          <w:rFonts w:ascii="Arial" w:cs="Arial" w:eastAsia="Arial" w:hAnsi="Arial"/>
          <w:sz w:val="17"/>
          <w:szCs w:val="17"/>
          <w:color w:val="auto"/>
        </w:rPr>
        <w:t>Our operations have also been impacted by a range of external factors related to the pandemic that are not within our control. For example, many cities, counties, states, and even countries have imposed or may impose a wide range of restrictions on the physical movement of our employees, partners and customers to limit the spread of the pandemic, including physical distancing, travel bans and restrictions, closure of non-essential business, quarantines, work-from-home directives, shelter-in-place orders, and limitations on public gatherings. These measures have caused, and are continuing to cause, business slowdowns or shutdowns in affected areas, both regionally and worldwide. In March 2020, we temporarily closed our global offices, including our corporate headquarters, suspended all company-related travel, and all HubSpot employees globally were required to work from home for several months during the height of the pandemic. We shifted our Solutions Partner events and INBOUND 2020 to virtual-only experiences and have cancelled other customer and industry events. Although we have begun to slowly re-open our offices on a staggered, region-by-region basis in accordance with local authority guidelines, we may deem it advisable to similarly alter, postpone or cancel entirely additional customer, employee or industry events in the future. All of these changes may disrupt the way we operate our business. In addition, our management team has, and will likely continue, to spend significant time, attention and resources monitoring the COVID-19 pandemic and seeking to minimize the risk of the virus and manage its effects on our business and workforce. Given that the economic consequences of the pandemic have been exceptionally challenging for many of our customers and prospects, we have also implemented certain changes to our pricing structure, including reducing prices on our Starter Growth Suite, offering certain product functionality free of charge for a limited time, suspending marketing email send limits for a limited time, and offering a one-time six-month advance on commissions to certain of our Solutions Partners.</w:t>
      </w:r>
    </w:p>
    <w:p>
      <w:pPr>
        <w:spacing w:after="0" w:line="75"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Moreover, the conditions caused by the pandemic may affect the rate of spending on software products and may adversely affect our customers’ ability or willingness to purchase our offerings; the timing of our current or prospective customers’ purchasing decisions; pricing discounts or extended payment terms; reductions in the amount or duration of customers’ subscription contracts; or increase customer attrition rates, all of which could adversely affect our future sales, operating results and overall financial performance. If the pandemic has a substantial impact on the ability of our customers to purchase our offerings, our results of operations, and overall financial performance may be harmed.</w:t>
      </w:r>
    </w:p>
    <w:p>
      <w:pPr>
        <w:spacing w:after="0" w:line="68" w:lineRule="exact"/>
        <w:rPr>
          <w:sz w:val="20"/>
          <w:szCs w:val="20"/>
          <w:color w:val="auto"/>
        </w:rPr>
      </w:pPr>
    </w:p>
    <w:p>
      <w:pPr>
        <w:ind w:right="40" w:firstLine="749"/>
        <w:spacing w:after="0" w:line="256" w:lineRule="auto"/>
        <w:rPr>
          <w:sz w:val="20"/>
          <w:szCs w:val="20"/>
          <w:color w:val="auto"/>
        </w:rPr>
      </w:pPr>
      <w:r>
        <w:rPr>
          <w:rFonts w:ascii="Arial" w:cs="Arial" w:eastAsia="Arial" w:hAnsi="Arial"/>
          <w:sz w:val="18"/>
          <w:szCs w:val="18"/>
          <w:color w:val="auto"/>
        </w:rPr>
        <w:t>The duration and extent of the impact from the pandemic depends on future developments that cannot be accurately predicted at this time, such as the severity and transmission rate of the virus, the extent and effectiveness of containment actions, the disruption caused by such actions, and the impact of these and other factors on our employees, customers, partners and vendors. If we are not able to respond to and manage the impact of such events effectively, our business will be harmed.</w:t>
      </w:r>
    </w:p>
    <w:p>
      <w:pPr>
        <w:spacing w:after="0" w:line="82" w:lineRule="exact"/>
        <w:rPr>
          <w:sz w:val="20"/>
          <w:szCs w:val="20"/>
          <w:color w:val="auto"/>
        </w:rPr>
      </w:pPr>
    </w:p>
    <w:p>
      <w:pPr>
        <w:ind w:right="120" w:firstLine="749"/>
        <w:spacing w:after="0" w:line="298" w:lineRule="auto"/>
        <w:rPr>
          <w:sz w:val="20"/>
          <w:szCs w:val="20"/>
          <w:color w:val="auto"/>
        </w:rPr>
      </w:pPr>
      <w:r>
        <w:rPr>
          <w:rFonts w:ascii="Arial" w:cs="Arial" w:eastAsia="Arial" w:hAnsi="Arial"/>
          <w:sz w:val="16"/>
          <w:szCs w:val="16"/>
          <w:color w:val="auto"/>
        </w:rPr>
        <w:t>To the extent the pandemic adversely affects our business and financial results, it may also have the effect of heightening many of the other risks described in this “Risk Factors” section, including, in particular, risks related to our dependence on customer renewals, the addition of new customers and increased revenue from existing customer, risks that our operating results could be negatively affected by changes in the sizes or types of businesses that purchase our platform and the risk that weakened global economic conditions may harm our industry, business and results of operations.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6" w:name="page37"/>
    <w:bookmarkEnd w:id="36"/>
    <w:p>
      <w:pPr>
        <w:ind w:right="140"/>
        <w:spacing w:after="0" w:line="272" w:lineRule="auto"/>
        <w:rPr>
          <w:sz w:val="20"/>
          <w:szCs w:val="20"/>
          <w:color w:val="auto"/>
        </w:rPr>
      </w:pPr>
      <w:r>
        <w:rPr>
          <w:rFonts w:ascii="Arial" w:cs="Arial" w:eastAsia="Arial" w:hAnsi="Arial"/>
          <w:sz w:val="18"/>
          <w:szCs w:val="18"/>
          <w:b w:val="1"/>
          <w:bCs w:val="1"/>
          <w:i w:val="1"/>
          <w:iCs w:val="1"/>
          <w:color w:val="auto"/>
        </w:rPr>
        <w:t>We are dependent upon customer renewals, the addition of new customers, increased revenue from existing customers and the continued growth of the market for a CRM Platform.</w:t>
      </w:r>
    </w:p>
    <w:p>
      <w:pPr>
        <w:spacing w:after="0" w:line="67"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We derive, and expect to continue to derive, a substantial portion of our revenue from the sale of subscriptions to our CRM Platform. The market for inbound marketing, sales and customer service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w:t>
      </w:r>
    </w:p>
    <w:p>
      <w:pPr>
        <w:ind w:right="120"/>
        <w:spacing w:after="0" w:line="250" w:lineRule="auto"/>
        <w:rPr>
          <w:sz w:val="20"/>
          <w:szCs w:val="20"/>
          <w:color w:val="auto"/>
        </w:rPr>
      </w:pPr>
      <w:r>
        <w:rPr>
          <w:rFonts w:ascii="Arial" w:cs="Arial" w:eastAsia="Arial" w:hAnsi="Arial"/>
          <w:sz w:val="18"/>
          <w:szCs w:val="18"/>
          <w:color w:val="auto"/>
        </w:rPr>
        <w:t>a scalable pricing model (including freemium versions of our products) intended to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subscription renewal rates may decrease, and any decrease could harm our future revenue and operating results.</w:t>
      </w:r>
    </w:p>
    <w:p>
      <w:pPr>
        <w:spacing w:after="0" w:line="115" w:lineRule="exact"/>
        <w:rPr>
          <w:sz w:val="20"/>
          <w:szCs w:val="20"/>
          <w:color w:val="auto"/>
        </w:rPr>
      </w:pPr>
    </w:p>
    <w:p>
      <w:pPr>
        <w:ind w:right="40" w:firstLine="510"/>
        <w:spacing w:after="0" w:line="284" w:lineRule="auto"/>
        <w:rPr>
          <w:sz w:val="20"/>
          <w:szCs w:val="20"/>
          <w:color w:val="auto"/>
        </w:rPr>
      </w:pPr>
      <w:r>
        <w:rPr>
          <w:rFonts w:ascii="Arial" w:cs="Arial" w:eastAsia="Arial" w:hAnsi="Arial"/>
          <w:sz w:val="16"/>
          <w:szCs w:val="16"/>
          <w:color w:val="auto"/>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 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spacing w:after="0" w:line="28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b w:val="1"/>
          <w:bCs w:val="1"/>
          <w:i w:val="1"/>
          <w:iCs w:val="1"/>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78" w:lineRule="exact"/>
        <w:rPr>
          <w:sz w:val="20"/>
          <w:szCs w:val="20"/>
          <w:color w:val="auto"/>
        </w:rPr>
      </w:pPr>
    </w:p>
    <w:p>
      <w:pPr>
        <w:jc w:val="both"/>
        <w:ind w:right="40" w:firstLine="510"/>
        <w:spacing w:after="0" w:line="260" w:lineRule="auto"/>
        <w:rPr>
          <w:sz w:val="20"/>
          <w:szCs w:val="20"/>
          <w:color w:val="auto"/>
        </w:rPr>
      </w:pPr>
      <w:r>
        <w:rPr>
          <w:rFonts w:ascii="Arial" w:cs="Arial" w:eastAsia="Arial" w:hAnsi="Arial"/>
          <w:sz w:val="18"/>
          <w:szCs w:val="18"/>
          <w:color w:val="auto"/>
        </w:rPr>
        <w:t>The marketing, sales, customer service, and content management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8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face intense competition from other software companies that develop marketing, sales, customer service, and content management software and from marketing services companies that provide interactive marketing services. Competition could significantly impede our ability to sell subscriptions to our CRM Platform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competitors include:</w:t>
      </w:r>
    </w:p>
    <w:p>
      <w:pPr>
        <w:spacing w:after="0" w:line="115"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email marketing software vendors;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force automation and CRM software vendors;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service software providers;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content management systems.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7" w:name="page38"/>
    <w:bookmarkEnd w:id="37"/>
    <w:p>
      <w:pPr>
        <w:ind w:right="140" w:firstLine="510"/>
        <w:spacing w:after="0" w:line="291" w:lineRule="auto"/>
        <w:rPr>
          <w:sz w:val="20"/>
          <w:szCs w:val="20"/>
          <w:color w:val="auto"/>
        </w:rPr>
      </w:pPr>
      <w:r>
        <w:rPr>
          <w:rFonts w:ascii="Arial" w:cs="Arial" w:eastAsia="Arial" w:hAnsi="Arial"/>
          <w:sz w:val="16"/>
          <w:szCs w:val="16"/>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marketing software offerings. Some of these companies have acquired social media marketing and other marketing software providers to integrate with their broader offerings.</w:t>
      </w:r>
    </w:p>
    <w:p>
      <w:pPr>
        <w:spacing w:after="0" w:line="163"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customer service and content management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CRM Platform could substantially decline.</w:t>
      </w:r>
    </w:p>
    <w:p>
      <w:pPr>
        <w:spacing w:after="0" w:line="184"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299" w:lineRule="exact"/>
        <w:rPr>
          <w:sz w:val="20"/>
          <w:szCs w:val="20"/>
          <w:color w:val="auto"/>
        </w:rPr>
      </w:pPr>
    </w:p>
    <w:p>
      <w:pPr>
        <w:ind w:right="300"/>
        <w:spacing w:after="0" w:line="373" w:lineRule="auto"/>
        <w:rPr>
          <w:sz w:val="20"/>
          <w:szCs w:val="20"/>
          <w:color w:val="auto"/>
        </w:rPr>
      </w:pPr>
      <w:r>
        <w:rPr>
          <w:rFonts w:ascii="Arial" w:cs="Arial" w:eastAsia="Arial" w:hAnsi="Arial"/>
          <w:sz w:val="15"/>
          <w:szCs w:val="15"/>
          <w:b w:val="1"/>
          <w:bCs w:val="1"/>
          <w:i w:val="1"/>
          <w:iCs w:val="1"/>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ind w:right="20" w:firstLine="510"/>
        <w:spacing w:after="0" w:line="283" w:lineRule="auto"/>
        <w:rPr>
          <w:sz w:val="20"/>
          <w:szCs w:val="20"/>
          <w:color w:val="auto"/>
        </w:rPr>
      </w:pPr>
      <w:r>
        <w:rPr>
          <w:rFonts w:ascii="Arial" w:cs="Arial" w:eastAsia="Arial" w:hAnsi="Arial"/>
          <w:sz w:val="16"/>
          <w:szCs w:val="16"/>
          <w:color w:val="auto"/>
        </w:rPr>
        <w:t>Our head count and operations have grown substantially. For example, we had 4,551 full-time employees as of March 31, 2021, compared with 4,225 as of December 31, 2020 and we have opened 8 international offices since 2012. We also plan to open additional offices in the future. This growth has placed, and will continue to place, a significant strain on our management, administrative, operational and financial infrastructure. We anticipate further growth will be required to address increases in our product offerings and continued expansion. Our success will depend in part upon our ability to recruit, hire, train, manage and integrate a significant number of qualified managers, technical personnel and employees in specialized roles within our company, including in technology, sales and marketing. Furthermore, preservation of our corporate culture has been made more difficult as our work force has been working from home in connection with restrictions placed upon businesses due to the pandemic. A long-term continuation of these restrictions could, among other things, negatively impact employee morale and productivity. Any failure to preserve our culture could harm our future success, including our ability to retain and recruit personnel, innovate and operate effectively and execute on our business strategy. Furthermore, as our employees work remotely from geographic areas across the globe and more of our employees work remotely on a permanent basis due to the pandemic, we may need to reallocate our investment of resources and closely monitor a variety of local regulations and requirements, including local tax laws, and we may experience unpredictability in our expenses and employee work culture. If we experience any of these effects in connection with future growth, if our new employees perform poorly, or if we are unsuccessful in recruiting, hiring, training, managing and integrating these new employees, or retaining these or our existing employees, it could materially impair our ability to attract new customers, retain existing customers and expand their use of our platform, all of which would materially and adversely affect our business, financial condition and results of operations.</w:t>
      </w:r>
    </w:p>
    <w:p>
      <w:pPr>
        <w:spacing w:after="0" w:line="17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 addition, to manage the expected continued growth of our head count, operations and geographic expansion, we will need to continue to improve our information technology infrastructure, operational, financial and management systems and procedures. Our anticipated additional head count and capital investments will increase our costs, which will make it more difficult for us to address any future revenue shortfalls by reducing expenses in the short term. If we fail to successfully manage our growth, we will be unable to successfully execute our business plan, which could have a negative impact on our business, results of operations or financial condition.</w:t>
      </w:r>
    </w:p>
    <w:p>
      <w:pPr>
        <w:spacing w:after="0" w:line="192" w:lineRule="exact"/>
        <w:rPr>
          <w:sz w:val="20"/>
          <w:szCs w:val="20"/>
          <w:color w:val="auto"/>
        </w:rPr>
      </w:pPr>
    </w:p>
    <w:p>
      <w:pPr>
        <w:ind w:right="620"/>
        <w:spacing w:after="0" w:line="272" w:lineRule="auto"/>
        <w:rPr>
          <w:sz w:val="20"/>
          <w:szCs w:val="20"/>
          <w:color w:val="auto"/>
        </w:rPr>
      </w:pPr>
      <w:r>
        <w:rPr>
          <w:rFonts w:ascii="Arial" w:cs="Arial" w:eastAsia="Arial" w:hAnsi="Arial"/>
          <w:sz w:val="18"/>
          <w:szCs w:val="18"/>
          <w:b w:val="1"/>
          <w:bCs w:val="1"/>
          <w:i w:val="1"/>
          <w:iCs w:val="1"/>
          <w:color w:val="auto"/>
        </w:rPr>
        <w:t>Failure to effectively develop and expand our marketing, sales, customer service, and content management capabilities could harm our ability to increase our customer base and achieve broader market acceptance of our platform.</w:t>
      </w:r>
    </w:p>
    <w:p>
      <w:pPr>
        <w:spacing w:after="0" w:line="174" w:lineRule="exact"/>
        <w:rPr>
          <w:sz w:val="20"/>
          <w:szCs w:val="20"/>
          <w:color w:val="auto"/>
        </w:rPr>
      </w:pPr>
    </w:p>
    <w:p>
      <w:pPr>
        <w:ind w:right="100" w:firstLine="510"/>
        <w:spacing w:after="0" w:line="260" w:lineRule="auto"/>
        <w:rPr>
          <w:sz w:val="20"/>
          <w:szCs w:val="20"/>
          <w:color w:val="auto"/>
        </w:rPr>
      </w:pPr>
      <w:r>
        <w:rPr>
          <w:rFonts w:ascii="Arial" w:cs="Arial" w:eastAsia="Arial" w:hAnsi="Arial"/>
          <w:sz w:val="18"/>
          <w:szCs w:val="18"/>
          <w:color w:val="auto"/>
        </w:rPr>
        <w:t>To increase Total Customers and achieve broader market acceptance of our CRM Platform, we will need to expand our marketing, sales, customer service and content management operations, including our sales force and third-party channel partners. We will continue to dedicate significant resources to inbound sales and marketing programs. The effectiveness of our inbound sales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ind w:right="100"/>
        <w:spacing w:after="0" w:line="254" w:lineRule="auto"/>
        <w:rPr>
          <w:sz w:val="20"/>
          <w:szCs w:val="20"/>
          <w:color w:val="auto"/>
        </w:rPr>
      </w:pPr>
      <w:r>
        <w:rPr>
          <w:rFonts w:ascii="Arial" w:cs="Arial" w:eastAsia="Arial" w:hAnsi="Arial"/>
          <w:sz w:val="18"/>
          <w:szCs w:val="18"/>
          <w:color w:val="auto"/>
        </w:rPr>
        <w:t>marketing and third-party channel partners has varied over time and may vary in the future and depends on our ability to maintain and improve our CRM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rate of growth of our business depends on the continued participation and level of service of our Solutions Partners.</w:t>
      </w:r>
    </w:p>
    <w:p>
      <w:pPr>
        <w:spacing w:after="0" w:line="115" w:lineRule="exact"/>
        <w:rPr>
          <w:sz w:val="20"/>
          <w:szCs w:val="20"/>
          <w:color w:val="auto"/>
        </w:rPr>
      </w:pPr>
    </w:p>
    <w:p>
      <w:pPr>
        <w:ind w:right="300" w:firstLine="510"/>
        <w:spacing w:after="0" w:line="298" w:lineRule="auto"/>
        <w:rPr>
          <w:sz w:val="20"/>
          <w:szCs w:val="20"/>
          <w:color w:val="auto"/>
        </w:rPr>
      </w:pPr>
      <w:r>
        <w:rPr>
          <w:rFonts w:ascii="Arial" w:cs="Arial" w:eastAsia="Arial" w:hAnsi="Arial"/>
          <w:sz w:val="16"/>
          <w:szCs w:val="16"/>
          <w:color w:val="212529"/>
        </w:rPr>
        <w:t xml:space="preserve">We rely on our Solutions Partners to provide certain services to our customers, as well as pursue sales of our </w:t>
      </w:r>
      <w:r>
        <w:rPr>
          <w:rFonts w:ascii="Arial" w:cs="Arial" w:eastAsia="Arial" w:hAnsi="Arial"/>
          <w:sz w:val="16"/>
          <w:szCs w:val="16"/>
          <w:color w:val="000000"/>
        </w:rPr>
        <w:t>CRM</w:t>
      </w:r>
      <w:r>
        <w:rPr>
          <w:rFonts w:ascii="Arial" w:cs="Arial" w:eastAsia="Arial" w:hAnsi="Arial"/>
          <w:sz w:val="16"/>
          <w:szCs w:val="16"/>
          <w:color w:val="212529"/>
        </w:rPr>
        <w:t xml:space="preserve"> Platform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our inbound thought leadership position, our business may suffer.</w:t>
      </w:r>
    </w:p>
    <w:p>
      <w:pPr>
        <w:spacing w:after="0" w:line="115" w:lineRule="exact"/>
        <w:rPr>
          <w:sz w:val="20"/>
          <w:szCs w:val="20"/>
          <w:color w:val="auto"/>
        </w:rPr>
      </w:pPr>
    </w:p>
    <w:p>
      <w:pPr>
        <w:ind w:right="20" w:firstLine="510"/>
        <w:spacing w:after="0" w:line="252" w:lineRule="auto"/>
        <w:rPr>
          <w:sz w:val="20"/>
          <w:szCs w:val="20"/>
          <w:color w:val="auto"/>
        </w:rPr>
      </w:pPr>
      <w:r>
        <w:rPr>
          <w:rFonts w:ascii="Arial" w:cs="Arial" w:eastAsia="Arial" w:hAnsi="Arial"/>
          <w:sz w:val="18"/>
          <w:szCs w:val="18"/>
          <w:color w:val="auto"/>
        </w:rPr>
        <w:t>We believe that maintaining our thought leadership position in inbound marketing, sales, services and content management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services,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299"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67" w:lineRule="exact"/>
        <w:rPr>
          <w:sz w:val="20"/>
          <w:szCs w:val="20"/>
          <w:color w:val="auto"/>
        </w:rPr>
      </w:pPr>
    </w:p>
    <w:p>
      <w:pPr>
        <w:ind w:right="200" w:firstLine="510"/>
        <w:spacing w:after="0" w:line="291" w:lineRule="auto"/>
        <w:rPr>
          <w:sz w:val="20"/>
          <w:szCs w:val="20"/>
          <w:color w:val="auto"/>
        </w:rPr>
      </w:pPr>
      <w:r>
        <w:rPr>
          <w:rFonts w:ascii="Arial" w:cs="Arial" w:eastAsia="Arial" w:hAnsi="Arial"/>
          <w:sz w:val="16"/>
          <w:szCs w:val="16"/>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CRM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270"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requirements, our CRM Platform may become less competitive.</w:t>
      </w:r>
    </w:p>
    <w:p>
      <w:pPr>
        <w:spacing w:after="0" w:line="67"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Our future success depends on our ability to adapt and innovate our CRM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CRM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may suffer.</w:t>
      </w:r>
    </w:p>
    <w:p>
      <w:pPr>
        <w:spacing w:after="0" w:line="22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High-quality education, training and customer support are important for the successful marketing, sale and use of our CRM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CRM Platform and provide effective ongoing support, our ability to sell additional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functionality and services to, or to retain, existing customers may suffer and our reputation with existing or potential customers may be harmed.</w:t>
      </w:r>
    </w:p>
    <w:p>
      <w:pPr>
        <w:spacing w:after="0" w:line="126"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174"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As usage of our CRM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CRM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278" w:lineRule="exact"/>
        <w:rPr>
          <w:sz w:val="20"/>
          <w:szCs w:val="20"/>
          <w:color w:val="auto"/>
        </w:rPr>
      </w:pPr>
    </w:p>
    <w:p>
      <w:pPr>
        <w:ind w:right="340"/>
        <w:spacing w:after="0" w:line="336" w:lineRule="auto"/>
        <w:rPr>
          <w:sz w:val="20"/>
          <w:szCs w:val="20"/>
          <w:color w:val="auto"/>
        </w:rPr>
      </w:pPr>
      <w:r>
        <w:rPr>
          <w:rFonts w:ascii="Arial" w:cs="Arial" w:eastAsia="Arial" w:hAnsi="Arial"/>
          <w:sz w:val="16"/>
          <w:szCs w:val="16"/>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21"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To remain competitive, we must continue to develop new product offerings, applications, features and enhancements to our existing CRM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289" w:lineRule="exact"/>
        <w:rPr>
          <w:sz w:val="20"/>
          <w:szCs w:val="20"/>
          <w:color w:val="auto"/>
        </w:rPr>
      </w:pPr>
    </w:p>
    <w:p>
      <w:pPr>
        <w:ind w:right="560"/>
        <w:spacing w:after="0" w:line="272"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CRM Platform purchased or used by our customers could negatively affect our operating results.</w:t>
      </w:r>
    </w:p>
    <w:p>
      <w:pPr>
        <w:spacing w:after="0" w:line="6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Our strategy is to sell subscriptions to our CRM Platform to mid-sized businesses, but we have sold and will continue to sell to organizations ranging from small businesses to enterprises. Our gross margins can vary depending on numerous factors related to the implementation and use of our CRM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284" w:lineRule="exact"/>
        <w:rPr>
          <w:sz w:val="20"/>
          <w:szCs w:val="20"/>
          <w:color w:val="auto"/>
        </w:rPr>
      </w:pPr>
    </w:p>
    <w:p>
      <w:pPr>
        <w:ind w:right="560"/>
        <w:spacing w:after="0" w:line="272"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CRM Platform purchased or used by our customers could negatively affect our operating results.</w:t>
      </w:r>
    </w:p>
    <w:p>
      <w:pPr>
        <w:spacing w:after="0" w:line="67" w:lineRule="exact"/>
        <w:rPr>
          <w:sz w:val="20"/>
          <w:szCs w:val="20"/>
          <w:color w:val="auto"/>
        </w:rPr>
      </w:pPr>
    </w:p>
    <w:p>
      <w:pPr>
        <w:ind w:right="20" w:firstLine="510"/>
        <w:spacing w:after="0" w:line="265" w:lineRule="auto"/>
        <w:rPr>
          <w:sz w:val="20"/>
          <w:szCs w:val="20"/>
          <w:color w:val="auto"/>
        </w:rPr>
      </w:pPr>
      <w:r>
        <w:rPr>
          <w:rFonts w:ascii="Arial" w:cs="Arial" w:eastAsia="Arial" w:hAnsi="Arial"/>
          <w:sz w:val="17"/>
          <w:szCs w:val="17"/>
          <w:color w:val="auto"/>
        </w:rPr>
        <w:t>Our strategy is to sell subscriptions to our CRM Platform to mid-sized businesses, but we have sold and will continue to sell to organizations ranging from small businesses to enterprises. Our gross margins can vary depending on numerous factors related to the implementation and use of our CRM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5"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sectPr>
      </w:pPr>
    </w:p>
    <w:bookmarkStart w:id="40" w:name="page41"/>
    <w:bookmarkEnd w:id="40"/>
    <w:p>
      <w:pPr>
        <w:ind w:firstLine="510"/>
        <w:spacing w:after="0" w:line="254" w:lineRule="auto"/>
        <w:rPr>
          <w:sz w:val="20"/>
          <w:szCs w:val="20"/>
          <w:color w:val="auto"/>
        </w:rPr>
      </w:pPr>
      <w:r>
        <w:rPr>
          <w:rFonts w:ascii="Arial" w:cs="Arial" w:eastAsia="Arial" w:hAnsi="Arial"/>
          <w:sz w:val="18"/>
          <w:szCs w:val="18"/>
          <w:color w:val="auto"/>
        </w:rPr>
        <w:t>We have in the past acquired, and we may in the future acquire or invest in, businesses, products or technologies that we believe could complement or expand our platform, enhance our technical capabilities or otherwise offer growth opportunities, for example, the acquisition of PieSync in 2019 and the Hustle in 2021. We may not be able to fully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92" w:lineRule="exact"/>
        <w:rPr>
          <w:sz w:val="20"/>
          <w:szCs w:val="20"/>
          <w:color w:val="auto"/>
        </w:rPr>
      </w:pPr>
    </w:p>
    <w:p>
      <w:pPr>
        <w:ind w:right="40" w:firstLine="510"/>
        <w:spacing w:after="0" w:line="283" w:lineRule="auto"/>
        <w:rPr>
          <w:sz w:val="20"/>
          <w:szCs w:val="20"/>
          <w:color w:val="auto"/>
        </w:rPr>
      </w:pPr>
      <w:r>
        <w:rPr>
          <w:rFonts w:ascii="Arial" w:cs="Arial" w:eastAsia="Arial" w:hAnsi="Arial"/>
          <w:sz w:val="16"/>
          <w:szCs w:val="16"/>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the inability to recognize acquired deferred revenue in accordance with our revenue recognition policies;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77" w:lineRule="exact"/>
        <w:rPr>
          <w:sz w:val="20"/>
          <w:szCs w:val="20"/>
          <w:color w:val="auto"/>
        </w:rPr>
      </w:pPr>
    </w:p>
    <w:p>
      <w:pPr>
        <w:ind w:right="80" w:firstLine="510"/>
        <w:spacing w:after="0" w:line="282"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276"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67" w:lineRule="exact"/>
        <w:rPr>
          <w:sz w:val="20"/>
          <w:szCs w:val="20"/>
          <w:color w:val="auto"/>
        </w:rPr>
      </w:pPr>
    </w:p>
    <w:p>
      <w:pPr>
        <w:ind w:right="500" w:firstLine="510"/>
        <w:spacing w:after="0" w:line="282"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We have opened 8 international offices since 2012. We also plan to open additional offices in the future. These international offices focus primarily on sales, professional services and support. Our current international operations and future initiatives will involve a variety of risks, including:</w:t>
      </w:r>
    </w:p>
    <w:p>
      <w:pPr>
        <w:spacing w:after="0" w:line="62"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maintaining our company culture with a dispersed and distant workforce;</w:t>
      </w:r>
    </w:p>
    <w:p>
      <w:pPr>
        <w:spacing w:after="0" w:line="114" w:lineRule="exact"/>
        <w:rPr>
          <w:rFonts w:ascii="Arial" w:cs="Arial" w:eastAsia="Arial" w:hAnsi="Arial"/>
          <w:sz w:val="18"/>
          <w:szCs w:val="18"/>
          <w:color w:val="auto"/>
        </w:rPr>
      </w:pPr>
    </w:p>
    <w:p>
      <w:pPr>
        <w:ind w:left="1020" w:right="86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stringent regulations relating to data security and the unauthorized use of, or access to, commercial and personal information, particularly in the European Union;</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or trade laws;</w:t>
      </w:r>
    </w:p>
    <w:p>
      <w:pPr>
        <w:spacing w:after="0" w:line="114" w:lineRule="exact"/>
        <w:rPr>
          <w:rFonts w:ascii="Arial" w:cs="Arial" w:eastAsia="Arial" w:hAnsi="Arial"/>
          <w:sz w:val="18"/>
          <w:szCs w:val="18"/>
          <w:color w:val="auto"/>
        </w:rPr>
      </w:pPr>
    </w:p>
    <w:p>
      <w:pPr>
        <w:ind w:left="1020" w:right="4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67" w:lineRule="exact"/>
        <w:rPr>
          <w:rFonts w:ascii="Arial" w:cs="Arial" w:eastAsia="Arial" w:hAnsi="Arial"/>
          <w:sz w:val="18"/>
          <w:szCs w:val="18"/>
          <w:color w:val="auto"/>
        </w:rPr>
      </w:pPr>
    </w:p>
    <w:p>
      <w:pPr>
        <w:ind w:left="1020" w:right="10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including remote employees, over large geographic distances, including the need to implement appropriate systems, policies, benefits and compliance programs;</w:t>
      </w:r>
    </w:p>
    <w:p>
      <w:pPr>
        <w:spacing w:after="0" w:line="67" w:lineRule="exact"/>
        <w:rPr>
          <w:rFonts w:ascii="Arial" w:cs="Arial" w:eastAsia="Arial" w:hAnsi="Arial"/>
          <w:sz w:val="18"/>
          <w:szCs w:val="18"/>
          <w:color w:val="auto"/>
        </w:rPr>
      </w:pPr>
    </w:p>
    <w:p>
      <w:pPr>
        <w:ind w:left="1020" w:right="22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7" w:lineRule="exact"/>
        <w:rPr>
          <w:rFonts w:ascii="Arial" w:cs="Arial" w:eastAsia="Arial" w:hAnsi="Arial"/>
          <w:sz w:val="18"/>
          <w:szCs w:val="18"/>
          <w:color w:val="auto"/>
        </w:rPr>
      </w:pPr>
    </w:p>
    <w:p>
      <w:pPr>
        <w:ind w:left="1020" w:right="56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7" w:lineRule="exact"/>
        <w:rPr>
          <w:rFonts w:ascii="Arial" w:cs="Arial" w:eastAsia="Arial" w:hAnsi="Arial"/>
          <w:sz w:val="18"/>
          <w:szCs w:val="18"/>
          <w:color w:val="auto"/>
        </w:rPr>
      </w:pPr>
    </w:p>
    <w:p>
      <w:pPr>
        <w:ind w:left="1020" w:right="10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economic uncertainty caused by global political events, including the United Kingdom's exit from the European Union, on January 31, 2020, or "Brexit", and similar geopolitical developments;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37"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1" w:name="page42"/>
    <w:bookmarkEnd w:id="41"/>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4" w:lineRule="exact"/>
        <w:rPr>
          <w:rFonts w:ascii="Arial" w:cs="Arial" w:eastAsia="Arial" w:hAnsi="Arial"/>
          <w:sz w:val="18"/>
          <w:szCs w:val="18"/>
          <w:color w:val="auto"/>
        </w:rPr>
      </w:pPr>
    </w:p>
    <w:p>
      <w:pPr>
        <w:ind w:left="1020" w:right="220" w:hanging="503"/>
        <w:spacing w:after="0" w:line="26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7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2"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w:t>
      </w:r>
    </w:p>
    <w:p>
      <w:pPr>
        <w:spacing w:after="0" w:line="333" w:lineRule="exact"/>
        <w:rPr>
          <w:sz w:val="20"/>
          <w:szCs w:val="20"/>
          <w:color w:val="auto"/>
        </w:rPr>
      </w:pPr>
    </w:p>
    <w:p>
      <w:pPr>
        <w:ind w:right="640"/>
        <w:spacing w:after="0" w:line="272"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67"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We believe that a critical component to our success has been our company culture, which is based on transparency and personal autonomy. We have invested substantial time and resources in building our team within this company culture. Any failure to preserve our culture could negatively affect our ability to retain and recruit personnel and to effectively focus on and pursue our corporate objectives. As we grow as and continue to develop the infrastructure of a public company, we may find it difficult to maintain these important aspects of our company culture. If we fail to maintain our company culture, our business may be adversely impacted.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management team and other key employees, and the loss of one or more key employees could harm our business.</w:t>
      </w:r>
    </w:p>
    <w:p>
      <w:pPr>
        <w:spacing w:after="0" w:line="11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success and future growth depend upon the continued services of our management team, including our co-founders, Brian Halligan and Dharmesh Shah, and other key employees in the areas of research and development, marketing, sales, services, content management,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115"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services, and content management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and will continue to experience a competitive hiring environment as we recruit for remote talent worldwide. Many of the companies with which we compete for experienced personnel have greater resources than we do. 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Technical Operations Infrastructure and Dependence on Third Parties</w:t>
      </w:r>
    </w:p>
    <w:p>
      <w:pPr>
        <w:spacing w:after="0" w:line="333" w:lineRule="exact"/>
        <w:rPr>
          <w:sz w:val="20"/>
          <w:szCs w:val="20"/>
          <w:color w:val="auto"/>
        </w:rPr>
      </w:pPr>
    </w:p>
    <w:p>
      <w:pPr>
        <w:ind w:right="140"/>
        <w:spacing w:after="0" w:line="302" w:lineRule="auto"/>
        <w:rPr>
          <w:sz w:val="20"/>
          <w:szCs w:val="20"/>
          <w:color w:val="auto"/>
        </w:rPr>
      </w:pPr>
      <w:r>
        <w:rPr>
          <w:rFonts w:ascii="Arial" w:cs="Arial" w:eastAsia="Arial" w:hAnsi="Arial"/>
          <w:sz w:val="17"/>
          <w:szCs w:val="17"/>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44" w:lineRule="exact"/>
        <w:rPr>
          <w:sz w:val="20"/>
          <w:szCs w:val="20"/>
          <w:color w:val="auto"/>
        </w:rPr>
      </w:pPr>
    </w:p>
    <w:p>
      <w:pPr>
        <w:ind w:firstLine="579"/>
        <w:spacing w:after="0" w:line="269" w:lineRule="auto"/>
        <w:rPr>
          <w:sz w:val="20"/>
          <w:szCs w:val="20"/>
          <w:color w:val="auto"/>
        </w:rPr>
      </w:pPr>
      <w:r>
        <w:rPr>
          <w:rFonts w:ascii="Arial" w:cs="Arial" w:eastAsia="Arial" w:hAnsi="Arial"/>
          <w:sz w:val="17"/>
          <w:szCs w:val="17"/>
          <w:color w:val="auto"/>
        </w:rPr>
        <w:t>We currently serve the majority of our platform functions from third-party data center hosting facilities operated by Amazon Web Services located in northern Virginia and Google Cloud Platform located in Frankfurt, Germany. In addition, we serve ancillary functions for our customers from third-party data center hosting facilities operated by Rackspace located in Dallas, Texas, with a backup facility in Chicago, Illinois. Our operations depend, in part, on our third-party facility providers’ abilities to protect these facilities against damage or interruption from natural disasters, such as earthquakes and hurricanes, actual or threatened public health emergency (e.g., COVID-19), power or telecommunications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82" w:lineRule="exact"/>
        <w:rPr>
          <w:sz w:val="20"/>
          <w:szCs w:val="20"/>
          <w:color w:val="auto"/>
        </w:rPr>
      </w:pPr>
    </w:p>
    <w:p>
      <w:pPr>
        <w:ind w:right="20" w:firstLine="579"/>
        <w:spacing w:after="0" w:line="252" w:lineRule="auto"/>
        <w:rPr>
          <w:sz w:val="20"/>
          <w:szCs w:val="20"/>
          <w:color w:val="auto"/>
        </w:rPr>
      </w:pPr>
      <w:r>
        <w:rPr>
          <w:rFonts w:ascii="Arial" w:cs="Arial" w:eastAsia="Arial" w:hAnsi="Arial"/>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on-demand software.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302"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b w:val="1"/>
          <w:bCs w:val="1"/>
          <w:i w:val="1"/>
          <w:iCs w:val="1"/>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spacing w:after="0" w:line="67" w:lineRule="exact"/>
        <w:rPr>
          <w:sz w:val="20"/>
          <w:szCs w:val="20"/>
          <w:color w:val="auto"/>
        </w:rPr>
      </w:pPr>
    </w:p>
    <w:p>
      <w:pPr>
        <w:ind w:right="20" w:firstLine="579"/>
        <w:spacing w:after="0" w:line="284" w:lineRule="auto"/>
        <w:rPr>
          <w:sz w:val="20"/>
          <w:szCs w:val="20"/>
          <w:color w:val="auto"/>
        </w:rPr>
      </w:pPr>
      <w:r>
        <w:rPr>
          <w:rFonts w:ascii="Arial" w:cs="Arial" w:eastAsia="Arial" w:hAnsi="Arial"/>
          <w:sz w:val="16"/>
          <w:szCs w:val="16"/>
          <w:color w:val="auto"/>
        </w:rPr>
        <w:t>Our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Although no data from prior to the outage was lost, our customers experienced disruptions in using our platform during the outage.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ind w:right="60" w:firstLine="579"/>
        <w:spacing w:after="0" w:line="256" w:lineRule="auto"/>
        <w:rPr>
          <w:sz w:val="20"/>
          <w:szCs w:val="20"/>
          <w:color w:val="auto"/>
        </w:rPr>
      </w:pPr>
      <w:r>
        <w:rPr>
          <w:rFonts w:ascii="Arial" w:cs="Arial" w:eastAsia="Arial" w:hAnsi="Arial"/>
          <w:sz w:val="18"/>
          <w:szCs w:val="18"/>
          <w:color w:val="auto"/>
        </w:rPr>
        <w:t>In addition, third-party apps and features on our CRM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continued availability of third-party data hosting and transmission services.</w:t>
      </w:r>
    </w:p>
    <w:p>
      <w:pPr>
        <w:spacing w:after="0" w:line="115" w:lineRule="exact"/>
        <w:rPr>
          <w:sz w:val="20"/>
          <w:szCs w:val="20"/>
          <w:color w:val="auto"/>
        </w:rPr>
      </w:pPr>
    </w:p>
    <w:p>
      <w:pPr>
        <w:jc w:val="both"/>
        <w:ind w:right="20" w:firstLine="510"/>
        <w:spacing w:after="0" w:line="260" w:lineRule="auto"/>
        <w:rPr>
          <w:sz w:val="20"/>
          <w:szCs w:val="20"/>
          <w:color w:val="auto"/>
        </w:rPr>
      </w:pPr>
      <w:r>
        <w:rPr>
          <w:rFonts w:ascii="Arial" w:cs="Arial" w:eastAsia="Arial" w:hAnsi="Arial"/>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CRM Platform or services to cover the changes. As a result, our operating results may be significantly worse than forecasted.</w:t>
      </w:r>
    </w:p>
    <w:p>
      <w:pPr>
        <w:spacing w:after="0" w:line="292" w:lineRule="exact"/>
        <w:rPr>
          <w:sz w:val="20"/>
          <w:szCs w:val="20"/>
          <w:color w:val="auto"/>
        </w:rPr>
      </w:pPr>
    </w:p>
    <w:p>
      <w:pPr>
        <w:ind w:right="360"/>
        <w:spacing w:after="0" w:line="272" w:lineRule="auto"/>
        <w:rPr>
          <w:sz w:val="20"/>
          <w:szCs w:val="20"/>
          <w:color w:val="auto"/>
        </w:rPr>
      </w:pPr>
      <w:r>
        <w:rPr>
          <w:rFonts w:ascii="Arial" w:cs="Arial" w:eastAsia="Arial" w:hAnsi="Arial"/>
          <w:sz w:val="18"/>
          <w:szCs w:val="18"/>
          <w:b w:val="1"/>
          <w:bCs w:val="1"/>
          <w:i w:val="1"/>
          <w:iCs w:val="1"/>
          <w:color w:val="auto"/>
        </w:rPr>
        <w:t>If we do not or cannot maintain the compatibility of our CRM Platform with third-party applications that our customers use in their businesses, our revenue will decline.</w:t>
      </w:r>
    </w:p>
    <w:p>
      <w:pPr>
        <w:spacing w:after="0" w:line="6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 significant percentage of our customers choose to integrate our platform with certain capabilities provided by third-party application providers using application programming interfaces (“APIs”) published by these providers. The functionality and popularity of our CRM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 and disrupt our business.</w:t>
      </w:r>
    </w:p>
    <w:p>
      <w:pPr>
        <w:spacing w:after="0" w:line="11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Select functionality of our CRM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end users’ acceptance of Internet behavior tracking may limit the applicability, use and adoption of our CRM Platform.</w:t>
      </w:r>
    </w:p>
    <w:p>
      <w:pPr>
        <w:spacing w:after="0" w:line="13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especially in certain industries that rely on sensitive personal information.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CRM Platform and reduce overall demand for it, or lead to significant fines, penalties or liabilities for any noncompliance or loss of any such action.</w:t>
      </w:r>
    </w:p>
    <w:p>
      <w:pPr>
        <w:spacing w:after="0" w:line="289"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b w:val="1"/>
          <w:bCs w:val="1"/>
          <w:i w:val="1"/>
          <w:iCs w:val="1"/>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185"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Our operations involve the storage and transmission of data of our customers and their customers, including personally identifiable information.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44" w:name="page45"/>
    <w:bookmarkEnd w:id="44"/>
    <w:p>
      <w:pPr>
        <w:spacing w:after="0" w:line="266" w:lineRule="auto"/>
        <w:rPr>
          <w:sz w:val="20"/>
          <w:szCs w:val="20"/>
          <w:color w:val="auto"/>
        </w:rPr>
      </w:pPr>
      <w:r>
        <w:rPr>
          <w:rFonts w:ascii="Arial" w:cs="Arial" w:eastAsia="Arial" w:hAnsi="Arial"/>
          <w:sz w:val="17"/>
          <w:szCs w:val="17"/>
          <w:color w:val="auto"/>
        </w:rPr>
        <w:t>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are compromised as a result of third-party action, employee or customer error, malfeasance, stolen or fraudulently obtained log-in credentials or otherwise, our reputation could be damaged, our business may be harmed and we could incur significant liability.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w:t>
      </w:r>
    </w:p>
    <w:p>
      <w:pPr>
        <w:spacing w:after="0" w:line="184"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Our internal computer systems and those of our current and any future strategic collaborators, vendors, and other contractors or consultants are vulnerable to damage from cyber-attacks, computer viruses, unauthorized access, natural disasters, cybersecurity threats, terrorism, war and telecommunication and electrical failures. 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Because the techniques used by computer programmers who may attempt to penetrate and sabotage our network security or our website change frequently and may not be recognized until launched against a target, we may be unable to anticipate these techniques. Additionally, during the ongoing pandemic, and potentially beyond as remote work and resource access expand, there is an increased risk that we may experience cybersecurity-related events such as COVID-19 themed phishing attacks, exploitation of any cybersecurity flaws that may exist, an increase in the number cybersecurity threats or attacks, and other security challenges as a result of most of our employees and our service providers continuing to work remotely from non-corporate managed networks.</w:t>
      </w:r>
    </w:p>
    <w:p>
      <w:pPr>
        <w:spacing w:after="0" w:line="16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If we were to experience a cyberattack and suffer interruptions in our operations, it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disruption or security breach were to result in a loss of, or damage to, our data or applications, or inappropriate disclosure of confidential or proprietary information, we could incur liability and our competitive position could be harmed. Any breach, loss, or compromise of personal data may also subject us to civil fines and penalties, or claims for damages either under the General Data Protection Regulation (the “GDPR”) and relevant member state law in the European Union, other foreign laws, and other relevant state and federal privacy laws in the United States.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sectPr>
      </w:pPr>
    </w:p>
    <w:bookmarkStart w:id="45" w:name="page46"/>
    <w:bookmarkEnd w:id="45"/>
    <w:p>
      <w:pPr>
        <w:ind w:right="40" w:firstLine="510"/>
        <w:spacing w:after="0" w:line="282" w:lineRule="auto"/>
        <w:rPr>
          <w:sz w:val="20"/>
          <w:szCs w:val="20"/>
          <w:color w:val="auto"/>
        </w:rPr>
      </w:pPr>
      <w:r>
        <w:rPr>
          <w:rFonts w:ascii="Arial" w:cs="Arial" w:eastAsia="Arial" w:hAnsi="Arial"/>
          <w:sz w:val="16"/>
          <w:szCs w:val="16"/>
          <w:color w:val="auto"/>
        </w:rPr>
        <w:t>Many governments have enacted laws requiring companies to notify individuals of data security incidents or unauthorized transfers involving certain types of personal data. In addition, some of our customers contractually require notification of any data security compromise.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3" w:lineRule="exact"/>
        <w:rPr>
          <w:sz w:val="20"/>
          <w:szCs w:val="20"/>
          <w:color w:val="auto"/>
        </w:rPr>
      </w:pPr>
    </w:p>
    <w:p>
      <w:pPr>
        <w:ind w:firstLine="510"/>
        <w:spacing w:after="0" w:line="279" w:lineRule="auto"/>
        <w:rPr>
          <w:sz w:val="20"/>
          <w:szCs w:val="20"/>
          <w:color w:val="auto"/>
        </w:rPr>
      </w:pPr>
      <w:r>
        <w:rPr>
          <w:rFonts w:ascii="Arial" w:cs="Arial" w:eastAsia="Arial" w:hAnsi="Arial"/>
          <w:sz w:val="16"/>
          <w:szCs w:val="16"/>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technology infringes the intellectual property rights of others.</w:t>
      </w:r>
    </w:p>
    <w:p>
      <w:pPr>
        <w:spacing w:after="0" w:line="102" w:lineRule="exact"/>
        <w:rPr>
          <w:sz w:val="20"/>
          <w:szCs w:val="20"/>
          <w:color w:val="auto"/>
        </w:rPr>
      </w:pPr>
    </w:p>
    <w:p>
      <w:pPr>
        <w:ind w:firstLine="579"/>
        <w:spacing w:after="0" w:line="284" w:lineRule="auto"/>
        <w:rPr>
          <w:sz w:val="20"/>
          <w:szCs w:val="20"/>
          <w:color w:val="auto"/>
        </w:rPr>
      </w:pPr>
      <w:r>
        <w:rPr>
          <w:rFonts w:ascii="Arial" w:cs="Arial" w:eastAsia="Arial" w:hAnsi="Arial"/>
          <w:sz w:val="16"/>
          <w:szCs w:val="16"/>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CRM Platform if they are concerned that they may infringe third-party intellectual property rights. The occurrence of any of these events may have a material adverse effect on our business.</w:t>
      </w:r>
    </w:p>
    <w:p>
      <w:pPr>
        <w:spacing w:after="0" w:line="169" w:lineRule="exact"/>
        <w:rPr>
          <w:sz w:val="20"/>
          <w:szCs w:val="20"/>
          <w:color w:val="auto"/>
        </w:rPr>
      </w:pPr>
    </w:p>
    <w:p>
      <w:pPr>
        <w:ind w:right="40" w:firstLine="579"/>
        <w:spacing w:after="0" w:line="289" w:lineRule="auto"/>
        <w:rPr>
          <w:sz w:val="20"/>
          <w:szCs w:val="20"/>
          <w:color w:val="auto"/>
        </w:rPr>
      </w:pPr>
      <w:r>
        <w:rPr>
          <w:rFonts w:ascii="Arial" w:cs="Arial" w:eastAsia="Arial" w:hAnsi="Arial"/>
          <w:sz w:val="16"/>
          <w:szCs w:val="16"/>
          <w:color w:val="auto"/>
        </w:rPr>
        <w:t>In our subscription agreements with our customers, we generally do not agree to indemnify our customers against any losses or costs incurred in connection with claims by a third party alleging that a customer’s use of our services or platform infringes the intellectual property rights of the third party. There can be no assurance, however,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272"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67"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ours. Some license provisions protecting against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46" w:name="page47"/>
    <w:bookmarkEnd w:id="46"/>
    <w:p>
      <w:pPr>
        <w:ind w:right="320"/>
        <w:spacing w:after="0" w:line="307" w:lineRule="auto"/>
        <w:rPr>
          <w:sz w:val="20"/>
          <w:szCs w:val="20"/>
          <w:color w:val="auto"/>
        </w:rPr>
      </w:pPr>
      <w:r>
        <w:rPr>
          <w:rFonts w:ascii="Arial" w:cs="Arial" w:eastAsia="Arial" w:hAnsi="Arial"/>
          <w:sz w:val="16"/>
          <w:szCs w:val="16"/>
          <w:color w:val="auto"/>
        </w:rPr>
        <w:t>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52" w:lineRule="exact"/>
        <w:rPr>
          <w:sz w:val="20"/>
          <w:szCs w:val="20"/>
          <w:color w:val="auto"/>
        </w:rPr>
      </w:pPr>
    </w:p>
    <w:p>
      <w:pPr>
        <w:ind w:right="300" w:firstLine="579"/>
        <w:spacing w:after="0" w:line="298"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59" w:lineRule="exact"/>
        <w:rPr>
          <w:sz w:val="20"/>
          <w:szCs w:val="20"/>
          <w:color w:val="auto"/>
        </w:rPr>
      </w:pPr>
    </w:p>
    <w:p>
      <w:pPr>
        <w:ind w:right="20" w:firstLine="579"/>
        <w:spacing w:after="0" w:line="269" w:lineRule="auto"/>
        <w:rPr>
          <w:sz w:val="20"/>
          <w:szCs w:val="20"/>
          <w:color w:val="auto"/>
        </w:rPr>
      </w:pPr>
      <w:r>
        <w:rPr>
          <w:rFonts w:ascii="Arial" w:cs="Arial" w:eastAsia="Arial" w:hAnsi="Arial"/>
          <w:sz w:val="17"/>
          <w:szCs w:val="17"/>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our platform and subject us to possible litigation.</w:t>
      </w:r>
    </w:p>
    <w:p>
      <w:pPr>
        <w:spacing w:after="0" w:line="115" w:lineRule="exact"/>
        <w:rPr>
          <w:sz w:val="20"/>
          <w:szCs w:val="20"/>
          <w:color w:val="auto"/>
        </w:rPr>
      </w:pPr>
    </w:p>
    <w:p>
      <w:pPr>
        <w:ind w:right="80" w:firstLine="510"/>
        <w:spacing w:after="0" w:line="267" w:lineRule="auto"/>
        <w:rPr>
          <w:sz w:val="20"/>
          <w:szCs w:val="20"/>
          <w:color w:val="auto"/>
        </w:rPr>
      </w:pPr>
      <w:r>
        <w:rPr>
          <w:rFonts w:ascii="Arial" w:cs="Arial" w:eastAsia="Arial" w:hAnsi="Arial"/>
          <w:sz w:val="17"/>
          <w:szCs w:val="17"/>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33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spacing w:after="0" w:line="78"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or FTC, and various state, local and foreign agencies. We collect personally identifiable information and other data from our customers and leads. We also handle personally identifiable information about our customers’ customers. We use this information to provide services to our customers, to support, expand and improve our business. We may also share customers’ personally identifiable information with third parties as authorized by the customer or as described in our privacy policy.</w:t>
      </w:r>
    </w:p>
    <w:p>
      <w:pPr>
        <w:spacing w:after="0" w:line="19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U.S. federal and various state and foreign governments have adopted or proposed limitations on the collection, distribution, use and storage of personal information of individuals. In the United States, the FTC and many state attorneys general are applying federal and state consumer protection laws as imposing standards for the online collection, use and dissemination of data.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release or transfer of personally identifiable information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65" w:lineRule="exact"/>
        <w:rPr>
          <w:sz w:val="20"/>
          <w:szCs w:val="20"/>
          <w:color w:val="auto"/>
        </w:rPr>
      </w:pPr>
    </w:p>
    <w:p>
      <w:pPr>
        <w:ind w:right="420" w:firstLine="510"/>
        <w:spacing w:after="0" w:line="272" w:lineRule="auto"/>
        <w:rPr>
          <w:sz w:val="20"/>
          <w:szCs w:val="20"/>
          <w:color w:val="auto"/>
        </w:rPr>
      </w:pPr>
      <w:r>
        <w:rPr>
          <w:rFonts w:ascii="Arial" w:cs="Arial" w:eastAsia="Arial" w:hAnsi="Arial"/>
          <w:sz w:val="18"/>
          <w:szCs w:val="18"/>
          <w:color w:val="auto"/>
        </w:rPr>
        <w:t>Laws and regulations concerning privacy, data protection and information security are evolving, and changes to such laws and regulations could require us to change features of our platform or restrict our customers’ ability to collect and use email addresses,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7" w:name="page48"/>
    <w:bookmarkEnd w:id="47"/>
    <w:p>
      <w:pPr>
        <w:ind w:right="180"/>
        <w:spacing w:after="0" w:line="252" w:lineRule="auto"/>
        <w:rPr>
          <w:sz w:val="20"/>
          <w:szCs w:val="20"/>
          <w:color w:val="auto"/>
        </w:rPr>
      </w:pPr>
      <w:r>
        <w:rPr>
          <w:rFonts w:ascii="Arial" w:cs="Arial" w:eastAsia="Arial" w:hAnsi="Arial"/>
          <w:sz w:val="18"/>
          <w:szCs w:val="18"/>
          <w:color w:val="auto"/>
        </w:rPr>
        <w:t>page viewing data and personal information, which may reduce demand for our platform. Our failure to comply with federal, state and international data privacy laws and regulations could harm our ability to successfully operate our business and pursue our business goals. For example, California recently enacted the California Consumer Privacy Act (the “CCPA”), that, among other things, require covered companies to provide new disclosures to California consumers and afford such consumers new abilities to opt-out of certain sales of personal information. The CCPA recently was amended and it is not yet fully clear how the CCPA will be enforced and how certain of its requirements will be interpreted. We cannot yet predict the impact of the CCPA on our business or operations, but it may require us to modify our data processing practices and policies and to incur substantial costs and expenses in an effort to comply.</w:t>
      </w:r>
    </w:p>
    <w:p>
      <w:pPr>
        <w:spacing w:after="0" w:line="195" w:lineRule="exact"/>
        <w:rPr>
          <w:sz w:val="20"/>
          <w:szCs w:val="20"/>
          <w:color w:val="auto"/>
        </w:rPr>
      </w:pPr>
    </w:p>
    <w:p>
      <w:pPr>
        <w:ind w:right="160" w:firstLine="510"/>
        <w:spacing w:after="0" w:line="253" w:lineRule="auto"/>
        <w:rPr>
          <w:sz w:val="20"/>
          <w:szCs w:val="20"/>
          <w:color w:val="auto"/>
        </w:rPr>
      </w:pPr>
      <w:r>
        <w:rPr>
          <w:rFonts w:ascii="Arial" w:cs="Arial" w:eastAsia="Arial" w:hAnsi="Arial"/>
          <w:sz w:val="18"/>
          <w:szCs w:val="18"/>
          <w:color w:val="auto"/>
        </w:rPr>
        <w:t>Additionally, a new California ballot initiative, the California Privacy Rights Act, or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92" w:lineRule="exact"/>
        <w:rPr>
          <w:sz w:val="20"/>
          <w:szCs w:val="20"/>
          <w:color w:val="auto"/>
        </w:rPr>
      </w:pPr>
    </w:p>
    <w:p>
      <w:pPr>
        <w:ind w:right="380" w:firstLine="510"/>
        <w:spacing w:after="0" w:line="253" w:lineRule="auto"/>
        <w:rPr>
          <w:sz w:val="20"/>
          <w:szCs w:val="20"/>
          <w:color w:val="auto"/>
        </w:rPr>
      </w:pPr>
      <w:r>
        <w:rPr>
          <w:rFonts w:ascii="Arial" w:cs="Arial" w:eastAsia="Arial" w:hAnsi="Arial"/>
          <w:sz w:val="18"/>
          <w:szCs w:val="18"/>
          <w:color w:val="auto"/>
        </w:rPr>
        <w:t>Certain other state laws impose similar privacy obligations and we also expect anticipate that more states to may enact legislation similar to the CCPA, which provides consumers with new privacy rights and increases the privacy and security obligations of entities handling certain personal information of such consumers. The CCPA has prompted a number of proposals for new federal and state-level privacy 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92"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In addition, on March 2, 2021, Virginia enacted the Consumer Data Protection Act (the “CDPA”). The CDPA will become effective January 1, 2023. The CDPA will regulate how businesses (which the CDPA refers to as “controllers”) collect and share personal information.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w:t>
      </w:r>
    </w:p>
    <w:p>
      <w:pPr>
        <w:spacing w:after="0" w:line="17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addition, several foreign jurisdictions, including the European Union and Canada, have regulations dealing with the collection and use of personal information obtained from their residents, which are often more restrictive than those in the U.S. Laws and regulations in these jurisdictions apply broadly to the collection, use, storage, disclosure and security of personal information that identifies or may be used to identify an individual. In relevant part, these laws and regulations may affect our ability to engage in lead generation activities by imposing heightened requirements, such as affirmative opt-ins or consent prior to sending commercial correspondence or engaging in electronic tracking activities. For example, a recent ruling of the European Court of Justice in Case C-673/17 provides that a pre-checked opt-in is insufficient to constitute a valid active consumer consent to cookie storage.</w:t>
      </w:r>
    </w:p>
    <w:p>
      <w:pPr>
        <w:spacing w:after="0" w:line="163"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Within the European Union, legislators have adopted the GDPR and which became effective in May 2018 which may impose additional obligations and risk upon our business and which may increase substantially the penalties to which we could be subject in the event of any non-compliance. In addition, further to the United Kingdom's exit from the European Union on January 31, 2020, the GDPR ceased to apply in the United Kingdom at the end of the transition period on December 31, 2020. However, as of January 1, 2021, the United Kingdom’s European Union (Withdrawal) Act 2018 incorporated the GDPR (as it existed on December 31, 2020 but subject to certain United Kingdom specific amendments) into United Kingdom law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 The United Kingdom, however, is now regarded as a third country under the European Union’s GDPR which means that transfers of personal data from the European Economic Area to the United Kingdom will be restricted unless an appropriate safeguard, as recognized by the European Union’s GDPR, has been put in place. However, under the EU-UK Trade Cooperation Agreement it is lawful to transfer personal data between the United Kingdom and the European Economic Area for a 6 month period following the end of the transition period, with a view to achieving an adequacy decision from the European Commission during that period. Like the European Union GDPR, the UK GDPR restricts personal data transfers outside the United Kingdom to countries not regarded by the United Kingdom as providing adequate protection (this means that personal data transfers from the United Kingdom to the European Economic Area remain free flowing).</w:t>
      </w:r>
    </w:p>
    <w:p>
      <w:pPr>
        <w:spacing w:after="0" w:line="169"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On July 12, 2016, the European Commission adopted the EU-US Privacy Shield, a framework for the transfer of personal data from the European Union to the United States, as a successor to the Safe Harbor framework that was invalidated by the European Court of Justice in October 2015. We certified to the EU-US Privacy Shield. On July 16, 2020, the European Court of Justice invalidated the EU–US Privacy Shield ruling that it failed to offer adequate protections for European Union personal data transferred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48" w:name="page49"/>
    <w:bookmarkEnd w:id="48"/>
    <w:p>
      <w:pPr>
        <w:ind w:right="60"/>
        <w:spacing w:after="0" w:line="284" w:lineRule="auto"/>
        <w:rPr>
          <w:sz w:val="20"/>
          <w:szCs w:val="20"/>
          <w:color w:val="auto"/>
        </w:rPr>
      </w:pPr>
      <w:r>
        <w:rPr>
          <w:rFonts w:ascii="Arial" w:cs="Arial" w:eastAsia="Arial" w:hAnsi="Arial"/>
          <w:sz w:val="16"/>
          <w:szCs w:val="16"/>
          <w:color w:val="auto"/>
        </w:rPr>
        <w:t>to the United States. The European Court of Justice, in the same decision, deemed that the Standard Contractual Clauses, or SCCs, approved by the European Commission for transfers of personal data between European Union controllers and non-European Union processors are valid, however the European Court of Justice deemed that transfers made pursuant to the SCCs need to be analyzed on a case-by-case basis to ensure the European Union’s standards of data protection are met. Our customer agreements include SCCs. However, as a result of this decision, companies may be required to adopt additional measures to accomplish transfers of personal data to the United States and other third countries in compliance with the GDPR, and there continue to be concerns about whether the SCCs will face additional challenges. Until the remaining legal uncertainties regarding how to legally continue these transfers are settled, we will continue to face uncertainty as to whether our customers will be permitted to transfer personal data to the United States for processing by us as part of our platform services. If such data transfer to the United States is not permitted, it could have a negative effect on our existing business and on our ability to attract and retain new customers. Our customers may view alternative data transfer mechanisms as being too costly, too burdensome, too legally uncertain or otherwise objectionable and therefore decide not to do business with us. For example, some of our customers or potential customers who do business in the European Union may require their vendors to host all personal data within the European Union and may decide to do business with one of our competitors who hosts personal data within the European Union instead of doing business with us.</w:t>
      </w:r>
    </w:p>
    <w:p>
      <w:pPr>
        <w:spacing w:after="0" w:line="176" w:lineRule="exact"/>
        <w:rPr>
          <w:sz w:val="20"/>
          <w:szCs w:val="20"/>
          <w:color w:val="auto"/>
        </w:rPr>
      </w:pPr>
    </w:p>
    <w:p>
      <w:pPr>
        <w:ind w:right="60" w:firstLine="510"/>
        <w:spacing w:after="0" w:line="251" w:lineRule="auto"/>
        <w:rPr>
          <w:sz w:val="20"/>
          <w:szCs w:val="20"/>
          <w:color w:val="auto"/>
        </w:rPr>
      </w:pPr>
      <w:r>
        <w:rPr>
          <w:rFonts w:ascii="Arial" w:cs="Arial" w:eastAsia="Arial" w:hAnsi="Arial"/>
          <w:sz w:val="18"/>
          <w:szCs w:val="18"/>
          <w:color w:val="auto"/>
        </w:rPr>
        <w:t>The regulatory framework governing the collection, processing, storage, use and sharing of certain information, particularly financial and other personal information, is rapidly evolving and is likely to continue to be subject to uncertainty and varying interpretations. It is possible that these laws may be interpreted and applied in a manner that is inconsistent with our existing data management practices or the features of our services and platform capabilities. Any failure or perceived failure by us, or any third parties with which we do business, to comply with our posted privacy policies, changing consumer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197" w:lineRule="exact"/>
        <w:rPr>
          <w:sz w:val="20"/>
          <w:szCs w:val="20"/>
          <w:color w:val="auto"/>
        </w:rPr>
      </w:pPr>
    </w:p>
    <w:p>
      <w:pPr>
        <w:ind w:right="160" w:firstLine="510"/>
        <w:spacing w:after="0" w:line="268" w:lineRule="auto"/>
        <w:rPr>
          <w:sz w:val="20"/>
          <w:szCs w:val="20"/>
          <w:color w:val="auto"/>
        </w:rPr>
      </w:pPr>
      <w:r>
        <w:rPr>
          <w:rFonts w:ascii="Arial" w:cs="Arial" w:eastAsia="Arial" w:hAnsi="Arial"/>
          <w:sz w:val="17"/>
          <w:szCs w:val="17"/>
          <w:color w:val="auto"/>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spacing w:after="0" w:line="18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192" w:lineRule="exact"/>
        <w:rPr>
          <w:sz w:val="20"/>
          <w:szCs w:val="20"/>
          <w:color w:val="auto"/>
        </w:rPr>
      </w:pPr>
    </w:p>
    <w:p>
      <w:pPr>
        <w:ind w:right="340"/>
        <w:spacing w:after="0" w:line="272" w:lineRule="auto"/>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6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CRM Platform that may violate our policy on acceptable use which prohibits content that is threatening, abusive, harassing, deceptive, false, misleading, vulgar, obscene, or indecent. While such content may not be illegal, use of our CRM Platform for such content could harm our reputation resulting in a loss of business.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Several U.S. federal statutes may apply to us with respect to various customer activities:</w:t>
      </w:r>
    </w:p>
    <w:p>
      <w:pPr>
        <w:spacing w:after="0" w:line="115" w:lineRule="exact"/>
        <w:rPr>
          <w:sz w:val="20"/>
          <w:szCs w:val="20"/>
          <w:color w:val="auto"/>
        </w:rPr>
      </w:pPr>
    </w:p>
    <w:p>
      <w:pPr>
        <w:ind w:left="1020" w:right="80" w:hanging="503"/>
        <w:spacing w:after="0" w:line="26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Digital Millennium Copyright Act of 1998, or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9" w:name="page50"/>
    <w:bookmarkEnd w:id="49"/>
    <w:p>
      <w:pPr>
        <w:ind w:left="1020" w:right="20"/>
        <w:spacing w:after="0" w:line="253" w:lineRule="auto"/>
        <w:rPr>
          <w:sz w:val="20"/>
          <w:szCs w:val="20"/>
          <w:color w:val="auto"/>
        </w:rPr>
      </w:pPr>
      <w:r>
        <w:rPr>
          <w:rFonts w:ascii="Arial" w:cs="Arial" w:eastAsia="Arial" w:hAnsi="Arial"/>
          <w:sz w:val="18"/>
          <w:szCs w:val="18"/>
          <w:color w:val="auto"/>
        </w:rPr>
        <w:t>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85" w:lineRule="exact"/>
        <w:rPr>
          <w:sz w:val="20"/>
          <w:szCs w:val="20"/>
          <w:color w:val="auto"/>
        </w:rPr>
      </w:pPr>
    </w:p>
    <w:p>
      <w:pPr>
        <w:ind w:left="1020" w:right="60" w:hanging="503"/>
        <w:spacing w:after="0" w:line="252"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Communications Decency Act of 1996, or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87" w:lineRule="exact"/>
        <w:rPr>
          <w:rFonts w:ascii="Arial" w:cs="Arial" w:eastAsia="Arial" w:hAnsi="Arial"/>
          <w:sz w:val="18"/>
          <w:szCs w:val="18"/>
          <w:color w:val="auto"/>
        </w:rPr>
      </w:pPr>
    </w:p>
    <w:p>
      <w:pPr>
        <w:ind w:left="1020" w:right="20" w:hanging="503"/>
        <w:spacing w:after="0" w:line="286"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addition to the CDA, the Securing the Protection of our Enduring and Established Constitutional Heritage Act, or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72"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302"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The standards that private entities use to regulate the use of email have in the past interfered with, and may in the future interfere with, the effectiveness of our CRM Platform and our ability to conduct business.</w:t>
      </w:r>
    </w:p>
    <w:p>
      <w:pPr>
        <w:spacing w:after="0" w:line="6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8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CRM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50" w:name="page51"/>
    <w:bookmarkEnd w:id="50"/>
    <w:p>
      <w:pPr>
        <w:ind w:right="300"/>
        <w:spacing w:after="0" w:line="373" w:lineRule="auto"/>
        <w:rPr>
          <w:sz w:val="20"/>
          <w:szCs w:val="20"/>
          <w:color w:val="auto"/>
        </w:rPr>
      </w:pPr>
      <w:r>
        <w:rPr>
          <w:rFonts w:ascii="Arial" w:cs="Arial" w:eastAsia="Arial" w:hAnsi="Arial"/>
          <w:sz w:val="15"/>
          <w:szCs w:val="15"/>
          <w:b w:val="1"/>
          <w:bCs w:val="1"/>
          <w:i w:val="1"/>
          <w:iCs w:val="1"/>
          <w:color w:val="auto"/>
        </w:rPr>
        <w:t>Existing federal, state and foreign laws regulate Internet tracking software, the senders of commercial emails and text messages, website owners and other activities, and could impact the use of our CRM Platform and potentially subject us to regulatory enforcement or private litigation.</w:t>
      </w:r>
    </w:p>
    <w:p>
      <w:pPr>
        <w:ind w:right="80" w:firstLine="510"/>
        <w:spacing w:after="0" w:line="268" w:lineRule="auto"/>
        <w:rPr>
          <w:sz w:val="20"/>
          <w:szCs w:val="20"/>
          <w:color w:val="auto"/>
        </w:rPr>
      </w:pPr>
      <w:r>
        <w:rPr>
          <w:rFonts w:ascii="Arial" w:cs="Arial" w:eastAsia="Arial" w:hAnsi="Arial"/>
          <w:sz w:val="17"/>
          <w:szCs w:val="17"/>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 party websites. These policies could have a significant impact on the operation of our CRM Platform and could impair our attractiveness to customers, which would harm our business.</w:t>
      </w:r>
    </w:p>
    <w:p>
      <w:pPr>
        <w:spacing w:after="0" w:line="18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CRM Platform to decrease and adversely impact our financial results.</w:t>
      </w:r>
    </w:p>
    <w:p>
      <w:pPr>
        <w:spacing w:after="0" w:line="17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addition, the Controlling the Assault of Non-Solicited Pornography and Marketing Act of 2003, or the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CRM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80" w:lineRule="exact"/>
        <w:rPr>
          <w:sz w:val="20"/>
          <w:szCs w:val="20"/>
          <w:color w:val="auto"/>
        </w:rPr>
      </w:pPr>
    </w:p>
    <w:p>
      <w:pPr>
        <w:ind w:right="20" w:firstLine="510"/>
        <w:spacing w:after="0" w:line="252" w:lineRule="auto"/>
        <w:rPr>
          <w:sz w:val="20"/>
          <w:szCs w:val="20"/>
          <w:color w:val="auto"/>
        </w:rPr>
      </w:pPr>
      <w:r>
        <w:rPr>
          <w:rFonts w:ascii="Arial" w:cs="Arial" w:eastAsia="Arial" w:hAnsi="Arial"/>
          <w:sz w:val="18"/>
          <w:szCs w:val="18"/>
          <w:color w:val="auto"/>
        </w:rPr>
        <w:t>While these laws and regulations generally govern our customers’ use of our platform, we may be subject to certain laws as a data processor on behalf of, or as a business associate of, our customers. For example, laws and regulations governing the collection, use and disclosure of personal information include, in the United States, rules and regulations promulgated under the authority of the Federal Trade Commission, the Health Insurance Portability and Accountability Act of 1996, the Gramm-Leach-Bliley Act of 1999 and state breach notification laws, and internationally, the Data Protection Directive in the European Union and the Federal Data Protection Act in Germany.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299" w:lineRule="exact"/>
        <w:rPr>
          <w:sz w:val="20"/>
          <w:szCs w:val="20"/>
          <w:color w:val="auto"/>
        </w:rPr>
      </w:pPr>
    </w:p>
    <w:p>
      <w:pPr>
        <w:ind w:right="480"/>
        <w:spacing w:after="0" w:line="272" w:lineRule="auto"/>
        <w:rPr>
          <w:sz w:val="20"/>
          <w:szCs w:val="20"/>
          <w:color w:val="auto"/>
        </w:rPr>
      </w:pPr>
      <w:r>
        <w:rPr>
          <w:rFonts w:ascii="Arial" w:cs="Arial" w:eastAsia="Arial" w:hAnsi="Arial"/>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67"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ind w:right="400"/>
        <w:spacing w:after="0" w:line="272" w:lineRule="auto"/>
        <w:rPr>
          <w:sz w:val="20"/>
          <w:szCs w:val="20"/>
          <w:color w:val="auto"/>
        </w:rPr>
      </w:pPr>
      <w:r>
        <w:rPr>
          <w:rFonts w:ascii="Arial" w:cs="Arial" w:eastAsia="Arial" w:hAnsi="Arial"/>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67"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State, local, and non-U.S. jurisdictions have differing rules and regulations governing sales, use, value added, Digital Services Tax, and other taxes, and these rules and regulations are subject to varying interpretations that may change over time. In particular, the applicability of such taxes to our CRM Platform in various jurisdictions is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289"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could increase the costs of our CRM Platform and adversely impact our business.</w:t>
      </w:r>
    </w:p>
    <w:p>
      <w:pPr>
        <w:spacing w:after="0" w:line="6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CRM Platform in the future. Additionally, new, changed, modified or newly interpreted or applied tax laws could increase our customers’ and our compliance, operating and other costs, as well as the costs of our platform. Any or all of these events could adversely impact our business and financial performance. Furthermore, as our employees continue to work remotely from geographic locations across the United States and internationally due to the pandemic and other reasons, we may become subject to additional taxes and our compliance burdens with respect to the tax laws of additional jurisdictions may be increased.</w:t>
      </w:r>
    </w:p>
    <w:p>
      <w:pPr>
        <w:spacing w:after="0" w:line="279"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6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utilize a significant portion of our net operating loss carryforwards, which could adversely affect our profitability.</w:t>
      </w:r>
    </w:p>
    <w:p>
      <w:pPr>
        <w:spacing w:after="0" w:line="126"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We have incurred losses during our history and do not expect to become profitable in the near future, and we may never achieve profitability. As of December 31, 2020, we had $760 million of U.S. federal and $508 million state net operating loss carryforwards due to prior period losses, which, if not utilized, some of which will begin to expire in 2027 for federal purposes and begin to expire in 2023 for state purposes. These net operating loss carryforwards could expire unused and be unavailable to offset future income tax liabilities, which could adversely affect our profitability. Our U.S federal and certain state net operating loss carryforwards incurred for periods beginning on or after January 1, 2018 would not expire unused because they can be carried forward indefinitely. In addition, under Section 382 and Section 383 of the Internal Revenue Code of 1986, as amended, which we refer to as the Code,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We may have experienced an ownership change in the past, and future issuances of our stock could cause an ownership change. It is possible that any such ownership change could have a material effect on the use of our net operating loss carryforwards or other tax attributes accrued prior to such ownership change, which could adversely affect our profitability.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Related to Our Operating Results and Financial Condition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achieve profitability in the future.</w:t>
      </w:r>
    </w:p>
    <w:p>
      <w:pPr>
        <w:spacing w:after="0" w:line="10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generated net losses of $21.6 million and $17.7 million for the three months ended March 31, 2021 and 2020, respectively. As of March 31, 2021, we had an accumulated deficit of $504.8 million. We will need to generate and sustain increased revenue levels in future periods to become profitable, and, even if we do, we may not be able to maintain or increase our level of profitability. We intend to continue to expend significant funds to grow our marketing, sales, customer service, and content management operations, develop and enhance our CRM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significantly decrease.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From time to time, we may invest funds in social impact investment funds, and may receive no return on our investment or lose our entire investment.</w:t>
      </w:r>
    </w:p>
    <w:p>
      <w:pPr>
        <w:spacing w:after="0" w:line="256"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From time to time, we may invest in social impact investment funds. For example, in December 2020, we committed $20 million to social impact investing. Our first allocation of those funds was a $12.5 million investment in the Black Economic Development Fund (“BEDF”). The BEDF is managed by the Local Initiatives Support Corporation (“LISC”), which expects to make investments from the BEDF in the form of bank deposits, bridge financing, and other financing to Black-led businesses, financial institutions, and anchor institutions.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spacing w:after="0" w:line="163"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67" w:lineRule="exact"/>
        <w:rPr>
          <w:sz w:val="20"/>
          <w:szCs w:val="20"/>
          <w:color w:val="auto"/>
        </w:rPr>
      </w:pPr>
    </w:p>
    <w:p>
      <w:pPr>
        <w:ind w:right="260" w:firstLine="510"/>
        <w:spacing w:after="0" w:line="256"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spacing w:after="0" w:line="82"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spending on marketing, sales and customer service software by our current or prospective customers;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pricing our CRM Platform subscriptions effectively so that we are able to attract and retain customers without compromising our profitability;</w:t>
      </w:r>
    </w:p>
    <w:p>
      <w:pPr>
        <w:spacing w:after="0" w:line="137" w:lineRule="exact"/>
        <w:rPr>
          <w:rFonts w:ascii="Arial" w:cs="Arial" w:eastAsia="Arial" w:hAnsi="Arial"/>
          <w:sz w:val="16"/>
          <w:szCs w:val="16"/>
          <w:color w:val="auto"/>
        </w:rPr>
      </w:pPr>
    </w:p>
    <w:p>
      <w:pPr>
        <w:ind w:left="1020" w:hanging="503"/>
        <w:spacing w:after="0" w:line="272"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attracting new customers for our marketing, sales, customer service, and content management software, increasing our existing customers’ use of our platform and providing our customers with excellent customer support;</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renewal rates and the amounts for which agreements are renewed;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awareness of our thought leadership and brand;</w:t>
      </w:r>
    </w:p>
    <w:p>
      <w:pPr>
        <w:spacing w:after="0" w:line="114" w:lineRule="exact"/>
        <w:rPr>
          <w:rFonts w:ascii="Arial" w:cs="Arial" w:eastAsia="Arial" w:hAnsi="Arial"/>
          <w:sz w:val="18"/>
          <w:szCs w:val="18"/>
          <w:color w:val="auto"/>
        </w:rPr>
      </w:pPr>
    </w:p>
    <w:p>
      <w:pPr>
        <w:ind w:left="1020" w:right="360" w:hanging="503"/>
        <w:spacing w:after="0" w:line="272"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the commission plans, quotas and other compensation-related metrics for our sales representatives;</w:t>
      </w:r>
    </w:p>
    <w:p>
      <w:pPr>
        <w:spacing w:after="0" w:line="114" w:lineRule="exact"/>
        <w:rPr>
          <w:rFonts w:ascii="Arial" w:cs="Arial" w:eastAsia="Arial" w:hAnsi="Arial"/>
          <w:sz w:val="18"/>
          <w:szCs w:val="18"/>
          <w:color w:val="auto"/>
        </w:rPr>
      </w:pPr>
    </w:p>
    <w:p>
      <w:pPr>
        <w:ind w:left="1020" w:hanging="503"/>
        <w:spacing w:after="0" w:line="272"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while maintaining our company culture;</w:t>
      </w:r>
    </w:p>
    <w:p>
      <w:pPr>
        <w:spacing w:after="0" w:line="137" w:lineRule="exact"/>
        <w:rPr>
          <w:rFonts w:ascii="Arial" w:cs="Arial" w:eastAsia="Arial" w:hAnsi="Arial"/>
          <w:sz w:val="16"/>
          <w:szCs w:val="16"/>
          <w:color w:val="auto"/>
        </w:rPr>
      </w:pPr>
    </w:p>
    <w:p>
      <w:pPr>
        <w:ind w:left="1020" w:right="600" w:hanging="503"/>
        <w:spacing w:after="0" w:line="272"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CRM Platform in new markets outside of the United States;</w:t>
      </w:r>
    </w:p>
    <w:p>
      <w:pPr>
        <w:spacing w:after="0" w:line="67" w:lineRule="exact"/>
        <w:rPr>
          <w:rFonts w:ascii="Arial" w:cs="Arial" w:eastAsia="Arial" w:hAnsi="Arial"/>
          <w:sz w:val="18"/>
          <w:szCs w:val="18"/>
          <w:color w:val="auto"/>
        </w:rPr>
      </w:pPr>
    </w:p>
    <w:p>
      <w:pPr>
        <w:ind w:left="1020" w:right="360" w:hanging="503"/>
        <w:spacing w:after="0" w:line="272"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costs and expenses related to the expansion of our business, operations and infrastructure, including disruptions in our hosting network infrastructure and privacy and data security;</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3" w:name="page54"/>
    <w:bookmarkEnd w:id="53"/>
    <w:p>
      <w:pPr>
        <w:jc w:val="both"/>
        <w:ind w:right="240" w:firstLine="510"/>
        <w:spacing w:after="0" w:line="282"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276"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67" w:lineRule="exact"/>
        <w:rPr>
          <w:sz w:val="20"/>
          <w:szCs w:val="20"/>
          <w:color w:val="auto"/>
        </w:rPr>
      </w:pPr>
    </w:p>
    <w:p>
      <w:pPr>
        <w:jc w:val="both"/>
        <w:ind w:right="40" w:firstLine="510"/>
        <w:spacing w:after="0" w:line="282" w:lineRule="auto"/>
        <w:rPr>
          <w:sz w:val="20"/>
          <w:szCs w:val="20"/>
          <w:color w:val="auto"/>
        </w:rPr>
      </w:pPr>
      <w:r>
        <w:rPr>
          <w:rFonts w:ascii="Arial" w:cs="Arial" w:eastAsia="Arial" w:hAnsi="Arial"/>
          <w:sz w:val="17"/>
          <w:szCs w:val="17"/>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276"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b w:val="1"/>
          <w:bCs w:val="1"/>
          <w:i w:val="1"/>
          <w:iCs w:val="1"/>
          <w:color w:val="auto"/>
        </w:rPr>
        <w:t>Because we generally recognize revenue from subscriptions ratably over the term of the agreement, near term changes in sales may not be reflected immediately in our operating results.</w:t>
      </w:r>
    </w:p>
    <w:p>
      <w:pPr>
        <w:spacing w:after="0" w:line="6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offer our CRM Platform primarily through a mix of monthly, quarterly and single-year subscription agreements and generally recognize revenue ratably over the related subscription period. As a result, much of the revenue we report in each quarter is derived from agreements entered into during prior months, quarters or years. In addition, we do not record deferred revenue beyond amounts invoiced as a liability on our balance sheet. A decline in new or renewed subscriptions or marketing solutions agreements in any one quarter is not likely to be reflected immediately in our revenue results for that quarter. Such declines, however, would negatively affect our revenue and deferred revenue balances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Notes</w:t>
      </w:r>
    </w:p>
    <w:p>
      <w:pPr>
        <w:spacing w:after="0" w:line="333"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spacing w:after="0" w:line="78"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We incurred indebtedness in the aggregate principal amount of $400.0 million in connection with the issuance of our 0.25% convertible senior notes due June 1, 2022 (the “2022 Notes”). In June 2020, the Company exchanged approximately $272.1 million in aggregate principal amount of the 2022 Notes in privately-negotiated transactions for an aggregate of approximately $283.0 million in cash and 1.6 million shares of common stock. As of March 31, 2021, $81.4 million of principal remains outstanding on the 2022 Notes. In June 2020, concurrent with the partial repurchase of the 2022 Notes, we incurred indebtedness in the aggregate principal amount of $460.0 million in connection with the issuance of our 0.375% convertible senior notes due June 1, 2025 (the “2025 Notes”) and together with the 2022 Notes (the “Notes”).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6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4" w:name="page55"/>
    <w:bookmarkEnd w:id="54"/>
    <w:p>
      <w:pPr>
        <w:ind w:right="220"/>
        <w:spacing w:after="0" w:line="272" w:lineRule="auto"/>
        <w:rPr>
          <w:sz w:val="20"/>
          <w:szCs w:val="20"/>
          <w:color w:val="auto"/>
        </w:rPr>
      </w:pPr>
      <w:r>
        <w:rPr>
          <w:rFonts w:ascii="Arial" w:cs="Arial" w:eastAsia="Arial" w:hAnsi="Arial"/>
          <w:sz w:val="18"/>
          <w:szCs w:val="18"/>
          <w:color w:val="auto"/>
        </w:rPr>
        <w:t>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74" w:lineRule="exact"/>
        <w:rPr>
          <w:sz w:val="20"/>
          <w:szCs w:val="20"/>
          <w:color w:val="auto"/>
        </w:rPr>
      </w:pPr>
    </w:p>
    <w:p>
      <w:pPr>
        <w:ind w:right="1100" w:firstLine="510"/>
        <w:spacing w:after="0" w:line="272"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67" w:lineRule="exact"/>
        <w:rPr>
          <w:sz w:val="20"/>
          <w:szCs w:val="20"/>
          <w:color w:val="auto"/>
        </w:rPr>
      </w:pPr>
    </w:p>
    <w:p>
      <w:pPr>
        <w:ind w:left="1020" w:right="480" w:hanging="503"/>
        <w:spacing w:after="0" w:line="272"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w:t>
      </w:r>
    </w:p>
    <w:p>
      <w:pPr>
        <w:spacing w:after="0" w:line="222" w:lineRule="exact"/>
        <w:rPr>
          <w:sz w:val="20"/>
          <w:szCs w:val="20"/>
          <w:color w:val="auto"/>
        </w:rPr>
      </w:pPr>
    </w:p>
    <w:p>
      <w:pPr>
        <w:ind w:right="680" w:firstLine="510"/>
        <w:spacing w:after="0" w:line="302" w:lineRule="auto"/>
        <w:rPr>
          <w:sz w:val="20"/>
          <w:szCs w:val="20"/>
          <w:color w:val="auto"/>
        </w:rPr>
      </w:pPr>
      <w:r>
        <w:rPr>
          <w:rFonts w:ascii="Arial" w:cs="Arial" w:eastAsia="Arial" w:hAnsi="Arial"/>
          <w:sz w:val="17"/>
          <w:szCs w:val="17"/>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Notes, if triggered, may adversely affect our financial condition and operating results.</w:t>
      </w:r>
    </w:p>
    <w:p>
      <w:pPr>
        <w:spacing w:after="0" w:line="115" w:lineRule="exact"/>
        <w:rPr>
          <w:sz w:val="20"/>
          <w:szCs w:val="20"/>
          <w:color w:val="auto"/>
        </w:rPr>
      </w:pPr>
    </w:p>
    <w:p>
      <w:pPr>
        <w:ind w:right="320" w:firstLine="510"/>
        <w:spacing w:after="0" w:line="272" w:lineRule="auto"/>
        <w:rPr>
          <w:sz w:val="20"/>
          <w:szCs w:val="20"/>
          <w:color w:val="auto"/>
        </w:rPr>
      </w:pPr>
      <w:r>
        <w:rPr>
          <w:rFonts w:ascii="Arial" w:cs="Arial" w:eastAsia="Arial" w:hAnsi="Arial"/>
          <w:sz w:val="18"/>
          <w:szCs w:val="18"/>
          <w:color w:val="auto"/>
        </w:rPr>
        <w:t>In the event the conditional conversion feature of the 2022 Notes or the 2025 Notes is triggered, the holders thereof will be entitled to convert the 2022 Notes or the 2025 Notes respectively, at any time during specified periods at their option.</w:t>
      </w:r>
    </w:p>
    <w:p>
      <w:pPr>
        <w:spacing w:after="0" w:line="67"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Because the last reported sale price of our common stock for at least 20 trading days during the period of 30 consecutive trading days ending on the last trading day of the calendar quarter ended March 31, 2021 was equal to or greater than 130% of the applicable conversion price on each applicable trading day, the 2022 Notes are convertible at the option of the holders thereof during the calendar quarter ending June 30, 2021. In the three months ended March 31, 2021, the Company settled 44.5 million of principal balance of the 2022 Notes in cash. As of April 30, 2021, the Company has received conversion notices for approximately $12.7XX million of the principal balance of the 2022 Notes, which will be settled in cash during the quarter ended June 30, 2021. Because the last reported sale price of the Company’s common stock for at least 20 trading days during the period of 30 consecutive trading days ending on the last trading day of the calendar quarter ended March 31, 2021 was equal to or greater than 130% of the applicable conversion price on each applicable trading day, the 2025 Notes are convertible at the option of the holders thereof during the calendar quarter ending June 30, 2021. As of April 30, 2021, no holders have converted or indicated their intention to convert the 2025 Notes. Whether the Notes that remain outstanding will be convertible following the calendar quarter ending March 31, 2021 will depend on the continued satisfaction of this condition or another conversion condition in the future.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 The Notes are currently classified as long-term debt, except for $11.8 million classified as current as of March 31, 2021, for which the principal amount is expected to be cash-settled within the next fiscal quarter.</w:t>
      </w:r>
    </w:p>
    <w:p>
      <w:pPr>
        <w:spacing w:after="0" w:line="282" w:lineRule="exact"/>
        <w:rPr>
          <w:sz w:val="20"/>
          <w:szCs w:val="20"/>
          <w:color w:val="auto"/>
        </w:rPr>
      </w:pPr>
    </w:p>
    <w:p>
      <w:pPr>
        <w:ind w:right="560"/>
        <w:spacing w:after="0" w:line="272"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6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Under Financial Accounting Standards Board (“FASB”) Accounting Standards Codification 470-20, Debt with Conversion and Other Options, which we refer to as ASC 470-20, an entity must separately account for the liability and equity components of convertible debt instruments (such as the Notes) that may be settled entirely or partially in cash upon conversion in a manner that reflects the issuer’s economic interest cost. ASC 470-20 requires the value of the conversion option of the Notes, representing the equity component, to be recorded as additional paid-in capital within stockholders’ equity in our consolidated balance sheet and as a discount to the Notes, which reduces their initial carrying value. The carrying value of the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Notes.</w:t>
      </w:r>
    </w:p>
    <w:p>
      <w:pPr>
        <w:spacing w:after="0" w:line="172" w:lineRule="exact"/>
        <w:rPr>
          <w:sz w:val="20"/>
          <w:szCs w:val="20"/>
          <w:color w:val="auto"/>
        </w:rPr>
      </w:pPr>
    </w:p>
    <w:p>
      <w:pPr>
        <w:ind w:right="100" w:firstLine="579"/>
        <w:spacing w:after="0" w:line="272" w:lineRule="auto"/>
        <w:rPr>
          <w:sz w:val="20"/>
          <w:szCs w:val="20"/>
          <w:color w:val="auto"/>
        </w:rPr>
      </w:pPr>
      <w:r>
        <w:rPr>
          <w:rFonts w:ascii="Arial" w:cs="Arial" w:eastAsia="Arial" w:hAnsi="Arial"/>
          <w:sz w:val="18"/>
          <w:szCs w:val="18"/>
          <w:color w:val="auto"/>
        </w:rPr>
        <w:t>In addition, under certain circumstances, convertible debt instruments (such as the Notes) that may be settled entirely or partly in cash are currently accounted for utilizing the treasury stock method, the effect of which is that the shares issuable upon conversion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55" w:name="page56"/>
    <w:bookmarkEnd w:id="55"/>
    <w:p>
      <w:pPr>
        <w:ind w:right="300"/>
        <w:spacing w:after="0" w:line="282" w:lineRule="auto"/>
        <w:rPr>
          <w:sz w:val="20"/>
          <w:szCs w:val="20"/>
          <w:color w:val="auto"/>
        </w:rPr>
      </w:pPr>
      <w:r>
        <w:rPr>
          <w:rFonts w:ascii="Arial" w:cs="Arial" w:eastAsia="Arial" w:hAnsi="Arial"/>
          <w:sz w:val="17"/>
          <w:szCs w:val="17"/>
          <w:color w:val="auto"/>
        </w:rPr>
        <w:t>of the Notes are not included in the calculation of diluted earnings per share except to the extent that the conversion value of the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169" w:lineRule="exact"/>
        <w:rPr>
          <w:sz w:val="20"/>
          <w:szCs w:val="20"/>
          <w:color w:val="auto"/>
        </w:rPr>
      </w:pPr>
    </w:p>
    <w:p>
      <w:pPr>
        <w:ind w:right="60" w:firstLine="579"/>
        <w:spacing w:after="0" w:line="291" w:lineRule="auto"/>
        <w:rPr>
          <w:sz w:val="20"/>
          <w:szCs w:val="20"/>
          <w:color w:val="auto"/>
        </w:rPr>
      </w:pPr>
      <w:r>
        <w:rPr>
          <w:rFonts w:ascii="Arial" w:cs="Arial" w:eastAsia="Arial" w:hAnsi="Arial"/>
          <w:sz w:val="16"/>
          <w:szCs w:val="16"/>
          <w:color w:val="auto"/>
        </w:rPr>
        <w:t>In August 2020, the FASB issued guidance simplifying ASC 470-20 by reducing the number of accounting models for convertible debt instruments and convertible preferred stock. Under the new guidance, we will no longer be required to separately account for the liability and equity components of convertible debt instruments. This will have the impact of reducing non-cash interest expense, and thereby increasing net income (or decreasing net losses). Additionally, the new guidance eliminates the treasury stock method for calculating diluted earnings per share for convertible instruments and requires use of the “if-converted” method, which would decrease (increase) our diluted net income (loss) per share. The new standard is effective beginning in January 2022, with early adoption permitted. We are currently evaluating the impact of the new guidance on our consolidated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be unable to sell your shares at or above the price you purchased them.</w:t>
      </w:r>
    </w:p>
    <w:p>
      <w:pPr>
        <w:spacing w:after="0" w:line="115" w:lineRule="exact"/>
        <w:rPr>
          <w:sz w:val="20"/>
          <w:szCs w:val="20"/>
          <w:color w:val="auto"/>
        </w:rPr>
      </w:pPr>
    </w:p>
    <w:p>
      <w:pPr>
        <w:ind w:right="160" w:firstLine="510"/>
        <w:spacing w:after="0" w:line="256" w:lineRule="auto"/>
        <w:rPr>
          <w:sz w:val="20"/>
          <w:szCs w:val="20"/>
          <w:color w:val="auto"/>
        </w:rPr>
      </w:pPr>
      <w:r>
        <w:rPr>
          <w:rFonts w:ascii="Arial" w:cs="Arial" w:eastAsia="Arial" w:hAnsi="Arial"/>
          <w:sz w:val="18"/>
          <w:szCs w:val="18"/>
          <w:color w:val="auto"/>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$547.47, through March 31, 2021. The market price of our common stock may fluctuate significantly in response to numerous factors, many of which are beyond our control, including:</w:t>
      </w:r>
    </w:p>
    <w:p>
      <w:pPr>
        <w:spacing w:after="0" w:line="82" w:lineRule="exact"/>
        <w:rPr>
          <w:sz w:val="20"/>
          <w:szCs w:val="20"/>
          <w:color w:val="auto"/>
        </w:rPr>
      </w:pPr>
    </w:p>
    <w:p>
      <w:pPr>
        <w:ind w:left="1020" w:right="400" w:hanging="503"/>
        <w:spacing w:after="0" w:line="272"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 including as a result of the addition or loss of any number of customers;</w:t>
      </w:r>
    </w:p>
    <w:p>
      <w:pPr>
        <w:spacing w:after="0" w:line="67" w:lineRule="exact"/>
        <w:rPr>
          <w:rFonts w:ascii="Arial" w:cs="Arial" w:eastAsia="Arial" w:hAnsi="Arial"/>
          <w:sz w:val="18"/>
          <w:szCs w:val="18"/>
          <w:color w:val="auto"/>
        </w:rPr>
      </w:pPr>
    </w:p>
    <w:p>
      <w:pPr>
        <w:ind w:left="1020" w:right="380" w:hanging="503"/>
        <w:spacing w:after="0" w:line="272"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4" w:lineRule="exact"/>
        <w:rPr>
          <w:rFonts w:ascii="Arial" w:cs="Arial" w:eastAsia="Arial" w:hAnsi="Arial"/>
          <w:sz w:val="18"/>
          <w:szCs w:val="18"/>
          <w:color w:val="auto"/>
        </w:rPr>
      </w:pPr>
    </w:p>
    <w:p>
      <w:pPr>
        <w:ind w:left="1020" w:hanging="503"/>
        <w:spacing w:after="0" w:line="302"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44" w:lineRule="exact"/>
        <w:rPr>
          <w:rFonts w:ascii="Arial" w:cs="Arial" w:eastAsia="Arial" w:hAnsi="Arial"/>
          <w:sz w:val="17"/>
          <w:szCs w:val="17"/>
          <w:color w:val="auto"/>
        </w:rPr>
      </w:pPr>
    </w:p>
    <w:p>
      <w:pPr>
        <w:ind w:left="1020" w:right="560" w:hanging="503"/>
        <w:spacing w:after="0" w:line="272"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cloud-based software or other technology companies, or those in our industry in particular;</w:t>
      </w:r>
    </w:p>
    <w:p>
      <w:pPr>
        <w:spacing w:after="0" w:line="67" w:lineRule="exact"/>
        <w:rPr>
          <w:rFonts w:ascii="Arial" w:cs="Arial" w:eastAsia="Arial" w:hAnsi="Arial"/>
          <w:sz w:val="18"/>
          <w:szCs w:val="18"/>
          <w:color w:val="auto"/>
        </w:rPr>
      </w:pPr>
    </w:p>
    <w:p>
      <w:pPr>
        <w:ind w:left="1020" w:right="580" w:hanging="503"/>
        <w:spacing w:after="0" w:line="272"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trading of our common stock and in the overall stock market, including as a result of trends in the economy as a whole;</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large blocks of our common stock or the dilutive effect of our Notes or any other equity or equity-linked financings;</w:t>
      </w:r>
    </w:p>
    <w:p>
      <w:pPr>
        <w:spacing w:after="0" w:line="114" w:lineRule="exact"/>
        <w:rPr>
          <w:rFonts w:ascii="Arial" w:cs="Arial" w:eastAsia="Arial" w:hAnsi="Arial"/>
          <w:sz w:val="18"/>
          <w:szCs w:val="18"/>
          <w:color w:val="auto"/>
        </w:rPr>
      </w:pPr>
    </w:p>
    <w:p>
      <w:pPr>
        <w:ind w:left="1020" w:right="260" w:hanging="503"/>
        <w:spacing w:after="0" w:line="272"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or industry, including data privacy and data security;</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key personnel;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economic, industry and market conditions and trends.</w:t>
      </w:r>
    </w:p>
    <w:p>
      <w:pPr>
        <w:spacing w:after="0" w:line="222" w:lineRule="exact"/>
        <w:rPr>
          <w:sz w:val="20"/>
          <w:szCs w:val="20"/>
          <w:color w:val="auto"/>
        </w:rPr>
      </w:pPr>
    </w:p>
    <w:p>
      <w:pPr>
        <w:jc w:val="both"/>
        <w:ind w:right="100" w:firstLine="510"/>
        <w:spacing w:after="0" w:line="260"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85" w:lineRule="exact"/>
        <w:rPr>
          <w:sz w:val="20"/>
          <w:szCs w:val="20"/>
          <w:color w:val="auto"/>
        </w:rPr>
      </w:pPr>
    </w:p>
    <w:p>
      <w:pPr>
        <w:jc w:val="both"/>
        <w:ind w:right="340" w:firstLine="510"/>
        <w:spacing w:after="0" w:line="260"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sectPr>
      </w:pPr>
    </w:p>
    <w:bookmarkStart w:id="56" w:name="page57"/>
    <w:bookmarkEnd w:id="56"/>
    <w:p>
      <w:pPr>
        <w:ind w:right="100"/>
        <w:spacing w:after="0" w:line="272"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7" w:lineRule="exact"/>
        <w:rPr>
          <w:sz w:val="20"/>
          <w:szCs w:val="20"/>
          <w:color w:val="auto"/>
        </w:rPr>
      </w:pPr>
    </w:p>
    <w:p>
      <w:pPr>
        <w:ind w:right="20" w:firstLine="579"/>
        <w:spacing w:after="0" w:line="254"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of 2002, or the Sarbanes-Oxley Act, the Dodd-Frank Wall Street Reform and Consumer Protection Act, or the Dodd-Frank Act, and the rules and regulations of the New York Stock Exchange, or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92" w:lineRule="exact"/>
        <w:rPr>
          <w:sz w:val="20"/>
          <w:szCs w:val="20"/>
          <w:color w:val="auto"/>
        </w:rPr>
      </w:pPr>
    </w:p>
    <w:p>
      <w:pPr>
        <w:ind w:right="40" w:firstLine="579"/>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72" w:lineRule="exact"/>
        <w:rPr>
          <w:sz w:val="20"/>
          <w:szCs w:val="20"/>
          <w:color w:val="auto"/>
        </w:rPr>
      </w:pPr>
    </w:p>
    <w:p>
      <w:pPr>
        <w:ind w:right="40" w:firstLine="579"/>
        <w:spacing w:after="0" w:line="268" w:lineRule="auto"/>
        <w:rPr>
          <w:sz w:val="20"/>
          <w:szCs w:val="20"/>
          <w:color w:val="auto"/>
        </w:rPr>
      </w:pPr>
      <w:r>
        <w:rPr>
          <w:rFonts w:ascii="Arial" w:cs="Arial" w:eastAsia="Arial" w:hAnsi="Arial"/>
          <w:sz w:val="17"/>
          <w:szCs w:val="17"/>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the pandemic, most of our employees – including those critical to maintaining an effective system of disclosure controls and internal control over financial reporting – are working, and are expected to continue to work for the near term, in a remote environment and not in the office environment from which they have historically performed their duties. We have limited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may delay or prevent an acquisition of our company.</w:t>
      </w:r>
    </w:p>
    <w:p>
      <w:pPr>
        <w:spacing w:after="0" w:line="115" w:lineRule="exact"/>
        <w:rPr>
          <w:sz w:val="20"/>
          <w:szCs w:val="20"/>
          <w:color w:val="auto"/>
        </w:rPr>
      </w:pPr>
    </w:p>
    <w:p>
      <w:pPr>
        <w:ind w:right="20" w:firstLine="510"/>
        <w:spacing w:after="0" w:line="260"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8" w:lineRule="exact"/>
        <w:rPr>
          <w:sz w:val="20"/>
          <w:szCs w:val="20"/>
          <w:color w:val="auto"/>
        </w:rPr>
      </w:pPr>
    </w:p>
    <w:p>
      <w:pPr>
        <w:ind w:left="1020" w:right="800" w:hanging="503"/>
        <w:spacing w:after="0" w:line="272"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the board without stockholder approval and may contain voting, liquidation, dividend and other rights superior to our common stock;</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for a classified board of directors whose members serve staggered three-year terms;</w:t>
      </w:r>
    </w:p>
    <w:p>
      <w:pPr>
        <w:spacing w:after="0" w:line="114" w:lineRule="exact"/>
        <w:rPr>
          <w:rFonts w:ascii="Arial" w:cs="Arial" w:eastAsia="Arial" w:hAnsi="Arial"/>
          <w:sz w:val="18"/>
          <w:szCs w:val="18"/>
          <w:color w:val="auto"/>
        </w:rPr>
      </w:pPr>
    </w:p>
    <w:p>
      <w:pPr>
        <w:ind w:left="1020" w:hanging="503"/>
        <w:spacing w:after="0" w:line="272"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the board, the chief executive officer or the president;</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4" w:lineRule="exact"/>
        <w:rPr>
          <w:rFonts w:ascii="Arial" w:cs="Arial" w:eastAsia="Arial" w:hAnsi="Arial"/>
          <w:sz w:val="18"/>
          <w:szCs w:val="18"/>
          <w:color w:val="auto"/>
        </w:rPr>
      </w:pPr>
    </w:p>
    <w:p>
      <w:pPr>
        <w:ind w:left="1020" w:right="560" w:hanging="503"/>
        <w:spacing w:after="0" w:line="272"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37" w:lineRule="exact"/>
        <w:rPr>
          <w:rFonts w:ascii="Arial" w:cs="Arial" w:eastAsia="Arial" w:hAnsi="Arial"/>
          <w:sz w:val="16"/>
          <w:szCs w:val="16"/>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our board of directors to modify, alter or repeal our amended and restated bylaws;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charter documents.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876" w:right="379" w:bottom="1440" w:gutter="0" w:footer="0" w:header="0"/>
        </w:sectPr>
      </w:pPr>
    </w:p>
    <w:bookmarkStart w:id="57" w:name="page58"/>
    <w:bookmarkEnd w:id="57"/>
    <w:p>
      <w:pPr>
        <w:ind w:right="180" w:firstLine="510"/>
        <w:spacing w:after="0" w:line="336"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128" w:lineRule="exact"/>
        <w:rPr>
          <w:sz w:val="20"/>
          <w:szCs w:val="20"/>
          <w:color w:val="auto"/>
        </w:rPr>
      </w:pPr>
    </w:p>
    <w:p>
      <w:pPr>
        <w:ind w:right="280" w:firstLine="510"/>
        <w:spacing w:after="0" w:line="260"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w:t>
      </w:r>
    </w:p>
    <w:p>
      <w:pPr>
        <w:spacing w:after="0" w:line="11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w:t>
      </w:r>
    </w:p>
    <w:p>
      <w:pPr>
        <w:spacing w:after="0" w:line="115"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We face exposure to movements in currency exchange rates, which may cause our revenue and operating results to differ materially from expectations. As we have expanded our international operations our exposure exchange rate fluctuations has increased, in particular with respect to the Euro, British Pound Sterling, Australian Dollar, Singapore Dollar, Japanese Yen and Colombian Peso.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Furthermore, global political events, including Brexit and similar geopolitical developments, fluctuating commodity prices and trade tariff developments, have caused global economic uncertainty, which could amplify the volatility of currency fluctuations. Such volatility, even when it increases our revenues or decreases our expenses, impacts our ability to predict our future results and earnings accurately.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Weakened global economic conditions may harm our industry, business and results of operations.</w:t>
      </w:r>
    </w:p>
    <w:p>
      <w:pPr>
        <w:spacing w:after="0" w:line="11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bankruptcies, and overall uncertainty with respect to the economy, including with respect to tariff and trade issues. In particular, the economies of countries in Europe have been experiencing weakness associated with high sovereign debt levels, weakness in the banking sector, uncertainty over the future of the Euro zone and volatility in the value of the pound sterling and the Euro, including instability surrounding Brexit. We have operations, as well as current and potential new customers, throughout most of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our failure to raise capital when needed could prevent us from growing.</w:t>
      </w:r>
    </w:p>
    <w:p>
      <w:pPr>
        <w:spacing w:after="0" w:line="115"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58" w:name="page59"/>
    <w:bookmarkEnd w:id="58"/>
    <w:p>
      <w:pPr>
        <w:spacing w:after="0" w:line="272" w:lineRule="auto"/>
        <w:rPr>
          <w:sz w:val="20"/>
          <w:szCs w:val="20"/>
          <w:color w:val="auto"/>
        </w:rPr>
      </w:pPr>
      <w:r>
        <w:rPr>
          <w:rFonts w:ascii="Arial" w:cs="Arial" w:eastAsia="Arial" w:hAnsi="Arial"/>
          <w:sz w:val="18"/>
          <w:szCs w:val="18"/>
          <w:color w:val="auto"/>
        </w:rPr>
        <w:t>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200" w:lineRule="exact"/>
        <w:rPr>
          <w:sz w:val="20"/>
          <w:szCs w:val="20"/>
          <w:color w:val="auto"/>
        </w:rPr>
      </w:pPr>
    </w:p>
    <w:p>
      <w:pPr>
        <w:spacing w:after="0" w:line="2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20"/>
          </w:cols>
          <w:pgMar w:left="320" w:top="447" w:right="859" w:bottom="1440" w:gutter="0" w:footer="0" w:header="0"/>
        </w:sectPr>
      </w:pPr>
    </w:p>
    <w:bookmarkStart w:id="59" w:name="page60"/>
    <w:bookmarkEnd w:id="59"/>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Report.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180" w:type="dxa"/>
            <w:vAlign w:val="bottom"/>
            <w:gridSpan w:val="6"/>
            <w:vMerge w:val="restart"/>
          </w:tcPr>
          <w:p>
            <w:pPr>
              <w:ind w:left="88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5"/>
        </w:trPr>
        <w:tc>
          <w:tcPr>
            <w:tcW w:w="122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618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220" w:type="dxa"/>
            <w:vAlign w:val="bottom"/>
          </w:tcPr>
          <w:p>
            <w:pPr>
              <w:ind w:left="180"/>
              <w:spacing w:after="0"/>
              <w:rPr>
                <w:sz w:val="20"/>
                <w:szCs w:val="20"/>
                <w:color w:val="auto"/>
              </w:rPr>
            </w:pPr>
            <w:r>
              <w:rPr>
                <w:rFonts w:ascii="Arial" w:cs="Arial" w:eastAsia="Arial" w:hAnsi="Arial"/>
                <w:sz w:val="18"/>
                <w:szCs w:val="18"/>
                <w:color w:val="auto"/>
              </w:rPr>
              <w:t>3.1(1)</w:t>
            </w:r>
          </w:p>
        </w:tc>
        <w:tc>
          <w:tcPr>
            <w:tcW w:w="9920" w:type="dxa"/>
            <w:vAlign w:val="bottom"/>
            <w:gridSpan w:val="8"/>
          </w:tcPr>
          <w:p>
            <w:pPr>
              <w:spacing w:after="0"/>
              <w:rPr>
                <w:rFonts w:ascii="Arial" w:cs="Arial" w:eastAsia="Arial" w:hAnsi="Arial"/>
                <w:sz w:val="18"/>
                <w:szCs w:val="18"/>
                <w:color w:val="0000EE"/>
              </w:rPr>
            </w:pPr>
            <w:hyperlink r:id="rId105">
              <w:r>
                <w:rPr>
                  <w:rFonts w:ascii="Arial" w:cs="Arial" w:eastAsia="Arial" w:hAnsi="Arial"/>
                  <w:sz w:val="18"/>
                  <w:szCs w:val="18"/>
                  <w:color w:val="0000EE"/>
                </w:rPr>
                <w:t>Amended and Restated Certificate of Incorporation of the Registrant</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220" w:type="dxa"/>
            <w:vAlign w:val="bottom"/>
          </w:tcPr>
          <w:p>
            <w:pPr>
              <w:ind w:left="180"/>
              <w:spacing w:after="0"/>
              <w:rPr>
                <w:sz w:val="20"/>
                <w:szCs w:val="20"/>
                <w:color w:val="auto"/>
              </w:rPr>
            </w:pPr>
            <w:r>
              <w:rPr>
                <w:rFonts w:ascii="Arial" w:cs="Arial" w:eastAsia="Arial" w:hAnsi="Arial"/>
                <w:sz w:val="18"/>
                <w:szCs w:val="18"/>
                <w:color w:val="auto"/>
              </w:rPr>
              <w:t>3.2(2)</w:t>
            </w:r>
          </w:p>
        </w:tc>
        <w:tc>
          <w:tcPr>
            <w:tcW w:w="5560" w:type="dxa"/>
            <w:vAlign w:val="bottom"/>
            <w:tcBorders>
              <w:bottom w:val="single" w:sz="8" w:color="0000EE"/>
            </w:tcBorders>
            <w:gridSpan w:val="4"/>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Third Amended and Restated Bylaws of the Registrant (as currently in effect)</w:t>
              </w:r>
            </w:hyperlink>
          </w:p>
        </w:tc>
        <w:tc>
          <w:tcPr>
            <w:tcW w:w="4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220" w:type="dxa"/>
            <w:vAlign w:val="bottom"/>
          </w:tcPr>
          <w:p>
            <w:pPr>
              <w:ind w:left="180"/>
              <w:spacing w:after="0"/>
              <w:rPr>
                <w:sz w:val="20"/>
                <w:szCs w:val="20"/>
                <w:color w:val="auto"/>
              </w:rPr>
            </w:pPr>
            <w:r>
              <w:rPr>
                <w:rFonts w:ascii="Arial" w:cs="Arial" w:eastAsia="Arial" w:hAnsi="Arial"/>
                <w:sz w:val="18"/>
                <w:szCs w:val="18"/>
                <w:color w:val="auto"/>
              </w:rPr>
              <w:t>4.1(3)</w:t>
            </w:r>
          </w:p>
        </w:tc>
        <w:tc>
          <w:tcPr>
            <w:tcW w:w="9920" w:type="dxa"/>
            <w:vAlign w:val="bottom"/>
            <w:gridSpan w:val="8"/>
          </w:tcPr>
          <w:p>
            <w:pPr>
              <w:spacing w:after="0"/>
              <w:rPr>
                <w:rFonts w:ascii="Arial" w:cs="Arial" w:eastAsia="Arial" w:hAnsi="Arial"/>
                <w:sz w:val="18"/>
                <w:szCs w:val="18"/>
                <w:color w:val="0000EE"/>
              </w:rPr>
            </w:pPr>
            <w:hyperlink r:id="rId107">
              <w:r>
                <w:rPr>
                  <w:rFonts w:ascii="Arial" w:cs="Arial" w:eastAsia="Arial" w:hAnsi="Arial"/>
                  <w:sz w:val="18"/>
                  <w:szCs w:val="18"/>
                  <w:color w:val="0000EE"/>
                </w:rPr>
                <w:t>Form of Common Stock certificate of the Registrant</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220" w:type="dxa"/>
            <w:vAlign w:val="bottom"/>
          </w:tcPr>
          <w:p>
            <w:pPr>
              <w:jc w:val="center"/>
              <w:ind w:right="133"/>
              <w:spacing w:after="0"/>
              <w:rPr>
                <w:sz w:val="20"/>
                <w:szCs w:val="20"/>
                <w:color w:val="auto"/>
              </w:rPr>
            </w:pPr>
            <w:r>
              <w:rPr>
                <w:rFonts w:ascii="Arial" w:cs="Arial" w:eastAsia="Arial" w:hAnsi="Arial"/>
                <w:sz w:val="18"/>
                <w:szCs w:val="18"/>
                <w:color w:val="auto"/>
                <w:w w:val="97"/>
              </w:rPr>
              <w:t>31.1**</w:t>
            </w:r>
          </w:p>
        </w:tc>
        <w:tc>
          <w:tcPr>
            <w:tcW w:w="9920" w:type="dxa"/>
            <w:vAlign w:val="bottom"/>
            <w:gridSpan w:val="8"/>
          </w:tcPr>
          <w:p>
            <w:pPr>
              <w:spacing w:after="0"/>
              <w:rPr>
                <w:rFonts w:ascii="Arial" w:cs="Arial" w:eastAsia="Arial" w:hAnsi="Arial"/>
                <w:sz w:val="18"/>
                <w:szCs w:val="18"/>
                <w:color w:val="0000EE"/>
                <w:w w:val="95"/>
              </w:rPr>
            </w:pPr>
            <w:hyperlink w:anchor="page62">
              <w:r>
                <w:rPr>
                  <w:rFonts w:ascii="Arial" w:cs="Arial" w:eastAsia="Arial" w:hAnsi="Arial"/>
                  <w:sz w:val="18"/>
                  <w:szCs w:val="18"/>
                  <w:color w:val="0000EE"/>
                  <w:w w:val="95"/>
                </w:rPr>
                <w:t>Certification of Principal Executive Officer pursuant to Rule 13a-14(a) or Rule 15d-14(a) of the Securities Exchange Act of 1934, as</w:t>
              </w:r>
            </w:hyperlink>
          </w:p>
        </w:tc>
        <w:tc>
          <w:tcPr>
            <w:tcW w:w="0" w:type="dxa"/>
            <w:vAlign w:val="bottom"/>
          </w:tcPr>
          <w:p>
            <w:pPr>
              <w:spacing w:after="0"/>
              <w:rPr>
                <w:sz w:val="1"/>
                <w:szCs w:val="1"/>
                <w:color w:val="auto"/>
              </w:rPr>
            </w:pPr>
          </w:p>
        </w:tc>
      </w:tr>
      <w:tr>
        <w:trPr>
          <w:trHeight w:val="194"/>
        </w:trPr>
        <w:tc>
          <w:tcPr>
            <w:tcW w:w="1220" w:type="dxa"/>
            <w:vAlign w:val="bottom"/>
          </w:tcPr>
          <w:p>
            <w:pPr>
              <w:spacing w:after="0"/>
              <w:rPr>
                <w:sz w:val="16"/>
                <w:szCs w:val="16"/>
                <w:color w:val="auto"/>
              </w:rPr>
            </w:pPr>
          </w:p>
        </w:tc>
        <w:tc>
          <w:tcPr>
            <w:tcW w:w="66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5"/>
              </w:rPr>
            </w:pPr>
            <w:hyperlink w:anchor="page62">
              <w:r>
                <w:rPr>
                  <w:rFonts w:ascii="Arial" w:cs="Arial" w:eastAsia="Arial" w:hAnsi="Arial"/>
                  <w:sz w:val="18"/>
                  <w:szCs w:val="18"/>
                  <w:color w:val="0000EE"/>
                  <w:w w:val="85"/>
                </w:rPr>
                <w:t>amended</w:t>
              </w:r>
            </w:hyperlink>
          </w:p>
        </w:tc>
        <w:tc>
          <w:tcPr>
            <w:tcW w:w="8820" w:type="dxa"/>
            <w:vAlign w:val="bottom"/>
            <w:tcBorders>
              <w:top w:val="single" w:sz="8" w:color="0000EE"/>
            </w:tcBorders>
            <w:gridSpan w:val="6"/>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1220" w:type="dxa"/>
            <w:vAlign w:val="bottom"/>
          </w:tcPr>
          <w:p>
            <w:pPr>
              <w:jc w:val="center"/>
              <w:ind w:right="133"/>
              <w:spacing w:after="0"/>
              <w:rPr>
                <w:sz w:val="20"/>
                <w:szCs w:val="20"/>
                <w:color w:val="auto"/>
              </w:rPr>
            </w:pPr>
            <w:r>
              <w:rPr>
                <w:rFonts w:ascii="Arial" w:cs="Arial" w:eastAsia="Arial" w:hAnsi="Arial"/>
                <w:sz w:val="18"/>
                <w:szCs w:val="18"/>
                <w:color w:val="auto"/>
                <w:w w:val="97"/>
              </w:rPr>
              <w:t>31.2**</w:t>
            </w:r>
          </w:p>
        </w:tc>
        <w:tc>
          <w:tcPr>
            <w:tcW w:w="9920" w:type="dxa"/>
            <w:vAlign w:val="bottom"/>
            <w:gridSpan w:val="8"/>
          </w:tcPr>
          <w:p>
            <w:pPr>
              <w:spacing w:after="0"/>
              <w:rPr>
                <w:rFonts w:ascii="Arial" w:cs="Arial" w:eastAsia="Arial" w:hAnsi="Arial"/>
                <w:sz w:val="18"/>
                <w:szCs w:val="18"/>
                <w:color w:val="0000EE"/>
                <w:w w:val="95"/>
              </w:rPr>
            </w:pPr>
            <w:hyperlink w:anchor="page63">
              <w:r>
                <w:rPr>
                  <w:rFonts w:ascii="Arial" w:cs="Arial" w:eastAsia="Arial" w:hAnsi="Arial"/>
                  <w:sz w:val="18"/>
                  <w:szCs w:val="18"/>
                  <w:color w:val="0000EE"/>
                  <w:w w:val="95"/>
                </w:rPr>
                <w:t>Certification of Principal Financial Officer pursuant to Rule 13a-14(a) or Rule 15d-14(a) of the Securities Exchange Act of 1934, as</w:t>
              </w:r>
            </w:hyperlink>
          </w:p>
        </w:tc>
        <w:tc>
          <w:tcPr>
            <w:tcW w:w="0" w:type="dxa"/>
            <w:vAlign w:val="bottom"/>
          </w:tcPr>
          <w:p>
            <w:pPr>
              <w:spacing w:after="0"/>
              <w:rPr>
                <w:sz w:val="1"/>
                <w:szCs w:val="1"/>
                <w:color w:val="auto"/>
              </w:rPr>
            </w:pPr>
          </w:p>
        </w:tc>
      </w:tr>
      <w:tr>
        <w:trPr>
          <w:trHeight w:val="194"/>
        </w:trPr>
        <w:tc>
          <w:tcPr>
            <w:tcW w:w="1220" w:type="dxa"/>
            <w:vAlign w:val="bottom"/>
          </w:tcPr>
          <w:p>
            <w:pPr>
              <w:spacing w:after="0"/>
              <w:rPr>
                <w:sz w:val="16"/>
                <w:szCs w:val="16"/>
                <w:color w:val="auto"/>
              </w:rPr>
            </w:pPr>
          </w:p>
        </w:tc>
        <w:tc>
          <w:tcPr>
            <w:tcW w:w="66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5"/>
              </w:rPr>
            </w:pPr>
            <w:hyperlink w:anchor="page63">
              <w:r>
                <w:rPr>
                  <w:rFonts w:ascii="Arial" w:cs="Arial" w:eastAsia="Arial" w:hAnsi="Arial"/>
                  <w:sz w:val="18"/>
                  <w:szCs w:val="18"/>
                  <w:color w:val="0000EE"/>
                  <w:w w:val="85"/>
                </w:rPr>
                <w:t>amended</w:t>
              </w:r>
            </w:hyperlink>
          </w:p>
        </w:tc>
        <w:tc>
          <w:tcPr>
            <w:tcW w:w="8780" w:type="dxa"/>
            <w:vAlign w:val="bottom"/>
            <w:tcBorders>
              <w:top w:val="single" w:sz="8" w:color="0000EE"/>
            </w:tcBorders>
            <w:gridSpan w:val="5"/>
          </w:tcPr>
          <w:p>
            <w:pPr>
              <w:spacing w:after="0"/>
              <w:rPr>
                <w:sz w:val="16"/>
                <w:szCs w:val="16"/>
                <w:color w:val="auto"/>
              </w:rPr>
            </w:pPr>
          </w:p>
        </w:tc>
        <w:tc>
          <w:tcPr>
            <w:tcW w:w="4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1220" w:type="dxa"/>
            <w:vAlign w:val="bottom"/>
          </w:tcPr>
          <w:p>
            <w:pPr>
              <w:jc w:val="center"/>
              <w:ind w:right="133"/>
              <w:spacing w:after="0"/>
              <w:rPr>
                <w:sz w:val="20"/>
                <w:szCs w:val="20"/>
                <w:color w:val="auto"/>
              </w:rPr>
            </w:pPr>
            <w:r>
              <w:rPr>
                <w:rFonts w:ascii="Arial" w:cs="Arial" w:eastAsia="Arial" w:hAnsi="Arial"/>
                <w:sz w:val="18"/>
                <w:szCs w:val="18"/>
                <w:color w:val="auto"/>
                <w:w w:val="95"/>
              </w:rPr>
              <w:t>32.1*</w:t>
            </w:r>
          </w:p>
        </w:tc>
        <w:tc>
          <w:tcPr>
            <w:tcW w:w="90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Certification of Principal Executive Officer and Principal Financial Officer pursuant to Section 906 of the Sarbanes-Oxley Act</w:t>
              </w:r>
            </w:hyperlink>
          </w:p>
        </w:tc>
        <w:tc>
          <w:tcPr>
            <w:tcW w:w="8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8"/>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9920" w:type="dxa"/>
            <w:vAlign w:val="bottom"/>
            <w:gridSpan w:val="8"/>
          </w:tcPr>
          <w:p>
            <w:pPr>
              <w:spacing w:after="0"/>
              <w:rPr>
                <w:sz w:val="20"/>
                <w:szCs w:val="20"/>
                <w:color w:val="auto"/>
              </w:rPr>
            </w:pPr>
            <w:r>
              <w:rPr>
                <w:rFonts w:ascii="Arial" w:cs="Arial" w:eastAsia="Arial" w:hAnsi="Arial"/>
                <w:sz w:val="18"/>
                <w:szCs w:val="18"/>
                <w:color w:val="auto"/>
                <w:w w:val="91"/>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20" w:hanging="468"/>
        <w:spacing w:after="0"/>
        <w:tabs>
          <w:tab w:leader="none" w:pos="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89" w:lineRule="exact"/>
        <w:rPr>
          <w:rFonts w:ascii="Arial" w:cs="Arial" w:eastAsia="Arial" w:hAnsi="Arial"/>
          <w:sz w:val="18"/>
          <w:szCs w:val="18"/>
          <w:color w:val="auto"/>
        </w:rPr>
      </w:pPr>
    </w:p>
    <w:p>
      <w:pPr>
        <w:ind w:left="520" w:right="380" w:hanging="513"/>
        <w:spacing w:after="0" w:line="256"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Exhibit 3.1 to HubSpot, Inc.’s Annual Report on Form 10-K filed on February 24, 2016 and incorporated herein by reference.</w:t>
      </w:r>
    </w:p>
    <w:p>
      <w:pPr>
        <w:ind w:left="520" w:hanging="51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Exhibit 3.2 to HubSpot Inc.’s Quarterly Report on Form 10-Q filed on November 5, 2020.</w:t>
      </w:r>
    </w:p>
    <w:p>
      <w:pPr>
        <w:spacing w:after="0" w:line="20" w:lineRule="exact"/>
        <w:rPr>
          <w:rFonts w:ascii="Arial" w:cs="Arial" w:eastAsia="Arial" w:hAnsi="Arial"/>
          <w:sz w:val="18"/>
          <w:szCs w:val="18"/>
          <w:color w:val="auto"/>
        </w:rPr>
      </w:pPr>
    </w:p>
    <w:p>
      <w:pPr>
        <w:ind w:left="520" w:right="160" w:hanging="513"/>
        <w:spacing w:after="0" w:line="257"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Exhibit 4.1 to Amendment No. 1 to Registrant’s Registration Statement on Form S-1 (SEC File No. 333-198333) filed on September 26, 2014.</w:t>
      </w:r>
    </w:p>
    <w:p>
      <w:pPr>
        <w:spacing w:after="0" w:line="187" w:lineRule="exact"/>
        <w:rPr>
          <w:sz w:val="20"/>
          <w:szCs w:val="20"/>
          <w:color w:val="auto"/>
        </w:rPr>
      </w:pPr>
    </w:p>
    <w:p>
      <w:pPr>
        <w:ind w:left="520" w:hanging="513"/>
        <w:spacing w:after="0" w:line="298"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60" w:name="page61"/>
    <w:bookmarkEnd w:id="60"/>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firstLine="510"/>
        <w:spacing w:after="0" w:line="27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Kate Bueker</w:t>
            </w:r>
          </w:p>
        </w:tc>
      </w:tr>
      <w:tr>
        <w:trPr>
          <w:trHeight w:val="195"/>
        </w:trPr>
        <w:tc>
          <w:tcPr>
            <w:tcW w:w="9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Kate Bueker</w:t>
            </w:r>
          </w:p>
        </w:tc>
      </w:tr>
      <w:tr>
        <w:trPr>
          <w:trHeight w:val="214"/>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4"/>
        </w:trPr>
        <w:tc>
          <w:tcPr>
            <w:tcW w:w="9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w:t>
            </w:r>
          </w:p>
        </w:tc>
      </w:tr>
      <w:tr>
        <w:trPr>
          <w:trHeight w:val="227"/>
        </w:trPr>
        <w:tc>
          <w:tcPr>
            <w:tcW w:w="9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rPr>
              <w:t>Officer and Authorized Signatory)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May 5, 2021</w:t>
      </w:r>
    </w:p>
    <w:p>
      <w:pPr>
        <w:sectPr>
          <w:pgSz w:w="11900" w:h="16838" w:orient="portrait"/>
          <w:cols w:equalWidth="0" w:num="1">
            <w:col w:w="10720"/>
          </w:cols>
          <w:pgMar w:left="320" w:top="550" w:right="859" w:bottom="1440" w:gutter="0" w:footer="0" w:header="0"/>
        </w:sectPr>
      </w:pPr>
    </w:p>
    <w:bookmarkStart w:id="61" w:name="page62"/>
    <w:bookmarkEnd w:id="61"/>
    <w:p>
      <w:pPr>
        <w:jc w:val="right"/>
        <w:ind w:right="100"/>
        <w:spacing w:after="0"/>
        <w:rPr>
          <w:sz w:val="20"/>
          <w:szCs w:val="20"/>
          <w:color w:val="auto"/>
        </w:rPr>
      </w:pPr>
      <w:r>
        <w:rPr>
          <w:rFonts w:ascii="Arial" w:cs="Arial" w:eastAsia="Arial" w:hAnsi="Arial"/>
          <w:sz w:val="18"/>
          <w:szCs w:val="18"/>
          <w:b w:val="1"/>
          <w:bCs w:val="1"/>
          <w:color w:val="auto"/>
        </w:rPr>
        <w:t>Exhibit 31.1</w:t>
      </w: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Pursuant to</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Exchange Act Rules 13a-14(a) and 15d-14(a),</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Brian Halligan, certify that:</w:t>
      </w:r>
    </w:p>
    <w:p>
      <w:pPr>
        <w:spacing w:after="0" w:line="115" w:lineRule="exact"/>
        <w:rPr>
          <w:sz w:val="20"/>
          <w:szCs w:val="20"/>
          <w:color w:val="auto"/>
        </w:rPr>
      </w:pPr>
    </w:p>
    <w:p>
      <w:pPr>
        <w:ind w:left="520" w:hanging="513"/>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HubSpot, Inc.;</w:t>
      </w:r>
    </w:p>
    <w:p>
      <w:pPr>
        <w:spacing w:after="0" w:line="114" w:lineRule="exact"/>
        <w:rPr>
          <w:rFonts w:ascii="Arial" w:cs="Arial" w:eastAsia="Arial" w:hAnsi="Arial"/>
          <w:sz w:val="18"/>
          <w:szCs w:val="18"/>
          <w:color w:val="auto"/>
        </w:rPr>
      </w:pPr>
    </w:p>
    <w:p>
      <w:pPr>
        <w:jc w:val="both"/>
        <w:ind w:left="520" w:right="420" w:hanging="513"/>
        <w:spacing w:after="0" w:line="26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8"/>
          <w:szCs w:val="18"/>
          <w:color w:val="auto"/>
        </w:rPr>
      </w:pPr>
    </w:p>
    <w:p>
      <w:pPr>
        <w:ind w:left="520" w:right="400" w:hanging="513"/>
        <w:spacing w:after="0" w:line="302"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right="420" w:hanging="513"/>
        <w:spacing w:after="0" w:line="26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left="1020" w:right="180" w:hanging="503"/>
        <w:spacing w:after="0" w:line="260" w:lineRule="auto"/>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left="1020" w:right="500" w:hanging="503"/>
        <w:spacing w:after="0" w:line="260" w:lineRule="auto"/>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jc w:val="both"/>
        <w:ind w:left="1020" w:right="660" w:hanging="503"/>
        <w:spacing w:after="0" w:line="336" w:lineRule="auto"/>
        <w:tabs>
          <w:tab w:leader="none" w:pos="10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1020" w:right="180" w:hanging="503"/>
        <w:spacing w:after="0" w:line="260" w:lineRule="auto"/>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left="520" w:right="140" w:hanging="513"/>
        <w:spacing w:after="0" w:line="302"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1020" w:right="900" w:hanging="503"/>
        <w:spacing w:after="0" w:line="336" w:lineRule="auto"/>
        <w:tabs>
          <w:tab w:leader="none" w:pos="10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6"/>
          <w:szCs w:val="16"/>
          <w:color w:val="auto"/>
        </w:rPr>
      </w:pPr>
    </w:p>
    <w:p>
      <w:pPr>
        <w:ind w:left="1020" w:right="580" w:hanging="503"/>
        <w:spacing w:after="0" w:line="272" w:lineRule="auto"/>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Pr>
          <w:p>
            <w:pPr>
              <w:spacing w:after="0"/>
              <w:rPr>
                <w:sz w:val="20"/>
                <w:szCs w:val="20"/>
                <w:color w:val="auto"/>
              </w:rPr>
            </w:pPr>
            <w:r>
              <w:rPr>
                <w:rFonts w:ascii="Arial" w:cs="Arial" w:eastAsia="Arial" w:hAnsi="Arial"/>
                <w:sz w:val="18"/>
                <w:szCs w:val="18"/>
                <w:color w:val="auto"/>
              </w:rPr>
              <w:t>Date: May 5, 2021</w:t>
            </w:r>
          </w:p>
        </w:tc>
        <w:tc>
          <w:tcPr>
            <w:tcW w:w="7260" w:type="dxa"/>
            <w:vAlign w:val="bottom"/>
            <w:gridSpan w:val="2"/>
          </w:tcPr>
          <w:p>
            <w:pPr>
              <w:ind w:left="2760"/>
              <w:spacing w:after="0"/>
              <w:rPr>
                <w:sz w:val="20"/>
                <w:szCs w:val="20"/>
                <w:color w:val="auto"/>
              </w:rPr>
            </w:pPr>
            <w:r>
              <w:rPr>
                <w:rFonts w:ascii="Arial" w:cs="Arial" w:eastAsia="Arial" w:hAnsi="Arial"/>
                <w:sz w:val="18"/>
                <w:szCs w:val="18"/>
                <w:color w:val="auto"/>
              </w:rPr>
              <w:t>By:  /s/ Brian Halligan</w:t>
            </w:r>
          </w:p>
        </w:tc>
      </w:tr>
      <w:tr>
        <w:trPr>
          <w:trHeight w:val="194"/>
        </w:trPr>
        <w:tc>
          <w:tcPr>
            <w:tcW w:w="40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Brian Halligan</w:t>
            </w:r>
          </w:p>
        </w:tc>
      </w:tr>
      <w:tr>
        <w:trPr>
          <w:trHeight w:val="214"/>
        </w:trPr>
        <w:tc>
          <w:tcPr>
            <w:tcW w:w="4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7"/>
        </w:trPr>
        <w:tc>
          <w:tcPr>
            <w:tcW w:w="40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340"/>
          </w:cols>
          <w:pgMar w:left="32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Kate Bueker, certify that:</w:t>
      </w:r>
    </w:p>
    <w:p>
      <w:pPr>
        <w:spacing w:after="0" w:line="115" w:lineRule="exact"/>
        <w:rPr>
          <w:sz w:val="20"/>
          <w:szCs w:val="20"/>
          <w:color w:val="auto"/>
        </w:rPr>
      </w:pPr>
    </w:p>
    <w:p>
      <w:pPr>
        <w:ind w:left="520" w:hanging="513"/>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HubSpot, Inc.;</w:t>
      </w:r>
    </w:p>
    <w:p>
      <w:pPr>
        <w:spacing w:after="0" w:line="114" w:lineRule="exact"/>
        <w:rPr>
          <w:rFonts w:ascii="Arial" w:cs="Arial" w:eastAsia="Arial" w:hAnsi="Arial"/>
          <w:sz w:val="18"/>
          <w:szCs w:val="18"/>
          <w:color w:val="auto"/>
        </w:rPr>
      </w:pPr>
    </w:p>
    <w:p>
      <w:pPr>
        <w:jc w:val="both"/>
        <w:ind w:left="520" w:right="320" w:hanging="513"/>
        <w:spacing w:after="0" w:line="260"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8"/>
          <w:szCs w:val="18"/>
          <w:color w:val="auto"/>
        </w:rPr>
      </w:pPr>
    </w:p>
    <w:p>
      <w:pPr>
        <w:ind w:left="520" w:right="300" w:hanging="513"/>
        <w:spacing w:after="0" w:line="302"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right="320" w:hanging="513"/>
        <w:spacing w:after="0" w:line="260"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left="1020" w:right="80" w:hanging="503"/>
        <w:spacing w:after="0" w:line="260"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left="1020" w:right="400" w:hanging="503"/>
        <w:spacing w:after="0" w:line="260"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jc w:val="both"/>
        <w:ind w:left="1020" w:right="560" w:hanging="503"/>
        <w:spacing w:after="0" w:line="336" w:lineRule="auto"/>
        <w:tabs>
          <w:tab w:leader="none" w:pos="10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1020" w:right="80" w:hanging="503"/>
        <w:spacing w:after="0" w:line="260"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left="520" w:right="40" w:hanging="513"/>
        <w:spacing w:after="0" w:line="302"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1020" w:right="800" w:hanging="503"/>
        <w:spacing w:after="0" w:line="336" w:lineRule="auto"/>
        <w:tabs>
          <w:tab w:leader="none" w:pos="10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6"/>
          <w:szCs w:val="16"/>
          <w:color w:val="auto"/>
        </w:rPr>
      </w:pPr>
    </w:p>
    <w:p>
      <w:pPr>
        <w:ind w:left="1020" w:right="480" w:hanging="503"/>
        <w:spacing w:after="0" w:line="272"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20"/>
                <w:szCs w:val="20"/>
                <w:color w:val="auto"/>
              </w:rPr>
            </w:pPr>
            <w:r>
              <w:rPr>
                <w:rFonts w:ascii="Arial" w:cs="Arial" w:eastAsia="Arial" w:hAnsi="Arial"/>
                <w:sz w:val="18"/>
                <w:szCs w:val="18"/>
                <w:color w:val="auto"/>
              </w:rPr>
              <w:t>Date: May 5, 2021</w:t>
            </w:r>
          </w:p>
        </w:tc>
        <w:tc>
          <w:tcPr>
            <w:tcW w:w="7220" w:type="dxa"/>
            <w:vAlign w:val="bottom"/>
            <w:gridSpan w:val="2"/>
          </w:tcPr>
          <w:p>
            <w:pPr>
              <w:ind w:left="2680"/>
              <w:spacing w:after="0"/>
              <w:rPr>
                <w:sz w:val="20"/>
                <w:szCs w:val="20"/>
                <w:color w:val="auto"/>
              </w:rPr>
            </w:pPr>
            <w:r>
              <w:rPr>
                <w:rFonts w:ascii="Arial" w:cs="Arial" w:eastAsia="Arial" w:hAnsi="Arial"/>
                <w:sz w:val="18"/>
                <w:szCs w:val="18"/>
                <w:color w:val="auto"/>
              </w:rPr>
              <w:t>By:  Kate Bueker</w:t>
            </w:r>
          </w:p>
        </w:tc>
      </w:tr>
      <w:tr>
        <w:trPr>
          <w:trHeight w:val="194"/>
        </w:trPr>
        <w:tc>
          <w:tcPr>
            <w:tcW w:w="40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Kate Bueker</w:t>
            </w:r>
          </w:p>
        </w:tc>
      </w:tr>
      <w:tr>
        <w:trPr>
          <w:trHeight w:val="214"/>
        </w:trPr>
        <w:tc>
          <w:tcPr>
            <w:tcW w:w="40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7"/>
        </w:trPr>
        <w:tc>
          <w:tcPr>
            <w:tcW w:w="40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40" w:firstLine="510"/>
        <w:spacing w:after="0" w:line="256" w:lineRule="auto"/>
        <w:rPr>
          <w:sz w:val="20"/>
          <w:szCs w:val="20"/>
          <w:color w:val="auto"/>
        </w:rPr>
      </w:pPr>
      <w:r>
        <w:rPr>
          <w:rFonts w:ascii="Arial" w:cs="Arial" w:eastAsia="Arial" w:hAnsi="Arial"/>
          <w:sz w:val="18"/>
          <w:szCs w:val="18"/>
          <w:color w:val="auto"/>
        </w:rPr>
        <w:t>I, Brian Halligan, certify, pursuant to 18 U.S.C. Section 1350, as adopted pursuant to Section 906 of the Sarbanes-Oxley Act of 2002, that, to my knowledge, the Quarterly Report on Form 10-Q of HubSpot, Inc. for the period ended March 31, 2021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20"/>
                <w:szCs w:val="20"/>
                <w:color w:val="auto"/>
              </w:rPr>
            </w:pPr>
            <w:r>
              <w:rPr>
                <w:rFonts w:ascii="Arial" w:cs="Arial" w:eastAsia="Arial" w:hAnsi="Arial"/>
                <w:sz w:val="18"/>
                <w:szCs w:val="18"/>
                <w:color w:val="auto"/>
              </w:rPr>
              <w:t>Date: May 5, 2021</w:t>
            </w:r>
          </w:p>
        </w:tc>
        <w:tc>
          <w:tcPr>
            <w:tcW w:w="7220" w:type="dxa"/>
            <w:vAlign w:val="bottom"/>
            <w:gridSpan w:val="2"/>
          </w:tcPr>
          <w:p>
            <w:pPr>
              <w:ind w:left="2680"/>
              <w:spacing w:after="0"/>
              <w:rPr>
                <w:sz w:val="20"/>
                <w:szCs w:val="20"/>
                <w:color w:val="auto"/>
              </w:rPr>
            </w:pPr>
            <w:r>
              <w:rPr>
                <w:rFonts w:ascii="Arial" w:cs="Arial" w:eastAsia="Arial" w:hAnsi="Arial"/>
                <w:sz w:val="18"/>
                <w:szCs w:val="18"/>
                <w:color w:val="auto"/>
              </w:rPr>
              <w:t>By:  /s/ Brian Halligan</w:t>
            </w:r>
          </w:p>
        </w:tc>
      </w:tr>
      <w:tr>
        <w:trPr>
          <w:trHeight w:val="194"/>
        </w:trPr>
        <w:tc>
          <w:tcPr>
            <w:tcW w:w="40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Brian Halligan</w:t>
            </w:r>
          </w:p>
        </w:tc>
      </w:tr>
      <w:tr>
        <w:trPr>
          <w:trHeight w:val="214"/>
        </w:trPr>
        <w:tc>
          <w:tcPr>
            <w:tcW w:w="40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7"/>
        </w:trPr>
        <w:tc>
          <w:tcPr>
            <w:tcW w:w="40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55" w:lineRule="exact"/>
        <w:rPr>
          <w:sz w:val="20"/>
          <w:szCs w:val="20"/>
          <w:color w:val="auto"/>
        </w:rPr>
      </w:pPr>
    </w:p>
    <w:p>
      <w:pPr>
        <w:ind w:right="40" w:firstLine="510"/>
        <w:spacing w:after="0" w:line="256" w:lineRule="auto"/>
        <w:rPr>
          <w:sz w:val="20"/>
          <w:szCs w:val="20"/>
          <w:color w:val="auto"/>
        </w:rPr>
      </w:pPr>
      <w:r>
        <w:rPr>
          <w:rFonts w:ascii="Arial" w:cs="Arial" w:eastAsia="Arial" w:hAnsi="Arial"/>
          <w:sz w:val="18"/>
          <w:szCs w:val="18"/>
          <w:color w:val="auto"/>
        </w:rPr>
        <w:t>I, Kate Bueker, certify, pursuant to 18 U.S.C. Section 1350, as adopted pursuant to Section 906 of the Sarbanes-Oxley Act of 2002, that, to my knowledge, the Quarterly Report on Form 10-Q of HubSpot, Inc. for the period ended March 31, 2021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20"/>
                <w:szCs w:val="20"/>
                <w:color w:val="auto"/>
              </w:rPr>
            </w:pPr>
            <w:r>
              <w:rPr>
                <w:rFonts w:ascii="Arial" w:cs="Arial" w:eastAsia="Arial" w:hAnsi="Arial"/>
                <w:sz w:val="18"/>
                <w:szCs w:val="18"/>
                <w:color w:val="auto"/>
              </w:rPr>
              <w:t>Date: May 5, 2021</w:t>
            </w:r>
          </w:p>
        </w:tc>
        <w:tc>
          <w:tcPr>
            <w:tcW w:w="7220" w:type="dxa"/>
            <w:vAlign w:val="bottom"/>
            <w:gridSpan w:val="2"/>
          </w:tcPr>
          <w:p>
            <w:pPr>
              <w:ind w:left="2680"/>
              <w:spacing w:after="0"/>
              <w:rPr>
                <w:sz w:val="20"/>
                <w:szCs w:val="20"/>
                <w:color w:val="auto"/>
              </w:rPr>
            </w:pPr>
            <w:r>
              <w:rPr>
                <w:rFonts w:ascii="Arial" w:cs="Arial" w:eastAsia="Arial" w:hAnsi="Arial"/>
                <w:sz w:val="18"/>
                <w:szCs w:val="18"/>
                <w:color w:val="auto"/>
              </w:rPr>
              <w:t>By:  /s/ Kate Bueker</w:t>
            </w:r>
          </w:p>
        </w:tc>
      </w:tr>
      <w:tr>
        <w:trPr>
          <w:trHeight w:val="194"/>
        </w:trPr>
        <w:tc>
          <w:tcPr>
            <w:tcW w:w="40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Kate Bueker</w:t>
            </w:r>
          </w:p>
        </w:tc>
      </w:tr>
      <w:tr>
        <w:trPr>
          <w:trHeight w:val="214"/>
        </w:trPr>
        <w:tc>
          <w:tcPr>
            <w:tcW w:w="40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7"/>
        </w:trPr>
        <w:tc>
          <w:tcPr>
            <w:tcW w:w="40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29" w:lineRule="exact"/>
        <w:rPr>
          <w:sz w:val="20"/>
          <w:szCs w:val="20"/>
          <w:color w:val="auto"/>
        </w:rPr>
      </w:pPr>
    </w:p>
    <w:p>
      <w:pPr>
        <w:ind w:right="20" w:firstLine="510"/>
        <w:spacing w:after="0" w:line="307" w:lineRule="auto"/>
        <w:rPr>
          <w:sz w:val="20"/>
          <w:szCs w:val="20"/>
          <w:color w:val="auto"/>
        </w:rPr>
      </w:pPr>
      <w:r>
        <w:rPr>
          <w:rFonts w:ascii="Arial" w:cs="Arial" w:eastAsia="Arial" w:hAnsi="Arial"/>
          <w:sz w:val="16"/>
          <w:szCs w:val="16"/>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lvl>
    <w:lvl w:ilvl="1">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8" Type="http://schemas.openxmlformats.org/officeDocument/2006/relationships/image" Target="media/image98.png"/><Relationship Id="rId105" Type="http://schemas.openxmlformats.org/officeDocument/2006/relationships/hyperlink" Target="http://www.sec.gov/Archives/edgar/data/1404655/000156459016013204/hubs-ex31_768.htm" TargetMode="External"/><Relationship Id="rId106" Type="http://schemas.openxmlformats.org/officeDocument/2006/relationships/hyperlink" Target="http://www.sec.gov/Archives/edgar/data/1404655/000156459020051449/hubs-ex32_103.htm" TargetMode="External"/><Relationship Id="rId107" Type="http://schemas.openxmlformats.org/officeDocument/2006/relationships/hyperlink" Target="http://www.sec.gov/Archives/edgar/data/1404655/000119312514353746/d69725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2021-05-05T16:01:07Z</dcterms:created>
  <dcterms:modified xsi:type="dcterms:W3CDTF">2021-05-05T16:01:07Z</dcterms:modified>
</cp:coreProperties>
</file>