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4" w:lineRule="exact"/>
        <w:rPr>
          <w:rFonts w:ascii="MS PGothic" w:cs="MS PGothic" w:eastAsia="MS PGothic" w:hAnsi="MS PGothic"/>
          <w:sz w:val="18"/>
          <w:szCs w:val="18"/>
          <w:color w:val="auto"/>
        </w:rPr>
      </w:pPr>
    </w:p>
    <w:p>
      <w:pPr>
        <w:ind w:left="3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-264160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8"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tbl>
      <w:tblPr>
        <w:tblLayout w:type="fixed"/>
        <w:tblInd w:w="1940" w:type="dxa"/>
        <w:tblCellMar>
          <w:top w:w="0" w:type="dxa"/>
          <w:left w:w="0" w:type="dxa"/>
          <w:bottom w:w="0" w:type="dxa"/>
          <w:right w:w="0" w:type="dxa"/>
        </w:tblCellMar>
      </w:tblPr>
      <w:tr>
        <w:trPr>
          <w:trHeight w:val="475"/>
        </w:trPr>
        <w:tc>
          <w:tcPr>
            <w:tcW w:w="1680" w:type="dxa"/>
            <w:vAlign w:val="bottom"/>
          </w:tcPr>
          <w:p>
            <w:pPr>
              <w:spacing w:after="0"/>
              <w:rPr>
                <w:sz w:val="24"/>
                <w:szCs w:val="24"/>
                <w:color w:val="auto"/>
              </w:rPr>
            </w:pPr>
          </w:p>
        </w:tc>
        <w:tc>
          <w:tcPr>
            <w:tcW w:w="5360" w:type="dxa"/>
            <w:vAlign w:val="bottom"/>
            <w:gridSpan w:val="3"/>
          </w:tcPr>
          <w:p>
            <w:pPr>
              <w:jc w:val="center"/>
              <w:ind w:right="1297"/>
              <w:spacing w:after="0"/>
              <w:rPr>
                <w:sz w:val="20"/>
                <w:szCs w:val="20"/>
                <w:color w:val="auto"/>
              </w:rPr>
            </w:pPr>
            <w:r>
              <w:rPr>
                <w:rFonts w:ascii="Arial" w:cs="Arial" w:eastAsia="Arial" w:hAnsi="Arial"/>
                <w:sz w:val="40"/>
                <w:szCs w:val="40"/>
                <w:b w:val="1"/>
                <w:bCs w:val="1"/>
                <w:color w:val="auto"/>
                <w:w w:val="91"/>
              </w:rPr>
              <w:t>HubSpot, Inc.</w:t>
            </w:r>
          </w:p>
        </w:tc>
      </w:tr>
      <w:tr>
        <w:trPr>
          <w:trHeight w:val="234"/>
        </w:trPr>
        <w:tc>
          <w:tcPr>
            <w:tcW w:w="1680" w:type="dxa"/>
            <w:vAlign w:val="bottom"/>
          </w:tcPr>
          <w:p>
            <w:pPr>
              <w:spacing w:after="0"/>
              <w:rPr>
                <w:sz w:val="20"/>
                <w:szCs w:val="20"/>
                <w:color w:val="auto"/>
              </w:rPr>
            </w:pPr>
          </w:p>
        </w:tc>
        <w:tc>
          <w:tcPr>
            <w:tcW w:w="5360" w:type="dxa"/>
            <w:vAlign w:val="bottom"/>
            <w:gridSpan w:val="3"/>
          </w:tcPr>
          <w:p>
            <w:pPr>
              <w:jc w:val="center"/>
              <w:ind w:right="1277"/>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0"/>
        </w:trPr>
        <w:tc>
          <w:tcPr>
            <w:tcW w:w="1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245"/>
        </w:trPr>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360" w:type="dxa"/>
            <w:vAlign w:val="bottom"/>
            <w:gridSpan w:val="3"/>
          </w:tcPr>
          <w:p>
            <w:pPr>
              <w:jc w:val="center"/>
              <w:ind w:left="4281"/>
              <w:spacing w:after="0"/>
              <w:rPr>
                <w:sz w:val="20"/>
                <w:szCs w:val="20"/>
                <w:color w:val="auto"/>
              </w:rPr>
            </w:pPr>
            <w:r>
              <w:rPr>
                <w:rFonts w:ascii="Arial" w:cs="Arial" w:eastAsia="Arial" w:hAnsi="Arial"/>
                <w:sz w:val="16"/>
                <w:szCs w:val="16"/>
                <w:b w:val="1"/>
                <w:bCs w:val="1"/>
                <w:color w:val="auto"/>
                <w:w w:val="91"/>
              </w:rPr>
              <w:t>20-2632791</w:t>
            </w:r>
          </w:p>
        </w:tc>
      </w:tr>
      <w:tr>
        <w:trPr>
          <w:trHeight w:val="135"/>
        </w:trPr>
        <w:tc>
          <w:tcPr>
            <w:tcW w:w="1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8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40" w:type="dxa"/>
            <w:vAlign w:val="bottom"/>
          </w:tcPr>
          <w:p>
            <w:pPr>
              <w:jc w:val="center"/>
              <w:ind w:left="119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center"/>
              <w:ind w:left="1197"/>
              <w:spacing w:after="0"/>
              <w:rPr>
                <w:sz w:val="20"/>
                <w:szCs w:val="20"/>
                <w:color w:val="auto"/>
              </w:rPr>
            </w:pPr>
            <w:r>
              <w:rPr>
                <w:rFonts w:ascii="Arial" w:cs="Arial" w:eastAsia="Arial" w:hAnsi="Arial"/>
                <w:sz w:val="13"/>
                <w:szCs w:val="13"/>
                <w:b w:val="1"/>
                <w:bCs w:val="1"/>
                <w:color w:val="auto"/>
                <w:w w:val="89"/>
              </w:rPr>
              <w:t>Identification No.)</w:t>
            </w:r>
          </w:p>
        </w:tc>
      </w:tr>
      <w:tr>
        <w:trPr>
          <w:trHeight w:val="254"/>
        </w:trPr>
        <w:tc>
          <w:tcPr>
            <w:tcW w:w="1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80" w:type="dxa"/>
            <w:vAlign w:val="bottom"/>
            <w:gridSpan w:val="2"/>
          </w:tcPr>
          <w:p>
            <w:pPr>
              <w:jc w:val="center"/>
              <w:ind w:right="2157"/>
              <w:spacing w:after="0"/>
              <w:rPr>
                <w:sz w:val="20"/>
                <w:szCs w:val="20"/>
                <w:color w:val="auto"/>
              </w:rPr>
            </w:pPr>
            <w:r>
              <w:rPr>
                <w:rFonts w:ascii="Arial" w:cs="Arial" w:eastAsia="Arial" w:hAnsi="Arial"/>
                <w:sz w:val="18"/>
                <w:szCs w:val="18"/>
                <w:b w:val="1"/>
                <w:bCs w:val="1"/>
                <w:color w:val="auto"/>
                <w:w w:val="91"/>
              </w:rPr>
              <w:t>25 First Street</w:t>
            </w:r>
          </w:p>
        </w:tc>
      </w:tr>
      <w:tr>
        <w:trPr>
          <w:trHeight w:val="212"/>
        </w:trPr>
        <w:tc>
          <w:tcPr>
            <w:tcW w:w="1680" w:type="dxa"/>
            <w:vAlign w:val="bottom"/>
          </w:tcPr>
          <w:p>
            <w:pPr>
              <w:spacing w:after="0"/>
              <w:rPr>
                <w:sz w:val="18"/>
                <w:szCs w:val="18"/>
                <w:color w:val="auto"/>
              </w:rPr>
            </w:pPr>
          </w:p>
        </w:tc>
        <w:tc>
          <w:tcPr>
            <w:tcW w:w="5360" w:type="dxa"/>
            <w:vAlign w:val="bottom"/>
            <w:gridSpan w:val="3"/>
          </w:tcPr>
          <w:p>
            <w:pPr>
              <w:jc w:val="center"/>
              <w:ind w:right="1297"/>
              <w:spacing w:after="0"/>
              <w:rPr>
                <w:sz w:val="20"/>
                <w:szCs w:val="20"/>
                <w:color w:val="auto"/>
              </w:rPr>
            </w:pPr>
            <w:r>
              <w:rPr>
                <w:rFonts w:ascii="Arial" w:cs="Arial" w:eastAsia="Arial" w:hAnsi="Arial"/>
                <w:sz w:val="18"/>
                <w:szCs w:val="18"/>
                <w:b w:val="1"/>
                <w:bCs w:val="1"/>
                <w:color w:val="auto"/>
                <w:w w:val="88"/>
              </w:rPr>
              <w:t>Cambridge, Massachusetts, 02141</w:t>
            </w:r>
          </w:p>
        </w:tc>
      </w:tr>
      <w:tr>
        <w:trPr>
          <w:trHeight w:val="186"/>
        </w:trPr>
        <w:tc>
          <w:tcPr>
            <w:tcW w:w="1680" w:type="dxa"/>
            <w:vAlign w:val="bottom"/>
          </w:tcPr>
          <w:p>
            <w:pPr>
              <w:spacing w:after="0"/>
              <w:rPr>
                <w:sz w:val="16"/>
                <w:szCs w:val="16"/>
                <w:color w:val="auto"/>
              </w:rPr>
            </w:pPr>
          </w:p>
        </w:tc>
        <w:tc>
          <w:tcPr>
            <w:tcW w:w="5360" w:type="dxa"/>
            <w:vAlign w:val="bottom"/>
            <w:gridSpan w:val="3"/>
          </w:tcPr>
          <w:p>
            <w:pPr>
              <w:jc w:val="center"/>
              <w:ind w:right="1277"/>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232"/>
        </w:trPr>
        <w:tc>
          <w:tcPr>
            <w:tcW w:w="1680" w:type="dxa"/>
            <w:vAlign w:val="bottom"/>
          </w:tcPr>
          <w:p>
            <w:pPr>
              <w:spacing w:after="0"/>
              <w:rPr>
                <w:sz w:val="20"/>
                <w:szCs w:val="20"/>
                <w:color w:val="auto"/>
              </w:rPr>
            </w:pPr>
          </w:p>
        </w:tc>
        <w:tc>
          <w:tcPr>
            <w:tcW w:w="3120" w:type="dxa"/>
            <w:vAlign w:val="bottom"/>
            <w:gridSpan w:val="2"/>
          </w:tcPr>
          <w:p>
            <w:pPr>
              <w:jc w:val="center"/>
              <w:ind w:left="781"/>
              <w:spacing w:after="0"/>
              <w:rPr>
                <w:sz w:val="20"/>
                <w:szCs w:val="20"/>
                <w:color w:val="auto"/>
              </w:rPr>
            </w:pPr>
            <w:r>
              <w:rPr>
                <w:rFonts w:ascii="Arial" w:cs="Arial" w:eastAsia="Arial" w:hAnsi="Arial"/>
                <w:sz w:val="18"/>
                <w:szCs w:val="18"/>
                <w:b w:val="1"/>
                <w:bCs w:val="1"/>
                <w:color w:val="auto"/>
                <w:w w:val="90"/>
              </w:rPr>
              <w:t>(888) 482-7768</w:t>
            </w:r>
          </w:p>
        </w:tc>
        <w:tc>
          <w:tcPr>
            <w:tcW w:w="2240" w:type="dxa"/>
            <w:vAlign w:val="bottom"/>
          </w:tcPr>
          <w:p>
            <w:pPr>
              <w:spacing w:after="0"/>
              <w:rPr>
                <w:sz w:val="20"/>
                <w:szCs w:val="20"/>
                <w:color w:val="auto"/>
              </w:rPr>
            </w:pPr>
          </w:p>
        </w:tc>
      </w:tr>
      <w:tr>
        <w:trPr>
          <w:trHeight w:val="186"/>
        </w:trPr>
        <w:tc>
          <w:tcPr>
            <w:tcW w:w="1680" w:type="dxa"/>
            <w:vAlign w:val="bottom"/>
          </w:tcPr>
          <w:p>
            <w:pPr>
              <w:spacing w:after="0"/>
              <w:rPr>
                <w:sz w:val="16"/>
                <w:szCs w:val="16"/>
                <w:color w:val="auto"/>
              </w:rPr>
            </w:pPr>
          </w:p>
        </w:tc>
        <w:tc>
          <w:tcPr>
            <w:tcW w:w="5360" w:type="dxa"/>
            <w:vAlign w:val="bottom"/>
            <w:gridSpan w:val="3"/>
          </w:tcPr>
          <w:p>
            <w:pPr>
              <w:jc w:val="center"/>
              <w:ind w:right="1297"/>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jc w:val="center"/>
              <w:ind w:left="546"/>
              <w:spacing w:after="0"/>
              <w:rPr>
                <w:sz w:val="20"/>
                <w:szCs w:val="20"/>
                <w:color w:val="auto"/>
              </w:rPr>
            </w:pPr>
            <w:r>
              <w:rPr>
                <w:rFonts w:ascii="Arial" w:cs="Arial" w:eastAsia="Arial" w:hAnsi="Arial"/>
                <w:sz w:val="16"/>
                <w:szCs w:val="16"/>
                <w:b w:val="1"/>
                <w:bCs w:val="1"/>
                <w:color w:val="auto"/>
                <w:w w:val="87"/>
              </w:rPr>
              <w:t>Title of each class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40" w:type="dxa"/>
            <w:vAlign w:val="bottom"/>
            <w:gridSpan w:val="4"/>
          </w:tcPr>
          <w:p>
            <w:pPr>
              <w:jc w:val="center"/>
              <w:ind w:right="980"/>
              <w:spacing w:after="0"/>
              <w:rPr>
                <w:sz w:val="20"/>
                <w:szCs w:val="20"/>
                <w:color w:val="auto"/>
              </w:rPr>
            </w:pPr>
            <w:r>
              <w:rPr>
                <w:rFonts w:ascii="Arial" w:cs="Arial" w:eastAsia="Arial" w:hAnsi="Arial"/>
                <w:sz w:val="16"/>
                <w:szCs w:val="16"/>
                <w:b w:val="1"/>
                <w:bCs w:val="1"/>
                <w:color w:val="auto"/>
                <w:w w:val="90"/>
              </w:rPr>
              <w:t>Trading symbol(s)</w:t>
            </w:r>
          </w:p>
        </w:tc>
        <w:tc>
          <w:tcPr>
            <w:tcW w:w="350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4"/>
        </w:trPr>
        <w:tc>
          <w:tcPr>
            <w:tcW w:w="3340" w:type="dxa"/>
            <w:vAlign w:val="bottom"/>
            <w:tcBorders>
              <w:top w:val="single" w:sz="8" w:color="auto"/>
            </w:tcBorders>
          </w:tcPr>
          <w:p>
            <w:pPr>
              <w:jc w:val="center"/>
              <w:ind w:left="546"/>
              <w:spacing w:after="0"/>
              <w:rPr>
                <w:sz w:val="20"/>
                <w:szCs w:val="20"/>
                <w:color w:val="auto"/>
              </w:rPr>
            </w:pPr>
            <w:r>
              <w:rPr>
                <w:rFonts w:ascii="Arial" w:cs="Arial" w:eastAsia="Arial" w:hAnsi="Arial"/>
                <w:sz w:val="13"/>
                <w:szCs w:val="13"/>
                <w:b w:val="1"/>
                <w:bCs w:val="1"/>
                <w:color w:val="auto"/>
                <w:w w:val="87"/>
              </w:rPr>
              <w:t>Common Stock, par value $0.001 per share</w:t>
            </w: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2"/>
              </w:rPr>
              <w:t>HUBS</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New York Stock Exchange</w:t>
            </w:r>
          </w:p>
        </w:tc>
        <w:tc>
          <w:tcPr>
            <w:tcW w:w="0" w:type="dxa"/>
            <w:vAlign w:val="bottom"/>
          </w:tcPr>
          <w:p>
            <w:pPr>
              <w:spacing w:after="0"/>
              <w:rPr>
                <w:sz w:val="1"/>
                <w:szCs w:val="1"/>
                <w:color w:val="auto"/>
              </w:rPr>
            </w:pPr>
          </w:p>
        </w:tc>
      </w:tr>
      <w:tr>
        <w:trPr>
          <w:trHeight w:val="300"/>
        </w:trPr>
        <w:tc>
          <w:tcPr>
            <w:tcW w:w="3340" w:type="dxa"/>
            <w:vAlign w:val="bottom"/>
          </w:tcPr>
          <w:p>
            <w:pPr>
              <w:spacing w:after="0"/>
              <w:rPr>
                <w:sz w:val="24"/>
                <w:szCs w:val="24"/>
                <w:color w:val="auto"/>
              </w:rPr>
            </w:pPr>
          </w:p>
        </w:tc>
        <w:tc>
          <w:tcPr>
            <w:tcW w:w="4400" w:type="dxa"/>
            <w:vAlign w:val="bottom"/>
            <w:gridSpan w:val="7"/>
          </w:tcPr>
          <w:p>
            <w:pPr>
              <w:jc w:val="center"/>
              <w:ind w:left="84"/>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500" w:type="dxa"/>
            <w:vAlign w:val="bottom"/>
            <w:gridSpan w:val="4"/>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000" w:type="dxa"/>
            <w:vAlign w:val="bottom"/>
            <w:gridSpan w:val="3"/>
          </w:tcPr>
          <w:p>
            <w:pPr>
              <w:spacing w:after="0"/>
              <w:rPr>
                <w:sz w:val="5"/>
                <w:szCs w:val="5"/>
                <w:color w:val="auto"/>
              </w:rPr>
            </w:pPr>
          </w:p>
        </w:tc>
        <w:tc>
          <w:tcPr>
            <w:tcW w:w="800" w:type="dxa"/>
            <w:vAlign w:val="bottom"/>
            <w:vMerge w:val="restart"/>
          </w:tcPr>
          <w:p>
            <w:pPr>
              <w:ind w:left="10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700" w:type="dxa"/>
            <w:vAlign w:val="bottom"/>
            <w:vMerge w:val="restart"/>
          </w:tcPr>
          <w:p>
            <w:pPr>
              <w:ind w:left="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34"/>
        </w:trPr>
        <w:tc>
          <w:tcPr>
            <w:tcW w:w="7740" w:type="dxa"/>
            <w:vAlign w:val="bottom"/>
            <w:gridSpan w:val="8"/>
          </w:tcPr>
          <w:p>
            <w:pPr>
              <w:ind w:left="520"/>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800" w:type="dxa"/>
            <w:vAlign w:val="bottom"/>
            <w:vMerge w:val="continue"/>
          </w:tcPr>
          <w:p>
            <w:pPr>
              <w:spacing w:after="0"/>
              <w:rPr>
                <w:sz w:val="20"/>
                <w:szCs w:val="20"/>
                <w:color w:val="auto"/>
              </w:rPr>
            </w:pPr>
          </w:p>
        </w:tc>
        <w:tc>
          <w:tcPr>
            <w:tcW w:w="2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540" w:type="dxa"/>
            <w:vAlign w:val="bottom"/>
            <w:gridSpan w:val="9"/>
          </w:tcPr>
          <w:p>
            <w:pPr>
              <w:ind w:left="520"/>
              <w:spacing w:after="0" w:line="173" w:lineRule="exact"/>
              <w:rPr>
                <w:sz w:val="20"/>
                <w:szCs w:val="20"/>
                <w:color w:val="auto"/>
              </w:rPr>
            </w:pPr>
            <w:r>
              <w:rPr>
                <w:rFonts w:ascii="Arial" w:cs="Arial" w:eastAsia="Arial" w:hAnsi="Arial"/>
                <w:sz w:val="15"/>
                <w:szCs w:val="15"/>
                <w:color w:val="auto"/>
                <w:w w:val="94"/>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w w:val="94"/>
              </w:rPr>
              <w:t>☐</w:t>
            </w:r>
          </w:p>
        </w:tc>
        <w:tc>
          <w:tcPr>
            <w:tcW w:w="2700" w:type="dxa"/>
            <w:vAlign w:val="bottom"/>
          </w:tcPr>
          <w:p>
            <w:pPr>
              <w:ind w:left="18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ind w:right="120" w:firstLine="510"/>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60" w:lineRule="exact"/>
        <w:rPr>
          <w:sz w:val="24"/>
          <w:szCs w:val="24"/>
          <w:color w:val="auto"/>
        </w:rPr>
      </w:pPr>
    </w:p>
    <w:p>
      <w:pPr>
        <w:ind w:right="500"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60" w:firstLine="510"/>
        <w:spacing w:after="0" w:line="29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8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28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920" w:type="dxa"/>
            <w:vAlign w:val="bottom"/>
          </w:tcPr>
          <w:p>
            <w:pPr>
              <w:ind w:left="28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 w:lineRule="exact"/>
        <w:rPr>
          <w:sz w:val="24"/>
          <w:szCs w:val="24"/>
          <w:color w:val="auto"/>
        </w:rPr>
      </w:pPr>
    </w:p>
    <w:p>
      <w:pPr>
        <w:ind w:right="40" w:firstLine="51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60" w:firstLine="510"/>
        <w:spacing w:after="0" w:line="18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520"/>
        <w:spacing w:after="0" w:line="173" w:lineRule="exact"/>
        <w:tabs>
          <w:tab w:leader="none" w:pos="7600" w:val="left"/>
          <w:tab w:leader="none" w:pos="83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3" w:lineRule="exact"/>
        <w:rPr>
          <w:sz w:val="24"/>
          <w:szCs w:val="24"/>
          <w:color w:val="auto"/>
        </w:rPr>
      </w:pPr>
    </w:p>
    <w:p>
      <w:pPr>
        <w:ind w:right="20" w:firstLine="510"/>
        <w:spacing w:after="0" w:line="236" w:lineRule="auto"/>
        <w:rPr>
          <w:sz w:val="20"/>
          <w:szCs w:val="20"/>
          <w:color w:val="auto"/>
        </w:rPr>
      </w:pPr>
      <w:r>
        <w:rPr>
          <w:rFonts w:ascii="Arial" w:cs="Arial" w:eastAsia="Arial" w:hAnsi="Arial"/>
          <w:sz w:val="15"/>
          <w:szCs w:val="15"/>
          <w:color w:val="auto"/>
        </w:rPr>
        <w:t>The aggregate market value of common stock held by non-affiliates of the registrant, based on the closing price of the registrant’s common stock on June 30, 2020, as reported by the New York Stock Exchange on such date was approximately $9,621,952,510.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2" w:lineRule="exact"/>
        <w:rPr>
          <w:sz w:val="24"/>
          <w:szCs w:val="24"/>
          <w:color w:val="auto"/>
        </w:rPr>
      </w:pPr>
    </w:p>
    <w:p>
      <w:pPr>
        <w:ind w:left="520"/>
        <w:spacing w:after="0"/>
        <w:rPr>
          <w:sz w:val="20"/>
          <w:szCs w:val="20"/>
          <w:color w:val="auto"/>
        </w:rPr>
      </w:pPr>
      <w:r>
        <w:rPr>
          <w:rFonts w:ascii="Arial" w:cs="Arial" w:eastAsia="Arial" w:hAnsi="Arial"/>
          <w:sz w:val="15"/>
          <w:szCs w:val="15"/>
          <w:color w:val="auto"/>
        </w:rPr>
        <w:t>On February 12, 2021, the registrant had 46,335,184 shares of common stock outstanding.</w:t>
      </w:r>
    </w:p>
    <w:p>
      <w:pPr>
        <w:spacing w:after="0" w:line="21"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6" w:lineRule="exact"/>
        <w:rPr>
          <w:sz w:val="24"/>
          <w:szCs w:val="24"/>
          <w:color w:val="auto"/>
        </w:rPr>
      </w:pPr>
    </w:p>
    <w:p>
      <w:pPr>
        <w:ind w:firstLine="510"/>
        <w:spacing w:after="0" w:line="262" w:lineRule="auto"/>
        <w:rPr>
          <w:sz w:val="20"/>
          <w:szCs w:val="20"/>
          <w:color w:val="auto"/>
        </w:rPr>
      </w:pPr>
      <w:r>
        <w:rPr>
          <w:rFonts w:ascii="Arial" w:cs="Arial" w:eastAsia="Arial" w:hAnsi="Arial"/>
          <w:sz w:val="14"/>
          <w:szCs w:val="14"/>
          <w:color w:val="auto"/>
        </w:rPr>
        <w:t>Portions of the registrant’s definitive Proxy Statement for its 2021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8"/>
              </w:rPr>
              <w:t>HUBSPOT, INC.</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00" w:type="dxa"/>
            <w:vAlign w:val="bottom"/>
            <w:gridSpan w:val="2"/>
            <w:vMerge w:val="restart"/>
          </w:tcPr>
          <w:p>
            <w:pPr>
              <w:jc w:val="center"/>
              <w:ind w:right="2060"/>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w:t>
              </w:r>
            </w:hyperlink>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4"/>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4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4"/>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00" w:type="dxa"/>
            <w:vAlign w:val="bottom"/>
            <w:gridSpan w:val="2"/>
          </w:tcPr>
          <w:p>
            <w:pPr>
              <w:jc w:val="center"/>
              <w:ind w:right="2060"/>
              <w:spacing w:after="0"/>
              <w:rPr>
                <w:rFonts w:ascii="Arial" w:cs="Arial" w:eastAsia="Arial" w:hAnsi="Arial"/>
                <w:sz w:val="18"/>
                <w:szCs w:val="18"/>
                <w:b w:val="1"/>
                <w:bCs w:val="1"/>
                <w:u w:val="single" w:color="auto"/>
                <w:color w:val="0000EE"/>
                <w:w w:val="99"/>
              </w:rPr>
            </w:pPr>
            <w:hyperlink w:anchor="page37">
              <w:r>
                <w:rPr>
                  <w:rFonts w:ascii="Arial" w:cs="Arial" w:eastAsia="Arial" w:hAnsi="Arial"/>
                  <w:sz w:val="18"/>
                  <w:szCs w:val="18"/>
                  <w:b w:val="1"/>
                  <w:bCs w:val="1"/>
                  <w:u w:val="single" w:color="auto"/>
                  <w:color w:val="0000EE"/>
                  <w:w w:val="99"/>
                </w:rPr>
                <w:t>PART 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7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Market for Registrant’s Common Equity, Related Stockholder Matters and Issuer Purchases of Equity</w:t>
              </w:r>
            </w:hyperlink>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0" w:type="dxa"/>
            <w:vAlign w:val="bottom"/>
            <w:gridSpan w:val="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9420" w:type="dxa"/>
            <w:vAlign w:val="bottom"/>
            <w:gridSpan w:val="4"/>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9420" w:type="dxa"/>
            <w:vAlign w:val="bottom"/>
            <w:gridSpan w:val="4"/>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942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9420" w:type="dxa"/>
            <w:vAlign w:val="bottom"/>
            <w:gridSpan w:val="4"/>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Changes in and Disagreements with Accountants on Accounting and Financial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9420" w:type="dxa"/>
            <w:vAlign w:val="bottom"/>
            <w:gridSpan w:val="4"/>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9420" w:type="dxa"/>
            <w:vAlign w:val="bottom"/>
            <w:gridSpan w:val="4"/>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00" w:type="dxa"/>
            <w:vAlign w:val="bottom"/>
            <w:gridSpan w:val="2"/>
          </w:tcPr>
          <w:p>
            <w:pPr>
              <w:jc w:val="center"/>
              <w:ind w:right="2060"/>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PART III</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942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42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942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9420" w:type="dxa"/>
            <w:vAlign w:val="bottom"/>
            <w:gridSpan w:val="4"/>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38"/>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00" w:type="dxa"/>
            <w:vAlign w:val="bottom"/>
            <w:gridSpan w:val="2"/>
          </w:tcPr>
          <w:p>
            <w:pPr>
              <w:jc w:val="center"/>
              <w:ind w:right="2060"/>
              <w:spacing w:after="0"/>
              <w:rPr>
                <w:rFonts w:ascii="Arial" w:cs="Arial" w:eastAsia="Arial" w:hAnsi="Arial"/>
                <w:sz w:val="18"/>
                <w:szCs w:val="18"/>
                <w:b w:val="1"/>
                <w:bCs w:val="1"/>
                <w:u w:val="single" w:color="auto"/>
                <w:color w:val="0000EE"/>
              </w:rPr>
            </w:pPr>
            <w:hyperlink w:anchor="page97">
              <w:r>
                <w:rPr>
                  <w:rFonts w:ascii="Arial" w:cs="Arial" w:eastAsia="Arial" w:hAnsi="Arial"/>
                  <w:sz w:val="18"/>
                  <w:szCs w:val="18"/>
                  <w:b w:val="1"/>
                  <w:bCs w:val="1"/>
                  <w:u w:val="single" w:color="auto"/>
                  <w:color w:val="0000EE"/>
                </w:rPr>
                <w:t>PART IV</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9420" w:type="dxa"/>
            <w:vAlign w:val="bottom"/>
            <w:gridSpan w:val="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9420" w:type="dxa"/>
            <w:vAlign w:val="bottom"/>
            <w:gridSpan w:val="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0460" w:type="dxa"/>
            <w:vAlign w:val="bottom"/>
            <w:gridSpan w:val="5"/>
          </w:tcPr>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SIGNATURES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58"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margin and operating expenses;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and expanding our customer base and increasing our average subscription revenue per customer;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expectations regarding our ability to manage our future growth;</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predictions about industry and market trends;</w:t>
      </w:r>
    </w:p>
    <w:p>
      <w:pPr>
        <w:spacing w:after="0" w:line="117" w:lineRule="exact"/>
        <w:rPr>
          <w:rFonts w:ascii="Arial" w:cs="Arial" w:eastAsia="Arial" w:hAnsi="Arial"/>
          <w:sz w:val="18"/>
          <w:szCs w:val="18"/>
          <w:color w:val="auto"/>
        </w:rPr>
      </w:pPr>
    </w:p>
    <w:p>
      <w:pPr>
        <w:ind w:left="1000" w:right="32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our corporate culture and our ability to attract, hire and retain necessary qualified employees to expand our operations;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effect on our business of litigation to which we are or may become a party;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regarding declaring or paying cash dividends in the foreseeable future; and</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78"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49" w:lineRule="exact"/>
        <w:rPr>
          <w:sz w:val="20"/>
          <w:szCs w:val="20"/>
          <w:color w:val="auto"/>
        </w:rPr>
      </w:pPr>
    </w:p>
    <w:p>
      <w:pPr>
        <w:ind w:right="480" w:firstLine="510"/>
        <w:spacing w:after="0" w:line="263"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In this Annual Report on Form 10-K, the terms “HubSpot,” “we,” “us,” and “our” refer to HubSpot,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jc w:val="both"/>
        <w:ind w:right="180" w:firstLine="510"/>
        <w:spacing w:after="0" w:line="311" w:lineRule="auto"/>
        <w:rPr>
          <w:sz w:val="20"/>
          <w:szCs w:val="20"/>
          <w:color w:val="auto"/>
        </w:rPr>
      </w:pPr>
      <w:r>
        <w:rPr>
          <w:rFonts w:ascii="Arial" w:cs="Arial" w:eastAsia="Arial" w:hAnsi="Arial"/>
          <w:sz w:val="16"/>
          <w:szCs w:val="16"/>
          <w:i w:val="1"/>
          <w:iCs w:val="1"/>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257" w:lineRule="exact"/>
        <w:rPr>
          <w:sz w:val="20"/>
          <w:szCs w:val="20"/>
          <w:color w:val="auto"/>
        </w:rPr>
      </w:pPr>
    </w:p>
    <w:p>
      <w:pPr>
        <w:ind w:left="740" w:right="120" w:hanging="368"/>
        <w:spacing w:after="0" w:line="274"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achieve profitability in the future.</w:t>
      </w:r>
    </w:p>
    <w:p>
      <w:pPr>
        <w:spacing w:after="0" w:line="21" w:lineRule="exact"/>
        <w:rPr>
          <w:rFonts w:ascii="Arial" w:cs="Arial" w:eastAsia="Arial" w:hAnsi="Arial"/>
          <w:sz w:val="18"/>
          <w:szCs w:val="18"/>
          <w:color w:val="auto"/>
        </w:rPr>
      </w:pPr>
    </w:p>
    <w:p>
      <w:pPr>
        <w:ind w:left="740" w:hanging="368"/>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spacing w:after="0" w:line="1" w:lineRule="exact"/>
        <w:rPr>
          <w:rFonts w:ascii="Arial" w:cs="Arial" w:eastAsia="Arial" w:hAnsi="Arial"/>
          <w:sz w:val="18"/>
          <w:szCs w:val="18"/>
          <w:color w:val="auto"/>
        </w:rPr>
      </w:pPr>
    </w:p>
    <w:p>
      <w:pPr>
        <w:ind w:left="740" w:right="12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effectively develop and expand our marketing, sales, customer service, and content management capabilities could harm our ability to increase our customer base and achieve broader market acceptance of our platform.</w:t>
      </w:r>
    </w:p>
    <w:p>
      <w:pPr>
        <w:ind w:left="740" w:right="66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ind w:left="740" w:right="100" w:hanging="368"/>
        <w:spacing w:after="0" w:line="28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 w:lineRule="exact"/>
        <w:rPr>
          <w:rFonts w:ascii="Arial" w:cs="Arial" w:eastAsia="Arial" w:hAnsi="Arial"/>
          <w:sz w:val="16"/>
          <w:szCs w:val="16"/>
          <w:color w:val="auto"/>
        </w:rPr>
      </w:pPr>
    </w:p>
    <w:p>
      <w:pPr>
        <w:ind w:left="740" w:right="240" w:hanging="368"/>
        <w:spacing w:after="0" w:line="265"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ind w:left="740" w:right="8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ind w:left="740" w:right="32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 w:lineRule="exact"/>
        <w:rPr>
          <w:rFonts w:ascii="Arial" w:cs="Arial" w:eastAsia="Arial" w:hAnsi="Arial"/>
          <w:sz w:val="18"/>
          <w:szCs w:val="18"/>
          <w:color w:val="auto"/>
        </w:rPr>
      </w:pPr>
    </w:p>
    <w:p>
      <w:pPr>
        <w:ind w:left="740" w:right="8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ind w:left="740" w:right="68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in the future may be limited, and our failure to raise capital when needed could prevent us from growing.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help scaling companies deliver a delightful customer experience through our cloud-based customer relationship management (“CRM”) Platform. Our CRM Platform includes marketing, sales, service, and content management system, (“CMS”), as well as other tools and integrations, that enable companies to attract, engage, and delight customers throughout the customer experience. Additionally, we provide education, services and support to help customers be successful with our platform.</w:t>
      </w:r>
    </w:p>
    <w:p>
      <w:pPr>
        <w:spacing w:after="0" w:line="187" w:lineRule="exact"/>
        <w:rPr>
          <w:sz w:val="20"/>
          <w:szCs w:val="20"/>
          <w:color w:val="auto"/>
        </w:rPr>
      </w:pPr>
    </w:p>
    <w:p>
      <w:pPr>
        <w:jc w:val="both"/>
        <w:ind w:right="720" w:firstLine="510"/>
        <w:spacing w:after="0" w:line="329" w:lineRule="auto"/>
        <w:rPr>
          <w:sz w:val="20"/>
          <w:szCs w:val="20"/>
          <w:color w:val="auto"/>
        </w:rPr>
      </w:pPr>
      <w:r>
        <w:rPr>
          <w:rFonts w:ascii="Arial" w:cs="Arial" w:eastAsia="Arial" w:hAnsi="Arial"/>
          <w:sz w:val="16"/>
          <w:szCs w:val="16"/>
          <w:color w:val="auto"/>
        </w:rPr>
        <w:t>We focus on selling to mid-market business-to-business (“B2B”) companies, which we define as companies that have between 2 and 2,000 employees. We sell our CRM Platform on a subscription basis. In 2020, our total revenue was $883.0 million, and we incurred a net loss of $85.0 million. As of December 31, 2020, we had 4,225 full-time employees and 103,994 total customers of varying sizes in more than 120 countries.</w:t>
      </w:r>
    </w:p>
    <w:p>
      <w:pPr>
        <w:spacing w:after="0" w:line="134" w:lineRule="exact"/>
        <w:rPr>
          <w:sz w:val="20"/>
          <w:szCs w:val="20"/>
          <w:color w:val="auto"/>
        </w:rPr>
      </w:pPr>
    </w:p>
    <w:p>
      <w:pPr>
        <w:jc w:val="both"/>
        <w:ind w:right="220" w:firstLine="510"/>
        <w:spacing w:after="0" w:line="301" w:lineRule="auto"/>
        <w:rPr>
          <w:sz w:val="20"/>
          <w:szCs w:val="20"/>
          <w:color w:val="auto"/>
        </w:rPr>
      </w:pPr>
      <w:r>
        <w:rPr>
          <w:rFonts w:ascii="Arial" w:cs="Arial" w:eastAsia="Arial" w:hAnsi="Arial"/>
          <w:sz w:val="16"/>
          <w:szCs w:val="16"/>
          <w:color w:val="auto"/>
        </w:rPr>
        <w:t>Our company was formed as a limited liability company in Delaware on April 4, 2005. We converted to a Delaware corporation on June 7, 2007. Our principal executive offices are located at 25 First Street,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HubSpot Approach</w:t>
      </w:r>
    </w:p>
    <w:p>
      <w:pPr>
        <w:spacing w:after="0" w:line="121" w:lineRule="exact"/>
        <w:rPr>
          <w:sz w:val="20"/>
          <w:szCs w:val="20"/>
          <w:color w:val="auto"/>
        </w:rPr>
      </w:pPr>
    </w:p>
    <w:p>
      <w:pPr>
        <w:jc w:val="both"/>
        <w:ind w:right="440" w:firstLine="510"/>
        <w:spacing w:after="0" w:line="342" w:lineRule="auto"/>
        <w:rPr>
          <w:sz w:val="20"/>
          <w:szCs w:val="20"/>
          <w:color w:val="auto"/>
        </w:rPr>
      </w:pPr>
      <w:r>
        <w:rPr>
          <w:rFonts w:ascii="Arial" w:cs="Arial" w:eastAsia="Arial" w:hAnsi="Arial"/>
          <w:sz w:val="16"/>
          <w:szCs w:val="16"/>
          <w:color w:val="auto"/>
        </w:rPr>
        <w:t>Our CRM Platform features a central database of lead and customer interactions and integrated applications designed to help businesses attract visitors to their websites, convert visitors into leads, close leads into customers, and delight customers so they become promoters of those businesses.</w:t>
      </w:r>
    </w:p>
    <w:p>
      <w:pPr>
        <w:spacing w:after="0" w:line="124"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b w:val="1"/>
          <w:bCs w:val="1"/>
          <w:i w:val="1"/>
          <w:iCs w:val="1"/>
          <w:color w:val="auto"/>
        </w:rPr>
        <w:t xml:space="preserve">Designed to Help Companies Grow Better. </w:t>
      </w:r>
      <w:r>
        <w:rPr>
          <w:rFonts w:ascii="Arial" w:cs="Arial" w:eastAsia="Arial" w:hAnsi="Arial"/>
          <w:sz w:val="16"/>
          <w:szCs w:val="16"/>
          <w:color w:val="auto"/>
        </w:rPr>
        <w:t>Our CRM Platform was architected from the ground up to enable businesses to transform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sales, services, and content management playbook to meet the demands of customers today. Our CRM Platform includes both a system of record for maintaining a unified view of the customer experience and a system of engagement for efficiently engaging customers through search engine optimization (“SEO”), web content, social, blogging, email, marketing automation, messaging, support ticketing, knowledge base and more.</w:t>
      </w:r>
    </w:p>
    <w:p>
      <w:pPr>
        <w:spacing w:after="0" w:line="157"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b w:val="1"/>
          <w:bCs w:val="1"/>
          <w:i w:val="1"/>
          <w:iCs w:val="1"/>
          <w:color w:val="auto"/>
        </w:rPr>
        <w:t xml:space="preserve">Ease of Use of a Single, Extensible Platform. </w:t>
      </w:r>
      <w:r>
        <w:rPr>
          <w:rFonts w:ascii="Arial" w:cs="Arial" w:eastAsia="Arial" w:hAnsi="Arial"/>
          <w:sz w:val="18"/>
          <w:szCs w:val="18"/>
          <w:color w:val="auto"/>
        </w:rPr>
        <w:t>We provide a set of integrated applications on a common platform, which offers businesses 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and simplicity. Our CRM Platform has one login, one user interface, one database, and one team for support. Our CRM Platform starts free and grows with our customers. It is designed to scale its power and technical sophistication without losing its ease-of-use. In addition to being a comprehensive suite itself, our CRM Platform seamlessly integrates with hundreds of external applications, making it easy to extend the functionality of our CRM Platform and customize it for any business.</w:t>
      </w:r>
    </w:p>
    <w:p>
      <w:pPr>
        <w:spacing w:after="0" w:line="188"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b w:val="1"/>
          <w:bCs w:val="1"/>
          <w:i w:val="1"/>
          <w:iCs w:val="1"/>
          <w:color w:val="auto"/>
        </w:rPr>
        <w:t xml:space="preserve">Power of a Unified Customer View. </w:t>
      </w:r>
      <w:r>
        <w:rPr>
          <w:rFonts w:ascii="Arial" w:cs="Arial" w:eastAsia="Arial" w:hAnsi="Arial"/>
          <w:sz w:val="18"/>
          <w:szCs w:val="18"/>
          <w:color w:val="auto"/>
        </w:rPr>
        <w:t>At the core of our CRM Platform is a single CRM database for each business that captures its lead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activity throughout the customer lifecycle. Our CRM Platform creates a unified timeline incorporating all the interactions with a particular customer. In contrast to many CRM suites which are cobbled together, HubSpot has a set of core functionalities, including reporting, content, messaging, data, and automation, which runs across our product lines, which we refer to as Hubs.</w:t>
      </w:r>
    </w:p>
    <w:p>
      <w:pPr>
        <w:spacing w:after="0" w:line="18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CRM Platform was designed and built to serve a large number of customers with demanding use cases. Our CRM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processes billions of data points each week, and we use leading global cloud infrastructure providers and our own automation technology to dynamically allocate capacity to handle processing workloads of all sizes. We have built our CRM Platform on modern, scalable distributed technologies. We built the infrastructure to support hundreds of microservices and can easily add new features and capabilities to the CRM Platform. We utilize a variety of open-source distributed systems including HBase, Kafka, Vitess, and Elasticsearch to scale our data collection and processing. Our scalability gives us flexibility for future growth and enables us to service a large variety of businesses of different sizes across different industries.</w:t>
      </w:r>
    </w:p>
    <w:p>
      <w:pPr>
        <w:spacing w:after="0" w:line="16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b w:val="1"/>
          <w:bCs w:val="1"/>
          <w:i w:val="1"/>
          <w:iCs w:val="1"/>
          <w:color w:val="auto"/>
        </w:rPr>
        <w:t xml:space="preserve">Extensible and Open Architecture. </w:t>
      </w:r>
      <w:r>
        <w:rPr>
          <w:rFonts w:ascii="Arial" w:cs="Arial" w:eastAsia="Arial" w:hAnsi="Arial"/>
          <w:sz w:val="18"/>
          <w:szCs w:val="18"/>
          <w:color w:val="auto"/>
        </w:rPr>
        <w:t>Our CRM Platform features a variety of open application programming interfaces (“APIs”) that allows easy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 of our platform with other applications. We enable our customers to connect our platform to their other applications, such as ecommerce, event management and videoconferencing applications. By connecting third-party applications, our customers can leverage our centralized inbound database to perform additional functions and analysis.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market leadership position is based on the following key strengths:</w:t>
      </w:r>
    </w:p>
    <w:p>
      <w:pPr>
        <w:spacing w:after="0" w:line="22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b w:val="1"/>
          <w:bCs w:val="1"/>
          <w:i w:val="1"/>
          <w:iCs w:val="1"/>
          <w:color w:val="auto"/>
        </w:rPr>
        <w:t xml:space="preserve">Leading Platform. </w:t>
      </w:r>
      <w:r>
        <w:rPr>
          <w:rFonts w:ascii="Arial" w:cs="Arial" w:eastAsia="Arial" w:hAnsi="Arial"/>
          <w:sz w:val="18"/>
          <w:szCs w:val="18"/>
          <w:color w:val="auto"/>
        </w:rPr>
        <w:t>We have designed and built a world-class CRM Platform. We believe our customers choose our CRM Platform over others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its powerful, integrated, and easy-to-use applications. We built HubSpot on a single, unified, and intuitive platform, which we believe contrasts positively with many other CRM suites.</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b w:val="1"/>
          <w:bCs w:val="1"/>
          <w:i w:val="1"/>
          <w:iCs w:val="1"/>
          <w:color w:val="auto"/>
        </w:rPr>
        <w:t xml:space="preserve">Market Leadership and Strong Brand. </w:t>
      </w:r>
      <w:r>
        <w:rPr>
          <w:rFonts w:ascii="Arial" w:cs="Arial" w:eastAsia="Arial" w:hAnsi="Arial"/>
          <w:sz w:val="16"/>
          <w:szCs w:val="16"/>
          <w:color w:val="auto"/>
        </w:rPr>
        <w:t>We are a recognized thought leader in the cloud-based marketing, sales, customer service, and content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software industry with a leading brand. Our founders, Brian Halligan and Dharmesh Shah, wrote the best-selling marketing book Inbound Marketing: Get Found Using Google, Social Media and Blogs. Our marketing, sales, service, and content management experience attracts, engages, and delights customers by being more relevant, more helpful, more personalized, and less interruptive than traditional marketing and sales tactics. Our INBOUND event is one of the largest inbound industry conference events with registered attendance increasing from 1,100 in 2011 to over 26,000 in 2019. In 2020, we shifted our INBOUND event to a virtual-only experience due to the COVID-19 pandemic, and we had more than 70,000 registered attendees.</w:t>
      </w:r>
    </w:p>
    <w:p>
      <w:pPr>
        <w:spacing w:after="0" w:line="16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b w:val="1"/>
          <w:bCs w:val="1"/>
          <w:i w:val="1"/>
          <w:iCs w:val="1"/>
          <w:color w:val="auto"/>
        </w:rPr>
        <w:t xml:space="preserve">Large and Growing Solutions Partner Program. </w:t>
      </w:r>
      <w:r>
        <w:rPr>
          <w:rFonts w:ascii="Arial" w:cs="Arial" w:eastAsia="Arial" w:hAnsi="Arial"/>
          <w:sz w:val="18"/>
          <w:szCs w:val="18"/>
          <w:color w:val="212529"/>
        </w:rPr>
        <w:t>A Solutions Partner is a service provider that helps businesses with strategy, execution,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12529"/>
        </w:rPr>
        <w:t xml:space="preserve">implementation of go-to-market activities and technology solutions. </w:t>
      </w:r>
      <w:r>
        <w:rPr>
          <w:rFonts w:ascii="Arial" w:cs="Arial" w:eastAsia="Arial" w:hAnsi="Arial"/>
          <w:sz w:val="18"/>
          <w:szCs w:val="18"/>
          <w:color w:val="000000"/>
        </w:rPr>
        <w:t>Our Solutions Partners promote our brand and offer our CRM Platform to their clients.</w:t>
      </w:r>
      <w:r>
        <w:rPr>
          <w:rFonts w:ascii="Arial" w:cs="Arial" w:eastAsia="Arial" w:hAnsi="Arial"/>
          <w:sz w:val="18"/>
          <w:szCs w:val="18"/>
          <w:color w:val="212529"/>
        </w:rPr>
        <w:t xml:space="preserve"> </w:t>
      </w:r>
      <w:r>
        <w:rPr>
          <w:rFonts w:ascii="Arial" w:cs="Arial" w:eastAsia="Arial" w:hAnsi="Arial"/>
          <w:sz w:val="18"/>
          <w:szCs w:val="18"/>
          <w:color w:val="000000"/>
        </w:rPr>
        <w:t>Solutions Partners and customers referred to us by our Solutions Partners represented approximately 35% of our Total Customers, as defined in our Key Business Metrics in Item 7, as of December 31, 2020, and approximately 43% of our revenue for the year ended December 31, 2020. These Solutions Partners help us to promote the vision of the inbound experience, efficiently reach new mid-market businesses at scale, and provide our mutual customers with more diverse and higher-touch services.</w:t>
      </w:r>
    </w:p>
    <w:p>
      <w:pPr>
        <w:spacing w:after="0" w:line="19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b w:val="1"/>
          <w:bCs w:val="1"/>
          <w:i w:val="1"/>
          <w:iCs w:val="1"/>
          <w:color w:val="auto"/>
        </w:rPr>
        <w:t xml:space="preserve">Freemium Pricing Strategy. </w:t>
      </w:r>
      <w:r>
        <w:rPr>
          <w:rFonts w:ascii="Arial" w:cs="Arial" w:eastAsia="Arial" w:hAnsi="Arial"/>
          <w:sz w:val="18"/>
          <w:szCs w:val="18"/>
          <w:color w:val="auto"/>
        </w:rPr>
        <w:t>Our freemium model attracts customers who begin using our CRM Platform through our free products and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upgrade to our paid Hubs. Through our freemium products, our customers are able to receive value from HubSpot before converting to a paid product or engaging with sales.</w:t>
      </w:r>
    </w:p>
    <w:p>
      <w:pPr>
        <w:spacing w:after="0" w:line="18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 xml:space="preserve">Mid-Market Focus. </w:t>
      </w:r>
      <w:r>
        <w:rPr>
          <w:rFonts w:ascii="Arial" w:cs="Arial" w:eastAsia="Arial" w:hAnsi="Arial"/>
          <w:sz w:val="18"/>
          <w:szCs w:val="18"/>
          <w:color w:val="auto"/>
        </w:rPr>
        <w:t>We believe we have significant competitive advantages reaching mid-market businesses and efficiently reach this market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scale as a result of our inbound methodology, freemium pricing strategy, and our Solutions Partner channel.</w:t>
      </w:r>
    </w:p>
    <w:p>
      <w:pPr>
        <w:spacing w:after="0" w:line="170"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b w:val="1"/>
          <w:bCs w:val="1"/>
          <w:i w:val="1"/>
          <w:iCs w:val="1"/>
          <w:color w:val="auto"/>
        </w:rPr>
        <w:t xml:space="preserve">Powerful Network Effects. </w:t>
      </w:r>
      <w:r>
        <w:rPr>
          <w:rFonts w:ascii="Arial" w:cs="Arial" w:eastAsia="Arial" w:hAnsi="Arial"/>
          <w:sz w:val="16"/>
          <w:szCs w:val="16"/>
          <w:color w:val="auto"/>
        </w:rPr>
        <w:t>We have built a large and growing ecosystem around our CRM Platform and company. Thousands of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 third-party applications with our CRM Platform. We believe this ecosystem drives more businesses and professionals to embrace the inbound playbook. As our engaged audience grows, more Solutions Partners collaborate with us, more third-party developers integrate their applications with our CRM Platform, and more professionals complete our certification programs, all of which help to drive more businesses to adopt our CRM Platform.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elements to our growth strategy are:</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b w:val="1"/>
          <w:bCs w:val="1"/>
          <w:i w:val="1"/>
          <w:iCs w:val="1"/>
          <w:color w:val="auto"/>
        </w:rPr>
        <w:t xml:space="preserve">Grow Our Customer Base. </w:t>
      </w:r>
      <w:r>
        <w:rPr>
          <w:rFonts w:ascii="Arial" w:cs="Arial" w:eastAsia="Arial" w:hAnsi="Arial"/>
          <w:sz w:val="18"/>
          <w:szCs w:val="18"/>
          <w:color w:val="auto"/>
        </w:rPr>
        <w:t>The market for our CRM Platform is large and underserved. Mid-market businesses are particularly underserved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point application vendors and often lack sufficient resources to implement complex solutions. Our all-in-one CRM Platform allows mid-market businesses to efficiently adopt and execute an effective inbound marketing, sales, customer service, and content management strategy to help them expand and grow. We will continue to leverage our inbound go-to-market approach, freemium pricing strategy and our network of Solutions Partners to keep growing our business.</w:t>
      </w:r>
    </w:p>
    <w:p>
      <w:pPr>
        <w:spacing w:after="0" w:line="18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b w:val="1"/>
          <w:bCs w:val="1"/>
          <w:i w:val="1"/>
          <w:iCs w:val="1"/>
          <w:color w:val="auto"/>
        </w:rPr>
        <w:t xml:space="preserve">Increase Revenue from Existing Customers. </w:t>
      </w:r>
      <w:r>
        <w:rPr>
          <w:rFonts w:ascii="Arial" w:cs="Arial" w:eastAsia="Arial" w:hAnsi="Arial"/>
          <w:sz w:val="16"/>
          <w:szCs w:val="16"/>
          <w:color w:val="auto"/>
        </w:rPr>
        <w:t>With 103,994 Total Customers in more than 120 countries spanning many industries, we believe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a significant opportunity to increase revenue from our existing customers. We plan to increase revenue from our existing customers by expanding their use of our CRM Platform by upselling additional offerings and features, adding additional users, and cross-selling our marketing, sales, service, and content management products to existing customers through touchless or low touch in-product purchases. Our scalable pricing model allows us to capture more spend as our customers grow, increase the number of their customers and prospects managed on our CRM Platform, and offer additional functionality available from our higher price tiers and add-ons, providing us with a substantial opportunity to increase the lifetime value of our customer relationships.</w:t>
      </w:r>
    </w:p>
    <w:p>
      <w:pPr>
        <w:spacing w:after="0" w:line="16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b w:val="1"/>
          <w:bCs w:val="1"/>
          <w:i w:val="1"/>
          <w:iCs w:val="1"/>
          <w:color w:val="auto"/>
        </w:rPr>
        <w:t xml:space="preserve">Keep Expanding Internationally. </w:t>
      </w:r>
      <w:r>
        <w:rPr>
          <w:rFonts w:ascii="Arial" w:cs="Arial" w:eastAsia="Arial" w:hAnsi="Arial"/>
          <w:sz w:val="18"/>
          <w:szCs w:val="18"/>
          <w:color w:val="auto"/>
        </w:rPr>
        <w:t>There is a significant opportunity for our CRM Platform outside of the United States. As of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50% of our Total Customers were located outside of the United States and these customers generated approximately 43% of our total revenue for the year ended December 31, 2020. We sell to those international customers from our U.S., European, Asia Pacific, and South American based operations. We intend to grow our presence in international markets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18"/>
          <w:szCs w:val="18"/>
          <w:color w:val="auto"/>
        </w:rPr>
        <w:t>through additional investments in local sales, marketing and professional service capabilities, as well as by leveraging our Solutions Partner network. We have opened eight international offices and plan to open additional international offices. We have significant website traffic from regions outside the United States, and we believe that markets outside the United States represent a significant growth opportunity.</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b w:val="1"/>
          <w:bCs w:val="1"/>
          <w:i w:val="1"/>
          <w:iCs w:val="1"/>
          <w:color w:val="auto"/>
        </w:rPr>
        <w:t xml:space="preserve">Continue to Innovate and Expand Our CRM Platform. </w:t>
      </w:r>
      <w:r>
        <w:rPr>
          <w:rFonts w:ascii="Arial" w:cs="Arial" w:eastAsia="Arial" w:hAnsi="Arial"/>
          <w:sz w:val="18"/>
          <w:szCs w:val="18"/>
          <w:color w:val="auto"/>
        </w:rPr>
        <w:t>Mid-market businesses are increasingly realizing the value of having an integrated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customer service, and content management platform. We believe we are well positioned to capitalize on this opportunity by introducing new products and applications to extend the functionality of our CRM Platform.</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 xml:space="preserve">Selectively Pursue Acquisitions. </w:t>
      </w:r>
      <w:r>
        <w:rPr>
          <w:rFonts w:ascii="Arial" w:cs="Arial" w:eastAsia="Arial" w:hAnsi="Arial"/>
          <w:sz w:val="18"/>
          <w:szCs w:val="18"/>
          <w:color w:val="auto"/>
        </w:rPr>
        <w:t>We plan to selectively pursue acquisitions of complementary businesses, technologies and teams that would allow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to add new features and functionalities to our platform and accelerate the pace of our innovation.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CRM Platform</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Our CRM Platform features integrated applications and tools that enable companies to create a cohesive and adaptable customer experience. Each Hub can be used standalone or in conjunction with the other Hubs. Our Hubs are available in both free and paid tiers (i.e., Starter, Professional and Enterprise) with gradually increasing levels of functionality that support the needs of our customers as they see success with our tools and their businesses grow.</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HubSpot CRM</w:t>
      </w:r>
    </w:p>
    <w:p>
      <w:pPr>
        <w:spacing w:after="0" w:line="121" w:lineRule="exact"/>
        <w:rPr>
          <w:sz w:val="20"/>
          <w:szCs w:val="20"/>
          <w:color w:val="auto"/>
        </w:rPr>
      </w:pPr>
    </w:p>
    <w:p>
      <w:pPr>
        <w:ind w:right="20" w:firstLine="568"/>
        <w:spacing w:after="0" w:line="273" w:lineRule="auto"/>
        <w:rPr>
          <w:sz w:val="20"/>
          <w:szCs w:val="20"/>
          <w:color w:val="auto"/>
        </w:rPr>
      </w:pPr>
      <w:r>
        <w:rPr>
          <w:rFonts w:ascii="Arial" w:cs="Arial" w:eastAsia="Arial" w:hAnsi="Arial"/>
          <w:sz w:val="17"/>
          <w:szCs w:val="17"/>
          <w:color w:val="auto"/>
        </w:rPr>
        <w:t>The core of our CRM Platform is a single database of lead and customer information that allows businesses to track their interactions with contacts and customers, manage their sales activities, and report on their pipeline and sales. This allows a complete view of lead and customer interactions across all of our integrated Hubs, giving our CRM Platform substantial power. This integration makes it possible to personalize every aspect of the customer interaction across web content, social media engagement, and email messages across devices, including mobile. The integrated Hubs on our CRM Platform have a common user interface and are accessed through a single login. There is a free version of HubSpot CRM that can be used standalone, or with any combination of CMS Hub, Marketing Hub, Sales Hub, and/or Service Hub.</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Marketing Hub</w:t>
      </w:r>
    </w:p>
    <w:p>
      <w:pPr>
        <w:spacing w:after="0" w:line="121" w:lineRule="exact"/>
        <w:rPr>
          <w:sz w:val="20"/>
          <w:szCs w:val="20"/>
          <w:color w:val="auto"/>
        </w:rPr>
      </w:pPr>
    </w:p>
    <w:p>
      <w:pPr>
        <w:ind w:right="20" w:firstLine="568"/>
        <w:spacing w:after="0" w:line="311" w:lineRule="auto"/>
        <w:rPr>
          <w:sz w:val="20"/>
          <w:szCs w:val="20"/>
          <w:color w:val="auto"/>
        </w:rPr>
      </w:pPr>
      <w:r>
        <w:rPr>
          <w:rFonts w:ascii="Arial" w:cs="Arial" w:eastAsia="Arial" w:hAnsi="Arial"/>
          <w:sz w:val="16"/>
          <w:szCs w:val="16"/>
          <w:color w:val="auto"/>
        </w:rPr>
        <w:t>Marketing Hub is an all-in-one toolset for marketers to attract, engage, and nurture new leads towards sales readiness over the entire customer lifecycle. Marketing Hub is available in both free and paid tiers, and can be used standalone, with HubSpot CRM, a third party CRM, and/or any version of CMS Hub, Sales Hub or Service Hub. Features include: marketing automation and email, social media, SEO, and reporting and analytics.</w:t>
      </w: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Sales Hub</w:t>
      </w:r>
    </w:p>
    <w:p>
      <w:pPr>
        <w:spacing w:after="0" w:line="121" w:lineRule="exact"/>
        <w:rPr>
          <w:sz w:val="20"/>
          <w:szCs w:val="20"/>
          <w:color w:val="auto"/>
        </w:rPr>
      </w:pPr>
    </w:p>
    <w:p>
      <w:pPr>
        <w:ind w:right="120" w:firstLine="568"/>
        <w:spacing w:after="0" w:line="279" w:lineRule="auto"/>
        <w:rPr>
          <w:sz w:val="20"/>
          <w:szCs w:val="20"/>
          <w:color w:val="auto"/>
        </w:rPr>
      </w:pPr>
      <w:r>
        <w:rPr>
          <w:rFonts w:ascii="Arial" w:cs="Arial" w:eastAsia="Arial" w:hAnsi="Arial"/>
          <w:sz w:val="17"/>
          <w:szCs w:val="17"/>
          <w:color w:val="auto"/>
        </w:rPr>
        <w:t>We designed Sales Hub to enhance the productivity and effectiveness of sales teams. Businesses can empower their teams with tools that deliver a personalized experience for prospects with less work for sales representatives. Sales Hub is available in both free and paid tiers, and can be used with HubSpot CRM, a third party CRM, and/or any version of Marketing Hub, CMS Hub or Service Hub. Features include: email templates and tracking, conversations and live chat, meeting and call scheduling, lead and website visit alerts, sales automation, and lead scoring.</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Service Hub</w:t>
      </w:r>
    </w:p>
    <w:p>
      <w:pPr>
        <w:spacing w:after="0" w:line="121" w:lineRule="exact"/>
        <w:rPr>
          <w:sz w:val="20"/>
          <w:szCs w:val="20"/>
          <w:color w:val="auto"/>
        </w:rPr>
      </w:pPr>
    </w:p>
    <w:p>
      <w:pPr>
        <w:ind w:right="180" w:firstLine="568"/>
        <w:spacing w:after="0" w:line="259" w:lineRule="auto"/>
        <w:rPr>
          <w:sz w:val="20"/>
          <w:szCs w:val="20"/>
          <w:color w:val="auto"/>
        </w:rPr>
      </w:pPr>
      <w:r>
        <w:rPr>
          <w:rFonts w:ascii="Arial" w:cs="Arial" w:eastAsia="Arial" w:hAnsi="Arial"/>
          <w:sz w:val="18"/>
          <w:szCs w:val="18"/>
          <w:color w:val="auto"/>
        </w:rPr>
        <w:t>Service Hub is our customer service software that is designed to help businesses manage and connect with customers. Service Hub is available in free and paid tiers, and can be used standalone, with HubSpot CRM, a third party CRM, and/or any version of Marketing Hub, CMS Hub or Sales Hub. Features include: conversations and live chat functionality, conversational bots, tickets and help desk, automation and routing, knowledge base, team emails, feedback and reporting tools, and customer goals.</w:t>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CMS Hub</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Our content management system (“CMS”) Hub combines the power of content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CMS Hub can be purchased as a standalone product, with HubSpot CRM, a third party CRM, and/or with any version of Marketing Hub, Sales Hub, or Service Hub. Features include: website pages, business blogging, smart content, landing pages and forms, SEO tools, forms and lead flow, web analytics reporting, calls-to-action, and file manager.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Platform Application (“App”) Partners</w:t>
      </w:r>
    </w:p>
    <w:p>
      <w:pPr>
        <w:spacing w:after="0" w:line="121"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Businesses that use software outside of HubSpot can leverage our ecosystem of third-party integrations. We make it easy to find and install new or existing software solutions that complement our CRM Platform. Over 600 integrations and applications are available for our users, across a wide range of categories, including integrations with leading social media, email, sales, video, analytics, content and webinar tools.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complement our product offerings with professional services, customer success and support, which we view as critical elements of ensuring the long-term retention of our customers. The majority of our services and support is offered over email, phone, chat applications and via web meeting technology rather than in-person, which is a more efficient business model for us and our customers.</w:t>
      </w:r>
    </w:p>
    <w:p>
      <w:pPr>
        <w:spacing w:after="0" w:line="18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We offer professional services to educate and train customers on how to leverage our CRM Platform to transform how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attracts, engages and delights customers. Depending on which Hubs and services a customer purchases, they receive one-on-one training and guidance from one of our onboarding or technical specialists by web meeting and can purchase additional group training and education in online or in-person classes. Our professional services are also available to customers who need additional assistance on a one-time or ongoing basis for an additional fee.</w:t>
      </w:r>
    </w:p>
    <w:p>
      <w:pPr>
        <w:spacing w:after="0" w:line="188"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b w:val="1"/>
          <w:bCs w:val="1"/>
          <w:i w:val="1"/>
          <w:iCs w:val="1"/>
          <w:color w:val="auto"/>
        </w:rPr>
        <w:t xml:space="preserve">Customer Success. </w:t>
      </w:r>
      <w:r>
        <w:rPr>
          <w:rFonts w:ascii="Arial" w:cs="Arial" w:eastAsia="Arial" w:hAnsi="Arial"/>
          <w:sz w:val="17"/>
          <w:szCs w:val="17"/>
          <w:color w:val="auto"/>
        </w:rPr>
        <w:t>Our customers have access to a Customer Success Manager (“CSM”) or Customer Success Team (“CST”) which are responsible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our customers’ long term success, retention and growth on the HubSpot platform. Our CSMs and CSTs address the unique needs and goals of our customers through a series of ongoing interactions and strategy calls on how to best engage and use our CRM Platform.</w:t>
      </w:r>
    </w:p>
    <w:p>
      <w:pPr>
        <w:spacing w:after="0" w:line="16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In addition to assistance provided by our online articles and customer discussion forums, we offer phone and/or email and chat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which is included in the cost of a subscription for our Hubs. Phone support is available starting at the Professional product level for all Hubs while email and chat based support is available for Starter Hubs.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CRM Platform and recommend it to their colleagues.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Total Customers</w:t>
      </w:r>
    </w:p>
    <w:p>
      <w:pPr>
        <w:spacing w:after="0" w:line="121" w:lineRule="exact"/>
        <w:rPr>
          <w:sz w:val="20"/>
          <w:szCs w:val="20"/>
          <w:color w:val="auto"/>
        </w:rPr>
      </w:pPr>
    </w:p>
    <w:p>
      <w:pPr>
        <w:ind w:right="780" w:firstLine="510"/>
        <w:spacing w:after="0" w:line="277" w:lineRule="auto"/>
        <w:rPr>
          <w:sz w:val="20"/>
          <w:szCs w:val="20"/>
          <w:color w:val="auto"/>
        </w:rPr>
      </w:pPr>
      <w:r>
        <w:rPr>
          <w:rFonts w:ascii="Arial" w:cs="Arial" w:eastAsia="Arial" w:hAnsi="Arial"/>
          <w:sz w:val="18"/>
          <w:szCs w:val="18"/>
          <w:color w:val="auto"/>
        </w:rPr>
        <w:t>As of December 31, 2020, we had 103,994 Total Customers in more than 120 countries, representing many industries. No single customer represented more than one percent of our revenue in 2020, 2019, or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Our Total Customers have chosen us as their CRM Platform, which we architected and built to be secure, highly distributed and highly scalable. Since our founding, we have embraced rapid, iterative product development lifecycles, cloud automation and open-source technologies, including big data platforms, to power marketing, sales, service, and content management programs and provide insights not previously possible or available.</w:t>
      </w:r>
    </w:p>
    <w:p>
      <w:pPr>
        <w:spacing w:after="0" w:line="149"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Our CRM Platform is a multi-tenant, single code-based, globally available software-as-a-service delivered through APIs, web browsers or mobile applications. Our commitment to a highly available, reliable, and scalable platform for businesses of all sizes is accomplished through the use of these technologies.</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auto"/>
        </w:rPr>
        <w:t xml:space="preserve">Platform Approach. </w:t>
      </w:r>
      <w:r>
        <w:rPr>
          <w:rFonts w:ascii="Arial" w:cs="Arial" w:eastAsia="Arial" w:hAnsi="Arial"/>
          <w:sz w:val="18"/>
          <w:szCs w:val="18"/>
          <w:color w:val="auto"/>
        </w:rPr>
        <w:t>We built HubSpot on a single platform with reusable and composable libraries, allowing us to rapidly address new feature areas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bring new products to market that have a consistent user experience and data model. We have built this platform with scale in mind, supporting thousands of components including hundreds of microservices,</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b w:val="1"/>
          <w:bCs w:val="1"/>
          <w:i w:val="1"/>
          <w:iCs w:val="1"/>
          <w:color w:val="auto"/>
        </w:rPr>
        <w:t xml:space="preserve">Modern Database Architecture. </w:t>
      </w:r>
      <w:r>
        <w:rPr>
          <w:rFonts w:ascii="Arial" w:cs="Arial" w:eastAsia="Arial" w:hAnsi="Arial"/>
          <w:sz w:val="17"/>
          <w:szCs w:val="17"/>
          <w:color w:val="auto"/>
        </w:rPr>
        <w:t>We process billions of data points weekly across various channels, including social media, email, SEO and website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visits, and continue to drive nearly real-time analytics across these channels. This is possible because we built our database from the ground up using distributed big data technologies such as HBase, Elasticsearch and Kafka to both process and analyze the large amounts of data we collect. We also utilize Vitess to operate MySQL at scale, allowing our engineers to choose the best datastore for each task.</w:t>
      </w:r>
    </w:p>
    <w:p>
      <w:pPr>
        <w:spacing w:after="0" w:line="17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b w:val="1"/>
          <w:bCs w:val="1"/>
          <w:i w:val="1"/>
          <w:iCs w:val="1"/>
          <w:color w:val="auto"/>
        </w:rPr>
        <w:t xml:space="preserve">Agility. </w:t>
      </w:r>
      <w:r>
        <w:rPr>
          <w:rFonts w:ascii="Arial" w:cs="Arial" w:eastAsia="Arial" w:hAnsi="Arial"/>
          <w:sz w:val="18"/>
          <w:szCs w:val="18"/>
          <w:color w:val="auto"/>
        </w:rPr>
        <w:t>Our infrastructure and development and software release processes allow us to update our platform for specific groups of customers 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entire customer base at any time. This means we can rapidly innovate and deliver new functionality frequently,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without waiting for quarterly or annual release cycles. We typically deploy updates to our software platform thousands of times a day, enabling us to gather immediate customer feedback and improve our product quickly and continuously.</w:t>
      </w:r>
    </w:p>
    <w:p>
      <w:pPr>
        <w:spacing w:after="0" w:line="1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b w:val="1"/>
          <w:bCs w:val="1"/>
          <w:i w:val="1"/>
          <w:iCs w:val="1"/>
          <w:color w:val="auto"/>
        </w:rPr>
        <w:t xml:space="preserve">Cost leverage. </w:t>
      </w:r>
      <w:r>
        <w:rPr>
          <w:rFonts w:ascii="Arial" w:cs="Arial" w:eastAsia="Arial" w:hAnsi="Arial"/>
          <w:sz w:val="18"/>
          <w:szCs w:val="18"/>
          <w:color w:val="auto"/>
        </w:rPr>
        <w:t>Because our CRM Platform was built on an almost exclusive footprint of open-source software and designed to operate in cloud-based data centers, we have benefited from large-scale price reductions by these cloud computing service providers as they continue to innovate and compete for market share. As our processing volume continues to grow, we continue to receive larger volume discounts on a per-unit basis for costs such as storage, bandwidth and computing capacity. We also believe that our extensive use of open-source software will provide additional leverage as we scale our CRM Platform and infrastructure.</w:t>
      </w:r>
    </w:p>
    <w:p>
      <w:pPr>
        <w:spacing w:after="0" w:line="188"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By leveraging leading cloud infrastructure providers along with our automated technology stack, we are able to scale workloads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varying sizes at any time. This allows us to handle customers of all sizes and demands without traditional operational limitations such as network bandwidth, computing cycles, or storage capacity as we can scale our platform on-demand.</w:t>
      </w:r>
    </w:p>
    <w:p>
      <w:pPr>
        <w:spacing w:after="0" w:line="184"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b w:val="1"/>
          <w:bCs w:val="1"/>
          <w:i w:val="1"/>
          <w:iCs w:val="1"/>
          <w:color w:val="auto"/>
        </w:rPr>
        <w:t xml:space="preserve">Reliability. </w:t>
      </w:r>
      <w:r>
        <w:rPr>
          <w:rFonts w:ascii="Arial" w:cs="Arial" w:eastAsia="Arial" w:hAnsi="Arial"/>
          <w:sz w:val="18"/>
          <w:szCs w:val="18"/>
          <w:color w:val="auto"/>
        </w:rPr>
        <w:t>Customer data is distributed and processed across multiple data centers within a region to provide redundancy. We built our CRM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 instead of traditional backup and restore methodologies.</w:t>
      </w:r>
    </w:p>
    <w:p>
      <w:pPr>
        <w:spacing w:after="0" w:line="18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We leverage industry standard network and perimeter defense technologies, distributed denial-of-service (“DDoS”), protection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web application firewalls) and enterprise grade domain name system (“DNS”),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84"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b w:val="1"/>
          <w:bCs w:val="1"/>
          <w:i w:val="1"/>
          <w:iCs w:val="1"/>
          <w:color w:val="auto"/>
        </w:rPr>
        <w:t>Inbound Marketing</w:t>
      </w:r>
      <w:r>
        <w:rPr>
          <w:rFonts w:ascii="Arial" w:cs="Arial" w:eastAsia="Arial" w:hAnsi="Arial"/>
          <w:sz w:val="18"/>
          <w:szCs w:val="18"/>
          <w:color w:val="auto"/>
        </w:rPr>
        <w:t>. Our marketing team attracts new leads each month through our industry-leading blog and other content, free tools, large social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 following, high search engine rankings and personalized website and email content. In addition, we are generating leads for new and add-on product purchases through content and offers delivered through our CRM Platform to existing customers.</w:t>
      </w:r>
    </w:p>
    <w:p>
      <w:pPr>
        <w:spacing w:after="0" w:line="184"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b w:val="1"/>
          <w:bCs w:val="1"/>
          <w:i w:val="1"/>
          <w:iCs w:val="1"/>
          <w:color w:val="auto"/>
        </w:rPr>
        <w:t xml:space="preserve">Inbound Direct Sales. </w:t>
      </w:r>
      <w:r>
        <w:rPr>
          <w:rFonts w:ascii="Arial" w:cs="Arial" w:eastAsia="Arial" w:hAnsi="Arial"/>
          <w:sz w:val="16"/>
          <w:szCs w:val="16"/>
          <w:color w:val="auto"/>
        </w:rPr>
        <w:t>Our sales representatives are based in our offices in Cambridge, Massachusetts, Dublin, Ireland, Sydney, Australia,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Singapore, Tokyo, Japan, Berlin, Germany, Paris, France, and Bogotá, Columbia, and use phone, email, and web meetings to interact with prospects and customers. The majority of revenue generated by our sales representatives originates with inbound leads produced by our marketing efforts. In addition, through our freemium products and in-product cross-sell offerings, we close new business with little or no interaction by our sales representatives.</w:t>
      </w:r>
    </w:p>
    <w:p>
      <w:pPr>
        <w:spacing w:after="0" w:line="15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b w:val="1"/>
          <w:bCs w:val="1"/>
          <w:i w:val="1"/>
          <w:iCs w:val="1"/>
          <w:color w:val="auto"/>
        </w:rPr>
        <w:t xml:space="preserve">Inbound Channel Sales. </w:t>
      </w:r>
      <w:r>
        <w:rPr>
          <w:rFonts w:ascii="Arial" w:cs="Arial" w:eastAsia="Arial" w:hAnsi="Arial"/>
          <w:sz w:val="18"/>
          <w:szCs w:val="18"/>
          <w:color w:val="auto"/>
        </w:rPr>
        <w:t>In addition to our direct sales team, we have sales representatives that manage relationships with our worldwide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Solutions Partners who both use our platform for their own businesses and also, on a commissioned basis, refer customers to us. These Solutions Partners collaborate with us not only to leverage our software platform and educational resources, but also to build their own business by offering new services and shifting their revenue mix to include recurring revenue streams.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In March 2020, the World Health Organization, or WHO, declared the outbreak of a disease caused by a novel strain of the coronavirus (“COVID-19”) to be a global pandemic (the “pandemic”). This pandemic is having widespread, rapidly-evolving, and unpredictable impacts on global societies, economies, financial markets, and business practices. While the pandemic has not had a material adverse financial impact on our business to date, the broader implications of the pandemic on our results of operations and overall financial performance will depend on future developments and conditions. We are closely monitoring the impact of the pandemic and developments related thereto and our focus remains on promoting employee health and safety, serving our customers, and ensuring business continuity. For discussion regarding the impact of the COVID-19 pandemic on our business and financial results, see “Risk Factors” in Item 1A and “Management’s Discussion and Analysis of Financial Condition and Results of Operations” in Item 7 of this report.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Human Capital Management</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Helping millions of organizations grow better requires a truly remarkable team. We are passionate about building a company culture where people can do their best work. Our company culture and our people are not just human resources priorities but critical business priorities. As a result, we consistently focus on how we can continue to help employees grow, both personally and professionally.</w:t>
      </w:r>
    </w:p>
    <w:p>
      <w:pPr>
        <w:spacing w:after="0" w:line="7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Since 2012, we have expanded beyond our Cambridge, Massachusetts headquarters to several offices globally and have built a large remote community. As of December 31, 2020, we had 4,225 full-time employees, or HubSpotters. Of these, 2,813 are in North and Latin America, 1,082 are in Europe, and 330 are in the Asia Pacific region.</w:t>
      </w:r>
    </w:p>
    <w:p>
      <w:pPr>
        <w:spacing w:after="0" w:line="292" w:lineRule="exact"/>
        <w:rPr>
          <w:sz w:val="20"/>
          <w:szCs w:val="20"/>
          <w:color w:val="auto"/>
        </w:rPr>
      </w:pPr>
    </w:p>
    <w:p>
      <w:pPr>
        <w:ind w:left="740" w:hanging="368"/>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Culture and Values. </w:t>
      </w:r>
      <w:r>
        <w:rPr>
          <w:rFonts w:ascii="Arial" w:cs="Arial" w:eastAsia="Arial" w:hAnsi="Arial"/>
          <w:sz w:val="18"/>
          <w:szCs w:val="18"/>
          <w:color w:val="auto"/>
        </w:rPr>
        <w:t>Our award-winning culture is built on the firm belief that personal and professional growth is just as important as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We believe the best people do not only fit our culture, they further it. In 2013, we published the HubSpot Culture Code, which outlines our core company values, including transparency, autonomy, flexibility, and HEART. HEART is at the center of who we are and represents the five traits we value the most in HubSpotters: Humble, Empathetic, Adaptable, Remarkable and Transparent. The Culture Code has garnered more than five million views and is a top reason candidates say they are drawn to working at HubSpot. A copy of our Culture Code can be found at: https://network.hubspot.com/slides/the-hubspot-culture-code.</w:t>
      </w:r>
    </w:p>
    <w:p>
      <w:pPr>
        <w:spacing w:after="0" w:line="192" w:lineRule="exact"/>
        <w:rPr>
          <w:rFonts w:ascii="Arial" w:cs="Arial" w:eastAsia="Arial" w:hAnsi="Arial"/>
          <w:sz w:val="18"/>
          <w:szCs w:val="18"/>
          <w:color w:val="auto"/>
        </w:rPr>
      </w:pPr>
    </w:p>
    <w:p>
      <w:pPr>
        <w:ind w:left="740" w:right="220" w:hanging="368"/>
        <w:spacing w:after="0" w:line="25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Diversity, Inclusion, and Belonging. </w:t>
      </w:r>
      <w:r>
        <w:rPr>
          <w:rFonts w:ascii="Arial" w:cs="Arial" w:eastAsia="Arial" w:hAnsi="Arial"/>
          <w:sz w:val="18"/>
          <w:szCs w:val="18"/>
          <w:color w:val="auto"/>
        </w:rPr>
        <w:t>We have launched various initiatives to further our goal of being a more diverse, inclusive, and equitable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workplace. We have a team dedicated to diversity, inclusion, and belonging initiatives, including but not limited to: hiring goals focused on increasing black, indigenous and people of color representation company-wide, anti-racism training for employees and managers, key external partnerships, and our annual diversity report. In addition, we have numerous active employee resource groups, including Women@HubSpot, People of Color at HubSpot, BLACKhub, the LGBTQ+ Alliance, and Families@HubSpot, as well as a variety of interest groups globally including age inclusion, ability and accessibility, and veterans.</w:t>
      </w:r>
    </w:p>
    <w:p>
      <w:pPr>
        <w:spacing w:after="0" w:line="192" w:lineRule="exact"/>
        <w:rPr>
          <w:rFonts w:ascii="Arial" w:cs="Arial" w:eastAsia="Arial" w:hAnsi="Arial"/>
          <w:sz w:val="18"/>
          <w:szCs w:val="18"/>
          <w:color w:val="auto"/>
        </w:rPr>
      </w:pPr>
    </w:p>
    <w:p>
      <w:pPr>
        <w:ind w:left="740" w:right="140" w:hanging="368"/>
        <w:spacing w:after="0" w:line="29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Compensation and Benefits. </w:t>
      </w:r>
      <w:r>
        <w:rPr>
          <w:rFonts w:ascii="Arial" w:cs="Arial" w:eastAsia="Arial" w:hAnsi="Arial"/>
          <w:sz w:val="16"/>
          <w:szCs w:val="16"/>
          <w:color w:val="auto"/>
        </w:rPr>
        <w:t>We provide competitive compensation and benefits for our employees globally. Our compensation packages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base salary, commission or semi-annual bonuses, and stock-based compensation. We also offer general employee medical and dental plans, unlimited vacation, life and disability insurance, and Section 401(k) plan matching contributions designed to provide employee benefits competitive with those offered by our peers and other companies with which we compete for talent. In addition, we offer an employee stock purchase plan, under which eligible employees can voluntarily opt in to buy HubSpot common stock at a discount from the fair market value of the stock as determined on specific dates twice a year. We evaluate both compensation and benefit offerings on an annual basis to ensure competitiveness of both programs and we make adjustments as needed.</w:t>
      </w:r>
    </w:p>
    <w:p>
      <w:pPr>
        <w:spacing w:after="0" w:line="166" w:lineRule="exact"/>
        <w:rPr>
          <w:rFonts w:ascii="Arial" w:cs="Arial" w:eastAsia="Arial" w:hAnsi="Arial"/>
          <w:sz w:val="16"/>
          <w:szCs w:val="16"/>
          <w:color w:val="auto"/>
        </w:rPr>
      </w:pPr>
    </w:p>
    <w:p>
      <w:pPr>
        <w:ind w:left="740" w:right="24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Workplace awards. </w:t>
      </w:r>
      <w:r>
        <w:rPr>
          <w:rFonts w:ascii="Arial" w:cs="Arial" w:eastAsia="Arial" w:hAnsi="Arial"/>
          <w:sz w:val="18"/>
          <w:szCs w:val="18"/>
          <w:color w:val="auto"/>
        </w:rPr>
        <w:t>We are proud to be named a Best Place to Work in 2020 and 2021 by Glassdoor. We have also been recognized as a top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workplace in 2020 by Great Place to Work, the Boston Globe, the Boston Business Journal, and more. We are also honored in a number of categories by Comparably's workplace awards in 2020 including Best CEOs, Best Companies for Women, Best Companies for Diversity, Best Overall Company Culture, and a Best Company for Employee Happiness.</w:t>
      </w:r>
    </w:p>
    <w:p>
      <w:pPr>
        <w:spacing w:after="0" w:line="186" w:lineRule="exact"/>
        <w:rPr>
          <w:rFonts w:ascii="Arial" w:cs="Arial" w:eastAsia="Arial" w:hAnsi="Arial"/>
          <w:sz w:val="18"/>
          <w:szCs w:val="18"/>
          <w:color w:val="auto"/>
        </w:rPr>
      </w:pPr>
    </w:p>
    <w:p>
      <w:pPr>
        <w:ind w:left="740" w:right="60" w:hanging="368"/>
        <w:spacing w:after="0" w:line="29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Hybrid Culture and COVID-19. </w:t>
      </w:r>
      <w:r>
        <w:rPr>
          <w:rFonts w:ascii="Arial" w:cs="Arial" w:eastAsia="Arial" w:hAnsi="Arial"/>
          <w:sz w:val="16"/>
          <w:szCs w:val="16"/>
          <w:color w:val="auto"/>
        </w:rPr>
        <w:t>Like other companies, we have learned to adapt during the pandemic. We have prioritized employee safety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transparency during the pandemic and continue to do so, ensuring all employees are set up to work remotely and providing clarity on office closures and evolving guidelines, where possible. In the third quarter of 2020, we made the decision to permanently move to a hybrid workplace model, which means that as of January 1, 2021, our employees will have the option to be fully remote, work full-time from one of our offices, or have the flexibility to work between office and remotely. This move provides our employees with continued flexibility, following the pandemic, to work in person, remotely, or in a hybrid model. This will enable us to grow better in serving our customers.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color w:val="auto"/>
        </w:rPr>
        <w:t>Our market is evolving, highly competitive and fragmented, and we expect competition to increase in the future. We believe the principal competitive factors in our market are:</w:t>
      </w:r>
    </w:p>
    <w:p>
      <w:pPr>
        <w:spacing w:after="0" w:line="62" w:lineRule="exact"/>
        <w:rPr>
          <w:sz w:val="20"/>
          <w:szCs w:val="20"/>
          <w:color w:val="auto"/>
        </w:rPr>
      </w:pPr>
    </w:p>
    <w:p>
      <w:pPr>
        <w:ind w:left="880" w:hanging="373"/>
        <w:spacing w:after="0"/>
        <w:tabs>
          <w:tab w:leader="none" w:pos="8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vision for the market, product strategy and pace of innovation;</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inbound marketing focus and domain expertise;</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integrated all-in-one CRM Platform;</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breadth and depth of product functionality;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 w:name="page12"/>
    <w:bookmarkEnd w:id="11"/>
    <w:p>
      <w:pPr>
        <w:ind w:left="880" w:hanging="373"/>
        <w:spacing w:after="0"/>
        <w:tabs>
          <w:tab w:leader="none" w:pos="8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ease of use;</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scalable, open architecture;</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time to value and total cost of ownership;</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integration with third-party applications and data sources;</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name recognition and brand reputation; and</w:t>
      </w:r>
    </w:p>
    <w:p>
      <w:pPr>
        <w:spacing w:after="0" w:line="128" w:lineRule="exact"/>
        <w:rPr>
          <w:rFonts w:ascii="Courier New" w:cs="Courier New" w:eastAsia="Courier New" w:hAnsi="Courier New"/>
          <w:sz w:val="18"/>
          <w:szCs w:val="18"/>
          <w:color w:val="auto"/>
        </w:rPr>
      </w:pPr>
    </w:p>
    <w:p>
      <w:pPr>
        <w:ind w:left="880" w:hanging="373"/>
        <w:spacing w:after="0"/>
        <w:tabs>
          <w:tab w:leader="none" w:pos="8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“freemium” go-to-market motion.</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compete favorably with respect to all of these factors.</w:t>
      </w:r>
    </w:p>
    <w:p>
      <w:pPr>
        <w:spacing w:after="0" w:line="11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We face intense competition from other software companies that develop marketing, sales, service, and content management software. Our competitors offer various point applications that provide certain functions and features that we provide, including:</w:t>
      </w:r>
    </w:p>
    <w:p>
      <w:pPr>
        <w:spacing w:after="0" w:line="62" w:lineRule="exact"/>
        <w:rPr>
          <w:sz w:val="20"/>
          <w:szCs w:val="20"/>
          <w:color w:val="auto"/>
        </w:rPr>
      </w:pPr>
    </w:p>
    <w:p>
      <w:pPr>
        <w:ind w:left="1000" w:hanging="493"/>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cloud-based marketing automation providers;</w:t>
      </w:r>
    </w:p>
    <w:p>
      <w:pPr>
        <w:spacing w:after="0" w:line="101"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content management systems;</w:t>
      </w:r>
    </w:p>
    <w:p>
      <w:pPr>
        <w:spacing w:after="0" w:line="101"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email marketing software vendors;</w:t>
      </w:r>
    </w:p>
    <w:p>
      <w:pPr>
        <w:spacing w:after="0" w:line="101"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sales force automation and CRM software vendors</w:t>
      </w:r>
    </w:p>
    <w:p>
      <w:pPr>
        <w:spacing w:after="0" w:line="101"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customer service platform vendors; and</w:t>
      </w:r>
    </w:p>
    <w:p>
      <w:pPr>
        <w:spacing w:after="0" w:line="101"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large-scale enterprise suites.</w:t>
      </w:r>
    </w:p>
    <w:p>
      <w:pPr>
        <w:spacing w:after="0" w:line="3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instead of using our CRM Platform, some prospective customers may elect to combine disparate point applications, such as content management, marketing automation, analytics, social media management, ticketing, and conversational bots. We expect that we will develop and introduce, or acquire, applications serving customer-facing and other front office functions.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3 issued U.S. Patents, 2 allowed patent pending issuance, 7 U.S. utility patents applications pending, and 2 provisional patents filed. We intend to pursue and are pursuing additional patent protection to the extent we believe it would be beneficial and cost-effective.</w:t>
      </w:r>
    </w:p>
    <w:p>
      <w:pPr>
        <w:spacing w:after="0" w:line="188"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operate as one operating segment. Operating segments are defined as components of an enterprise for which separate financial information is regularly evaluated by the chief operating decision maker (“CODM”), which is our chief executive officer, in deciding how to allocate resources and assess performance. The CODM evaluates our financial information and resources and assesses the performance of these resources on a consolidated basis. Since we operate in one operating segment, all required financial segment information can be found in the consolidated financial statements. See Footnote 10 within the consolidated financial statements for information by geographic area.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website at http://www.sec.gov that contains our SEC filings and other information regarding issuers that file electronically with the SEC.</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3" w:name="page14"/>
    <w:bookmarkEnd w:id="13"/>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38"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“pandemic”). The pandemic, which has continued to spread,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87"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Our operations have also been impacted by a range of external factors related to the pandemic that are not within our control. For example, many cities, counties, states, and even countries have imposed or may impose a wide range of restrictions on the physical movement of our employees, partners and customers to limit the spread of the pandemic, including physical distancing, travel bans and restrictions, closure of non-essential business, quarantines, work-from-home directives, shelter-in-place orders, and limitations on public gatherings. These measures have caused, and are continuing to cause, business slowdowns or shutdowns in affected areas, both regionally and worldwide. In March 2020, we temporarily closed our global offices, including our corporate headquarters, suspended all company-related travel, and all HubSpot employees globally were required to work from home for several months during the height of the pandemic. We shifted our Solutions Partner events and INBOUND 2020 to virtual-only experiences and have cancelled other customer and industry events. Although we have begun to slowly re-open our offices on a staggered, region-by-region basis in accordance with local authority guidelines, we may deem it advisable to similarly alter, postpone or cancel entirely additional customer, employee or industry events in the future. All of these changes may disrupt the way we operate our business. Given that the economic consequences of the pandemic have been exceptionally challenging for many of our customers and prospects, we have also implemented certain changes to our pricing structure, including reducing prices on our Starter Growth Suite, offering certain product functionality free of charge for a limited time, suspending marketing email send limits for a limited time, and offering a one-time six-month advance on commissions to certain of our Solutions Partners.</w:t>
      </w:r>
    </w:p>
    <w:p>
      <w:pPr>
        <w:spacing w:after="0" w:line="66"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Moreover,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has a substantial impact on the ability of our customers to purchase our offerings, our results of operations and overall financial performance may be harmed.</w:t>
      </w:r>
    </w:p>
    <w:p>
      <w:pPr>
        <w:spacing w:after="0" w:line="68"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duration and extent of the impact from the pandemic depends on future developments that cannot be accurately predicted at this time, such as the severity and transmission rate of the virus,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79" w:lineRule="exact"/>
        <w:rPr>
          <w:sz w:val="20"/>
          <w:szCs w:val="20"/>
          <w:color w:val="auto"/>
        </w:rPr>
      </w:pPr>
    </w:p>
    <w:p>
      <w:pPr>
        <w:ind w:right="80" w:firstLine="749"/>
        <w:spacing w:after="0" w:line="301"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7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marketing, sales, customer service,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17"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cloud-based marketing automation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software vendors;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force automation and CRM software vendors;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large-scale enterprise suites;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service software providers;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content management systems.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 w:name="page16"/>
    <w:bookmarkEnd w:id="15"/>
    <w:p>
      <w:pPr>
        <w:ind w:right="60" w:firstLine="510"/>
        <w:spacing w:after="0" w:line="293"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4"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78"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96"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Our head count and operations have grown substantially. For example, we had 4,225 full-time employees as of December 31, 2020, as compared with 3,387 as of December 31, 2019 and we have opened 8 international offices since 2012. We also plan to open additional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Furthermore, preservation of our corporate culture has been made more difficult as our work force has been working from home in connection with restrictions placed upon businesses due to the COVID-19 pandemic. A long-term continuation of these restrictions could, among other things, negatively impact employee morale and productivity. Any failure to preserve our culture could harm our future success, including our ability to retain and recruit personnel, innovate and operate effectively and execute on our business strategy.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8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addition, to manage the expected continued growth of our head count, operations and geographic expansion, we will need to continue to improve our information technology infrastructure, operational, financial and management systems and procedures. Our anticipated additional head 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and content management capabilities could harm our ability to increase our customer base and achieve broader market acceptance of our platform.</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To increase Total Customers and achieve broader market acceptance of our CRM Platform, we will need to expand our marketing, sales, customer service and content management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line="308" w:lineRule="auto"/>
        <w:rPr>
          <w:sz w:val="20"/>
          <w:szCs w:val="20"/>
          <w:color w:val="auto"/>
        </w:rPr>
      </w:pPr>
      <w:r>
        <w:rPr>
          <w:rFonts w:ascii="Arial" w:cs="Arial" w:eastAsia="Arial" w:hAnsi="Arial"/>
          <w:sz w:val="17"/>
          <w:szCs w:val="17"/>
          <w:color w:val="auto"/>
        </w:rPr>
        <w:t>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7"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212529"/>
        </w:rPr>
        <w:t xml:space="preserve">We rely on our Solutions Partners to provide certain services to our customers, as well as pursue sales of our </w:t>
      </w:r>
      <w:r>
        <w:rPr>
          <w:rFonts w:ascii="Arial" w:cs="Arial" w:eastAsia="Arial" w:hAnsi="Arial"/>
          <w:sz w:val="16"/>
          <w:szCs w:val="16"/>
          <w:color w:val="000000"/>
        </w:rPr>
        <w:t>CRM</w:t>
      </w:r>
      <w:r>
        <w:rPr>
          <w:rFonts w:ascii="Arial" w:cs="Arial" w:eastAsia="Arial" w:hAnsi="Arial"/>
          <w:sz w:val="16"/>
          <w:szCs w:val="16"/>
          <w:color w:val="212529"/>
        </w:rPr>
        <w:t xml:space="preserve">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believe that maintaining our thought leadership position in inbound marketing, sales, services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2"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62"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117" w:lineRule="exact"/>
        <w:rPr>
          <w:sz w:val="20"/>
          <w:szCs w:val="20"/>
          <w:color w:val="auto"/>
        </w:rPr>
      </w:pPr>
    </w:p>
    <w:p>
      <w:pPr>
        <w:ind w:right="260" w:firstLine="510"/>
        <w:spacing w:after="0" w:line="316" w:lineRule="auto"/>
        <w:rPr>
          <w:sz w:val="20"/>
          <w:szCs w:val="20"/>
          <w:color w:val="auto"/>
        </w:rPr>
      </w:pPr>
      <w:r>
        <w:rPr>
          <w:rFonts w:ascii="Arial" w:cs="Arial" w:eastAsia="Arial" w:hAnsi="Arial"/>
          <w:sz w:val="15"/>
          <w:szCs w:val="15"/>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8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6"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8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8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60"/>
        <w:spacing w:after="0" w:line="254" w:lineRule="auto"/>
        <w:rPr>
          <w:sz w:val="20"/>
          <w:szCs w:val="20"/>
          <w:color w:val="auto"/>
        </w:rPr>
      </w:pPr>
      <w:r>
        <w:rPr>
          <w:rFonts w:ascii="Arial" w:cs="Arial" w:eastAsia="Arial" w:hAnsi="Arial"/>
          <w:sz w:val="18"/>
          <w:szCs w:val="18"/>
          <w:color w:val="auto"/>
        </w:rPr>
        <w:t>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9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We have opened 8 international offices since 2012. We also plan to open additional offices in the future. These international offices focus primarily on sales, professional services and support. We also have a development team in Dublin, Ireland. Our current international operations and future initiatives will involve a variety of risks, including:</w:t>
      </w:r>
    </w:p>
    <w:p>
      <w:pPr>
        <w:spacing w:after="0" w:line="79"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maintaining our company culture with a dispersed and distant workforce;</w:t>
      </w:r>
    </w:p>
    <w:p>
      <w:pPr>
        <w:spacing w:after="0" w:line="117"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33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 culture. Any failure to preserve our culture could negatively affect our ability to retain and recruit personnel and to effectively focus on and pursue our corporate objectives. As we grow as and continue to develop the infrastructure of a public company, we may find it difficult to maintain these important aspects of our company culture. If we fail to maintain our company culture, our business may be adversely impacted.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17"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and other key employees in the areas of research and development, marketing, sales, services,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33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38"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95"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62" w:lineRule="exact"/>
        <w:rPr>
          <w:sz w:val="20"/>
          <w:szCs w:val="20"/>
          <w:color w:val="auto"/>
        </w:rPr>
      </w:pPr>
    </w:p>
    <w:p>
      <w:pPr>
        <w:ind w:right="20" w:firstLine="578"/>
        <w:spacing w:after="0" w:line="286"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For example, in March 2019, we had a product outage due to the failure of one of the infrastructure systems that supports multiple parts of our platform.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4" w:lineRule="exact"/>
        <w:rPr>
          <w:sz w:val="20"/>
          <w:szCs w:val="20"/>
          <w:color w:val="auto"/>
        </w:rPr>
      </w:pPr>
    </w:p>
    <w:p>
      <w:pPr>
        <w:ind w:firstLine="578"/>
        <w:spacing w:after="0" w:line="259" w:lineRule="auto"/>
        <w:rPr>
          <w:sz w:val="20"/>
          <w:szCs w:val="20"/>
          <w:color w:val="auto"/>
        </w:rPr>
      </w:pPr>
      <w:r>
        <w:rPr>
          <w:rFonts w:ascii="Arial" w:cs="Arial" w:eastAsia="Arial" w:hAnsi="Arial"/>
          <w:sz w:val="18"/>
          <w:szCs w:val="18"/>
          <w:color w:val="auto"/>
        </w:rPr>
        <w:t>In addition, third-party apps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CRM Platform or services to cover the changes. As a result, our operating results may be significantly worse than forecasted.</w:t>
      </w:r>
    </w:p>
    <w:p>
      <w:pPr>
        <w:spacing w:after="0" w:line="2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4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2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84"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7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Because the techniques used by computer programmers who may attempt to penetrate and sabotage our network security or our website change frequently and may not be recognized until launched against a target, we may be unable to anticipate these techniques.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60" w:firstLine="510"/>
        <w:spacing w:after="0" w:line="290" w:lineRule="auto"/>
        <w:rPr>
          <w:sz w:val="20"/>
          <w:szCs w:val="20"/>
          <w:color w:val="auto"/>
        </w:rPr>
      </w:pPr>
      <w:r>
        <w:rPr>
          <w:rFonts w:ascii="Arial" w:cs="Arial" w:eastAsia="Arial" w:hAnsi="Arial"/>
          <w:sz w:val="16"/>
          <w:szCs w:val="16"/>
          <w:color w:val="auto"/>
        </w:rPr>
        <w:t>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65"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4" w:lineRule="exact"/>
        <w:rPr>
          <w:sz w:val="20"/>
          <w:szCs w:val="20"/>
          <w:color w:val="auto"/>
        </w:rPr>
      </w:pPr>
    </w:p>
    <w:p>
      <w:pPr>
        <w:ind w:right="20" w:firstLine="510"/>
        <w:spacing w:after="0" w:line="281"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03" w:lineRule="exact"/>
        <w:rPr>
          <w:sz w:val="20"/>
          <w:szCs w:val="20"/>
          <w:color w:val="auto"/>
        </w:rPr>
      </w:pPr>
    </w:p>
    <w:p>
      <w:pPr>
        <w:ind w:firstLine="578"/>
        <w:spacing w:after="0" w:line="286" w:lineRule="auto"/>
        <w:rPr>
          <w:sz w:val="20"/>
          <w:szCs w:val="20"/>
          <w:color w:val="auto"/>
        </w:rPr>
      </w:pPr>
      <w:r>
        <w:rPr>
          <w:rFonts w:ascii="Arial" w:cs="Arial" w:eastAsia="Arial" w:hAnsi="Arial"/>
          <w:sz w:val="16"/>
          <w:szCs w:val="16"/>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71" w:lineRule="exact"/>
        <w:rPr>
          <w:sz w:val="20"/>
          <w:szCs w:val="20"/>
          <w:color w:val="auto"/>
        </w:rPr>
      </w:pPr>
    </w:p>
    <w:p>
      <w:pPr>
        <w:ind w:right="80" w:firstLine="578"/>
        <w:spacing w:after="0" w:line="291"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68" w:lineRule="exact"/>
        <w:rPr>
          <w:sz w:val="20"/>
          <w:szCs w:val="20"/>
          <w:color w:val="auto"/>
        </w:rPr>
      </w:pPr>
    </w:p>
    <w:p>
      <w:pPr>
        <w:ind w:right="220" w:firstLine="578"/>
        <w:spacing w:after="0" w:line="279"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1" w:lineRule="exact"/>
        <w:rPr>
          <w:sz w:val="20"/>
          <w:szCs w:val="20"/>
          <w:color w:val="auto"/>
        </w:rPr>
      </w:pPr>
    </w:p>
    <w:p>
      <w:pPr>
        <w:ind w:right="20" w:firstLine="578"/>
        <w:spacing w:after="0" w:line="272"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33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8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personal information of individuals. In the United States, the FTC and many state attorneys general are applying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20"/>
        <w:spacing w:after="0" w:line="255" w:lineRule="auto"/>
        <w:rPr>
          <w:sz w:val="20"/>
          <w:szCs w:val="20"/>
          <w:color w:val="auto"/>
        </w:rPr>
      </w:pPr>
      <w:r>
        <w:rPr>
          <w:rFonts w:ascii="Arial" w:cs="Arial" w:eastAsia="Arial" w:hAnsi="Arial"/>
          <w:sz w:val="18"/>
          <w:szCs w:val="18"/>
          <w:color w:val="auto"/>
        </w:rPr>
        <w:t>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9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or CCPA, that, among other things, require covered companies to provide new disclosures to California consumers and afford such consumers new abilities to opt-out of certain sales of personal information. The CCPA recently was amended and it is not yet fully clear how the CCPA will be enforced and how certain of its requirements will be interpreted. We cannot yet predict the impact of the CCPA on our business or operations, but it may require us to modify our data processing practices and policies and to incur substantial costs and expenses in an effort to comply.</w:t>
      </w:r>
    </w:p>
    <w:p>
      <w:pPr>
        <w:spacing w:after="0" w:line="16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2" w:lineRule="exact"/>
        <w:rPr>
          <w:sz w:val="20"/>
          <w:szCs w:val="20"/>
          <w:color w:val="auto"/>
        </w:rPr>
      </w:pPr>
    </w:p>
    <w:p>
      <w:pPr>
        <w:ind w:right="320" w:firstLine="510"/>
        <w:spacing w:after="0" w:line="255" w:lineRule="auto"/>
        <w:rPr>
          <w:sz w:val="20"/>
          <w:szCs w:val="20"/>
          <w:color w:val="auto"/>
        </w:rPr>
      </w:pPr>
      <w:r>
        <w:rPr>
          <w:rFonts w:ascii="Arial" w:cs="Arial" w:eastAsia="Arial" w:hAnsi="Arial"/>
          <w:sz w:val="18"/>
          <w:szCs w:val="18"/>
          <w:color w:val="auto"/>
        </w:rPr>
        <w:t>Certain other state laws impose similar privacy obligations and we also expect anticipate that more states to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addition, several foreign jurisdictions, including the European Union and Canada, have regulations dealing with the collection and use of personal information obtained from their residents, which are often more restrictive than those in the U.S.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6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Within the European Union, legislators have adopted the GDPR and which became effective in May 2018 which may impose additional obligations and risk upon our business and which may increase substantially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The United Kingdom, however, is now regarded as a third country under the European Union’s GDPR which means that transfers of personal data from the European Economic Area to the United Kingdom will be restricted unless an appropriate safeguard, as recognized by the European Union’s GDPR, has been put in place. However, under the EU-UK Trade Cooperation Agreement it is lawful to transfer personal data between the United Kingdom and the European Economic Area for a 6 month period following the end of the transition period, with a view to achieving an adequacy decision from the European Commission during that period.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7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t>invalidated the EU–US Privacy Shield ruling that it failed to offer adequate protections for European Union personal data transferred to the United States. The European Court of Justice, in the same decision, deemed that the Standard Contractual Clauses, or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 who hosts personal data within the European Union instead of doing business with us.</w:t>
      </w:r>
    </w:p>
    <w:p>
      <w:pPr>
        <w:spacing w:after="0" w:line="174"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 regulatory framework governing the collection, processing, storage, use and sharing of certain information, particularly financial and other personal information, is rapidly evolving and is likely to continue to be subject to uncertainty and varying interpretations. It is possible that these laws may be interpreted and applied in a manner that is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96"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00" w:lineRule="exact"/>
        <w:rPr>
          <w:sz w:val="20"/>
          <w:szCs w:val="20"/>
          <w:color w:val="auto"/>
        </w:rPr>
      </w:pPr>
    </w:p>
    <w:p>
      <w:pPr>
        <w:spacing w:after="0" w:line="2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2"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17" w:lineRule="exact"/>
        <w:rPr>
          <w:sz w:val="20"/>
          <w:szCs w:val="20"/>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Digital Millennium Copyright Act of 1998, or DMCA, provides recourse for owners of copyrighted material who believe that their rights under U.S. copyright law have been infringed on the Internet. Under the DMCA, based on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left="1000" w:right="140"/>
        <w:spacing w:after="0" w:line="254" w:lineRule="auto"/>
        <w:rPr>
          <w:sz w:val="20"/>
          <w:szCs w:val="20"/>
          <w:color w:val="auto"/>
        </w:rPr>
      </w:pPr>
      <w:r>
        <w:rPr>
          <w:rFonts w:ascii="Arial" w:cs="Arial" w:eastAsia="Arial" w:hAnsi="Arial"/>
          <w:sz w:val="18"/>
          <w:szCs w:val="18"/>
          <w:color w:val="auto"/>
        </w:rPr>
        <w:t>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87" w:lineRule="exact"/>
        <w:rPr>
          <w:sz w:val="20"/>
          <w:szCs w:val="20"/>
          <w:color w:val="auto"/>
        </w:rPr>
      </w:pPr>
    </w:p>
    <w:p>
      <w:pPr>
        <w:ind w:left="1000" w:hanging="493"/>
        <w:spacing w:after="0" w:line="25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6" w:lineRule="exact"/>
        <w:rPr>
          <w:rFonts w:ascii="Arial" w:cs="Arial" w:eastAsia="Arial" w:hAnsi="Arial"/>
          <w:sz w:val="18"/>
          <w:szCs w:val="18"/>
          <w:color w:val="auto"/>
        </w:rPr>
      </w:pPr>
    </w:p>
    <w:p>
      <w:pPr>
        <w:ind w:left="1000" w:right="80" w:hanging="493"/>
        <w:spacing w:after="0" w:line="289"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30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62" w:lineRule="exact"/>
        <w:rPr>
          <w:sz w:val="20"/>
          <w:szCs w:val="20"/>
          <w:color w:val="auto"/>
        </w:rPr>
      </w:pPr>
    </w:p>
    <w:p>
      <w:pPr>
        <w:ind w:right="240" w:firstLine="510"/>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7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ind w:right="240"/>
        <w:spacing w:after="0" w:line="375"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CRM Platform and could impair our attractiveness to customers, which would harm our business.</w:t>
      </w:r>
    </w:p>
    <w:p>
      <w:pPr>
        <w:spacing w:after="0" w:line="181"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76"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State, local and foreign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Changes in tax laws, such as tax reform in the United States or changes in tax laws resulting from the Organization for Economic Co-operation and Development’s multi-jurisdictional plan of action to address “base erosion and profit shifting,” could impact our effective tax rate.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9"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As of December 31, 2020, we had $760 million of U.S. federal and $508 million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Our U.S federal and certain state net operating loss carryforwards incurred for periods beginning on or after January 1, 2018 would not expire unused because they can be carried forward indefinitely.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generated net losses of $85.0 million in 2020, $53.7 million in 2019, and $63.8 million in 2018. As of December 31, 2020, we had an accumulated deficit of $483.2 million. We will need to generate and sustain increased revenue levels in future periods to become profitable, and, even if we do, we may not be able to maintain or increase our level of profitability. We intend to continue to expend significant funds to grow our marketing, sales, customer service,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significantly decrease.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26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From time to time, we may invest in social impact investment funds. For example, in December 2020, we committed $20 million to social impact investing. Our first allocation of those funds was a $12.5 million investment in the Black Economic Development Fund (“BEDF”). The BEDF is managed by the Local Initiatives Support Corporation (“LISC”), which expects to make investments from the BEDF in the form of bank deposits, bridge financing, and other financing to Black-led businesses, financial institutions, and anchor institutions.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3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spacing w:after="0" w:line="79"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7" w:lineRule="exact"/>
        <w:rPr>
          <w:rFonts w:ascii="Arial" w:cs="Arial" w:eastAsia="Arial" w:hAnsi="Arial"/>
          <w:sz w:val="18"/>
          <w:szCs w:val="18"/>
          <w:color w:val="auto"/>
        </w:rPr>
      </w:pPr>
    </w:p>
    <w:p>
      <w:pPr>
        <w:ind w:left="1000" w:right="9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our CRM Platform subscriptions effectively so that we are able to attract and retain customers without compromising our profitability;</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new customers for our marketing, sales, customer service, and content management software, increasing our existing customers’ use of our platform and providing our customers with excellent customer support;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renewal rates and the amounts for which agreements are renewed;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awareness of our thought leadership and brand;</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40"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0" w:name="page31"/>
    <w:bookmarkEnd w:id="30"/>
    <w:p>
      <w:pPr>
        <w:jc w:val="both"/>
        <w:ind w:right="180" w:firstLine="510"/>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sz w:val="20"/>
          <w:szCs w:val="20"/>
          <w:color w:val="auto"/>
        </w:rPr>
      </w:pPr>
    </w:p>
    <w:p>
      <w:pPr>
        <w:jc w:val="both"/>
        <w:ind w:right="500" w:firstLine="510"/>
        <w:spacing w:after="0" w:line="311" w:lineRule="auto"/>
        <w:rPr>
          <w:sz w:val="20"/>
          <w:szCs w:val="20"/>
          <w:color w:val="auto"/>
        </w:rPr>
      </w:pPr>
      <w:r>
        <w:rPr>
          <w:rFonts w:ascii="Arial" w:cs="Arial" w:eastAsia="Arial" w:hAnsi="Arial"/>
          <w:sz w:val="16"/>
          <w:szCs w:val="16"/>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2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33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76"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We incurred indebtedness in the aggregate principal amount of $400.0 million in connection with the issuance of our 0.25% convertible senior notes due June 1, 2022 (the “2022 Notes”). In June 2020, the Company exchanged approximately $272.1 million in aggregate principal amount of the 2022 Notes in privately-negotiated transactions for an aggregate of approximately $283.0 million in cash and 1.6 million shares of common stock. As of December 31, 2020, $125.8 million of principal remains outstanding on the 2022 Notes. In June 2020, concurrent with the partial repurchase of the 2022 Notes, we incurred indebtedness in the aggregate principal amount of $460.0 million in connection with the issuance of our 0.375% convertible senior notes due June 1, 2025 (the “2025 Notes”) and together with the 2022 Notes (the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63"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70" w:lineRule="exact"/>
        <w:rPr>
          <w:sz w:val="20"/>
          <w:szCs w:val="20"/>
          <w:color w:val="auto"/>
        </w:rPr>
      </w:pPr>
    </w:p>
    <w:p>
      <w:pPr>
        <w:ind w:right="1020" w:firstLine="510"/>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62" w:lineRule="exact"/>
        <w:rPr>
          <w:sz w:val="20"/>
          <w:szCs w:val="20"/>
          <w:color w:val="auto"/>
        </w:rPr>
      </w:pPr>
    </w:p>
    <w:p>
      <w:pPr>
        <w:ind w:left="1000" w:right="4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5" w:lineRule="exact"/>
        <w:rPr>
          <w:sz w:val="20"/>
          <w:szCs w:val="20"/>
          <w:color w:val="auto"/>
        </w:rPr>
      </w:pPr>
    </w:p>
    <w:p>
      <w:pPr>
        <w:ind w:right="600" w:firstLine="510"/>
        <w:spacing w:after="0" w:line="308"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62"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Because the last reported sale price of our common stock for at least 20 trading days during the period of 30 consecutive trading days ending on the last trading day of the calendar quarter ended December 31, 2020 was equal to or greater than 130% of the applicable conversion price on each applicable trading day, the 2022 Notes are convertible at the option of the holders thereof during the calendar quarter ending March 31, 2021. In the fourth quarter of 2020, the Company settled $2 million of principal balance of the 2022 Notes in cash. Between the end of the most recently completed fiscal quarter and February 12, 2021, the Company additionally settled $8.3 million of principal balance of the 2022 Notes in cash in response to conversion notices received prior to December 31, 2020. As of February 12, 2021, the Company has received additional conversion notices subsequent to year-end for approximately $36.1 million of the principal balance of the 2022 Notes, which will be settled in cash during the quarter ended March 31, 2021. Because the last reported sale price of the Company’s common stock for at least 20 trading days during the period of 30 consecutive trading days ending on the last trading day of the calendar quarter ended December 31, 2020 was equal to or greater than 130% of the applicable conversion price on each applicable trading day, the 2025 Notes are convertible at the option of the holders thereof during the calendar quarter ending March 31, 2021. As of February 12, 2021, no holders have converted or indicated their intention to convert the 2025 Notes. Whether the Notes that remain outstanding will be convertible following the calendar quarter ending December 31, 2020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 The Notes are currently classified as long-term debt, except for $7.8 million, classified as current as of December 31, 2020, for conversion notices received prior to year-end, for which the principal amount, net of discount, is expected to be cash-settled within the next fiscal quarter.</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2"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Under Financial Accounting Standards Board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2" w:name="page33"/>
    <w:bookmarkEnd w:id="32"/>
    <w:p>
      <w:pPr>
        <w:ind w:firstLine="578"/>
        <w:spacing w:after="0" w:line="257"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88" w:lineRule="exact"/>
        <w:rPr>
          <w:sz w:val="20"/>
          <w:szCs w:val="20"/>
          <w:color w:val="auto"/>
        </w:rPr>
      </w:pPr>
    </w:p>
    <w:p>
      <w:pPr>
        <w:ind w:firstLine="578"/>
        <w:spacing w:after="0" w:line="293" w:lineRule="auto"/>
        <w:rPr>
          <w:sz w:val="20"/>
          <w:szCs w:val="20"/>
          <w:color w:val="auto"/>
        </w:rPr>
      </w:pPr>
      <w:r>
        <w:rPr>
          <w:rFonts w:ascii="Arial" w:cs="Arial" w:eastAsia="Arial" w:hAnsi="Arial"/>
          <w:sz w:val="16"/>
          <w:szCs w:val="16"/>
          <w:color w:val="auto"/>
        </w:rPr>
        <w:t>In August 2020, the FASB issued guidance simplifying ASC 470-20 by reducing the number of accounting models for convertible debt instruments and convertible preferred stock. Under the new guidance, we will no longer be required to separately account for the liability and equity components of convertible debt instruments. This will have the impact of reducing non-cash interest expense, and thereby increasing net income (or decreasing net losses). Additionally, the new guidance eliminates the treasury stock method for calculating diluted earnings per share for convertible instruments and requires use of the “if-converted” method, which would decrease (increase) our diluted net income (loss) per share. The new standard is effective beginning in January 2022, with early adoption permitted. We are currently evaluating the impact of the new guidance on our consolidated financial statements.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$420.61, through December 31, 2020. The market price of our common stock may fluctuate significantly in response to numerous factors, many of which are beyond our control, including:</w:t>
      </w:r>
    </w:p>
    <w:p>
      <w:pPr>
        <w:spacing w:after="0" w:line="79" w:lineRule="exact"/>
        <w:rPr>
          <w:sz w:val="20"/>
          <w:szCs w:val="20"/>
          <w:color w:val="auto"/>
        </w:rPr>
      </w:pPr>
    </w:p>
    <w:p>
      <w:pPr>
        <w:ind w:left="1000" w:right="3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000" w:right="380" w:hanging="493"/>
        <w:spacing w:after="0" w:line="342"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15" w:lineRule="exact"/>
        <w:rPr>
          <w:rFonts w:ascii="Arial" w:cs="Arial" w:eastAsia="Arial" w:hAnsi="Arial"/>
          <w:sz w:val="16"/>
          <w:szCs w:val="16"/>
          <w:color w:val="auto"/>
        </w:rPr>
      </w:pPr>
    </w:p>
    <w:p>
      <w:pPr>
        <w:ind w:left="1000" w:right="5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key personnel;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4"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88" w:lineRule="exact"/>
        <w:rPr>
          <w:sz w:val="20"/>
          <w:szCs w:val="20"/>
          <w:color w:val="auto"/>
        </w:rPr>
      </w:pPr>
    </w:p>
    <w:p>
      <w:pPr>
        <w:ind w:firstLine="578"/>
        <w:spacing w:after="0" w:line="289"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66" w:lineRule="exact"/>
        <w:rPr>
          <w:sz w:val="20"/>
          <w:szCs w:val="20"/>
          <w:color w:val="auto"/>
        </w:rPr>
      </w:pPr>
    </w:p>
    <w:p>
      <w:pPr>
        <w:ind w:right="140" w:firstLine="57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1000" w:right="7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a classified board of directors whose members serve staggered three-year terms;</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modify, alter or repeal our amended and restated bylaws;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4" w:name="page35"/>
    <w:bookmarkEnd w:id="34"/>
    <w:p>
      <w:pPr>
        <w:ind w:right="100" w:firstLine="510"/>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right="420"/>
        <w:spacing w:after="0" w:line="277" w:lineRule="auto"/>
        <w:rPr>
          <w:sz w:val="20"/>
          <w:szCs w:val="20"/>
          <w:color w:val="auto"/>
        </w:rPr>
      </w:pPr>
      <w:r>
        <w:rPr>
          <w:rFonts w:ascii="Arial" w:cs="Arial" w:eastAsia="Arial" w:hAnsi="Arial"/>
          <w:sz w:val="18"/>
          <w:szCs w:val="18"/>
          <w:color w:val="auto"/>
        </w:rPr>
        <w:t>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occupy approximately 443,000 square feet of office space in Cambridge, Massachusetts pursuant to lease agreements that expire through 2029. We also maintain offices in Portsmouth, New Hampshire, Dublin, Ireland, Sydney, Australia, Singapore, Tokyo, Japan, Berlin, Germany, Bogotá, Colombia, Paris, France, and Ghent, Belgium. We believe that our current facilities are suitable and adequate to meet our current needs. We intend to add new facilities or expand existing facilities as we add employees, and we believe that suitable additional or substitute space will be available as needed to accommodate any such expansion of our operations.</w:t>
      </w:r>
    </w:p>
    <w:p>
      <w:pPr>
        <w:spacing w:after="0" w:line="37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3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540"/>
        <w:spacing w:after="0" w:line="377"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 for Common Stock</w:t>
      </w:r>
    </w:p>
    <w:p>
      <w:pPr>
        <w:spacing w:after="0" w:line="2"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Our common stock has been listed on the New York Stock Exchange under the symbol “HUBS” since October 9, 2014. Prior to that date, there was no public trading market for our common stock. Our initial public offering was priced at $25.00 per share on October 8, 2014.</w:t>
      </w:r>
    </w:p>
    <w:p>
      <w:pPr>
        <w:spacing w:after="0" w:line="14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February 12, 2021, we had 27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ind w:right="520" w:firstLine="510"/>
        <w:spacing w:after="0" w:line="311"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149"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following graph shows a comparison of the cumulative total return for our common stock, the Nasdaq Computer Index and the S&amp;P 500 Index for each of the last six fiscal years ended December 31, 2020. The graph assumes an initial investment of $100 in each of the Company’s common stock, the Nasdaq Computer Index and the S&amp;P 500.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103505</wp:posOffset>
            </wp:positionV>
            <wp:extent cx="6172200" cy="2708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6"/>
              </w:rPr>
              <w:t>12/31/2014</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6"/>
              </w:rPr>
              <w:t>12/31/2015</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1"/>
              </w:rPr>
              <w:t>12/31/2016</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12/31/2017</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12/31/2018</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4"/>
              </w:rPr>
              <w:t>12/31/2019</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12/31/2020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HubSpot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S&amp;P 500 Index</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Nasdaq Computer Index</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414"/>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Convertible Senior Notes, Convertible Note Hedge, and Warrant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May 2017, we issued $400.0 million aggregate principal amount of 0.25% convertible senior notes (the “2022 Notes”) due June 1, 2022, of which $272.1 million was repurchased in June 2020 and $2 million was settled in cash during the fourth quarter of 2020. As of December 31, 2020, $125.8 million of principal remains outstanding on the 2022 Notes. Also in June 2020, we issued $460 million aggregate principal amount of convertible senior notes due June 1, 2025 (the “2025 Notes”).</w:t>
      </w:r>
    </w:p>
    <w:p>
      <w:pPr>
        <w:spacing w:after="0" w:line="7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connection with the offering of the 2025 Notes, the Company purchased capped call options (“Capped Call Options”) that give the Company the option to purchase up to approximately 1.6 million shares of its common stock for $282.52 per share. In connection with the offering of the 2022 Notes, the Company entered into convertible note hedge transactions (the “Convertible Note Hedges”) with certain counterparties in which the Company has the option to purchase (subject to adjustment for certain specified events) shares of the Company’s common stock at a price of approximately $94.77 per share. In addition, the Company sold warrants (the “Warrants”) to certain bank counterparties whereby the holders of the warrants have the option to purchase (subject to adjustment for certain specified events) shares of the Company’s common stock at a price of $115.8 per share. As of December 31, 2020, Convertible Note Hedges corresponding to approximately 1.3 million shares of the Company’s common stock and Warrants corresponding to approximately 1.3 million shares of the Company’s common stock remain outstanding. See Note 9 in the Notes to the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8" w:name="page39"/>
    <w:bookmarkEnd w:id="38"/>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You should read the selected consolidated financial data below in conjunction with “Management’s discussion and analysis of financial condition and results of operations” and the consolidated financial statements, related notes and other financial information included elsewhere in this Annual Report on Form 10-K. 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157"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2020, 2019, and 2018, and the consolidated balance sheet data as of December 31, 2020 and 2019, have been derived from our audited consolidated financial statements included elsewhere in this Annual Report on Form 10-K. The consolidated statements of operations data for the years ended December 31, 2017 and 2016 and the consolidated balance sheet data as of December 31, 2018, 2017 and 2016 have been derived from our audited consolidated financial statements not included in this Annual Report on Form 10-K.</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80" w:type="dxa"/>
            <w:vAlign w:val="bottom"/>
            <w:gridSpan w:val="9"/>
          </w:tcPr>
          <w:p>
            <w:pPr>
              <w:jc w:val="right"/>
              <w:ind w:right="661"/>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w:t>
            </w:r>
          </w:p>
        </w:tc>
        <w:tc>
          <w:tcPr>
            <w:tcW w:w="9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853,025</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646,266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356,727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254,775</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 and other</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16,192</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883,026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270,967</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Cost of revenue: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 (1)</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 and other (1)</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cost of revenue</w:t>
            </w:r>
          </w:p>
        </w:tc>
        <w:tc>
          <w:tcPr>
            <w:tcW w:w="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100,357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gross profit</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716,067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412,623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209,102</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Research and development (1)</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205,589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117,603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45,997</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 (1)</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162,647</w:t>
            </w:r>
          </w:p>
        </w:tc>
        <w:tc>
          <w:tcPr>
            <w:tcW w:w="100" w:type="dxa"/>
            <w:vAlign w:val="bottom"/>
            <w:shd w:val="clear" w:color="auto" w:fill="CFF0FC"/>
          </w:tcPr>
          <w:p>
            <w:pPr>
              <w:spacing w:after="0"/>
              <w:rPr>
                <w:sz w:val="19"/>
                <w:szCs w:val="19"/>
                <w:color w:val="auto"/>
              </w:rPr>
            </w:pPr>
          </w:p>
        </w:tc>
      </w:tr>
      <w:tr>
        <w:trPr>
          <w:trHeight w:val="229"/>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 (1)</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45,120</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766,895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591,893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460,881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253,764</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(44,662)</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(37,049)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(22,818)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(21,386)</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(13,181)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9"/>
                <w:szCs w:val="19"/>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(956)</w:t>
            </w:r>
          </w:p>
        </w:tc>
      </w:tr>
      <w:tr>
        <w:trPr>
          <w:trHeight w:val="223"/>
        </w:trPr>
        <w:tc>
          <w:tcPr>
            <w:tcW w:w="4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 before income tax expense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(45,029)</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(2,973)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(1,868)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r>
      <w:tr>
        <w:trPr>
          <w:trHeight w:val="26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(85,031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(53,746</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(63,828</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(45,562</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 (2)</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8"/>
                <w:szCs w:val="18"/>
                <w:color w:val="auto"/>
              </w:rPr>
            </w:pPr>
          </w:p>
        </w:tc>
      </w:tr>
      <w:tr>
        <w:trPr>
          <w:trHeight w:val="215"/>
        </w:trPr>
        <w:tc>
          <w:tcPr>
            <w:tcW w:w="4540" w:type="dxa"/>
            <w:vAlign w:val="bottom"/>
          </w:tcPr>
          <w:p>
            <w:pPr>
              <w:spacing w:after="0"/>
              <w:rPr>
                <w:sz w:val="20"/>
                <w:szCs w:val="20"/>
                <w:color w:val="auto"/>
              </w:rPr>
            </w:pPr>
            <w:r>
              <w:rPr>
                <w:rFonts w:ascii="Arial" w:cs="Arial" w:eastAsia="Arial" w:hAnsi="Arial"/>
                <w:sz w:val="18"/>
                <w:szCs w:val="18"/>
                <w:color w:val="auto"/>
              </w:rPr>
              <w:t>Weighted average common shares used in computing</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basic and diluted net loss per common share (2)</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44,757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38,529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35,197</w:t>
            </w:r>
          </w:p>
        </w:tc>
        <w:tc>
          <w:tcPr>
            <w:tcW w:w="100" w:type="dxa"/>
            <w:vAlign w:val="bottom"/>
          </w:tcPr>
          <w:p>
            <w:pPr>
              <w:spacing w:after="0"/>
              <w:rPr>
                <w:sz w:val="20"/>
                <w:szCs w:val="20"/>
                <w:color w:val="auto"/>
              </w:rPr>
            </w:pPr>
          </w:p>
        </w:tc>
      </w:tr>
    </w:tbl>
    <w:p>
      <w:pPr>
        <w:spacing w:after="0" w:line="24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 included in the consolidated statements of operations data above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5"/>
        </w:trPr>
        <w:tc>
          <w:tcPr>
            <w:tcW w:w="3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4,408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3,127</w:t>
            </w:r>
          </w:p>
        </w:tc>
        <w:tc>
          <w:tcPr>
            <w:tcW w:w="2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1,476</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r>
      <w:tr>
        <w:trPr>
          <w:trHeight w:val="229"/>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8,828</w:t>
            </w:r>
          </w:p>
        </w:tc>
        <w:tc>
          <w:tcPr>
            <w:tcW w:w="10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13,352</w:t>
            </w:r>
          </w:p>
        </w:tc>
        <w:tc>
          <w:tcPr>
            <w:tcW w:w="100" w:type="dxa"/>
            <w:vAlign w:val="bottom"/>
            <w:shd w:val="clear" w:color="auto" w:fill="CFF0FC"/>
          </w:tcPr>
          <w:p>
            <w:pPr>
              <w:spacing w:after="0"/>
              <w:rPr>
                <w:sz w:val="19"/>
                <w:szCs w:val="19"/>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10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121,488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97,754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76,261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62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 to our consolidated financial statements for further details on the calculation of basic and diluted net loss per share attributable to common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12"/>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1,281,893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1,015,280</w:t>
            </w:r>
          </w:p>
        </w:tc>
        <w:tc>
          <w:tcPr>
            <w:tcW w:w="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603,700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535,737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150,068</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excluding deferred revenue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7"/>
              </w:rPr>
              <w:t>1,324,286</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1,018,265</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658,714</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561,085</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144,296</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1,973,366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1,569,268</w:t>
            </w: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833,953</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712,175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259,755</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316,502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234,088</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185,484</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139,157</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96,597</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309,684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267,829</w:t>
            </w: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478,936</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340,564</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318,782</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298,447</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1,210,711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919,310</w:t>
            </w:r>
          </w:p>
        </w:tc>
        <w:tc>
          <w:tcPr>
            <w:tcW w:w="38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589,312</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501,815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141,055</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762,655</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244,641</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210,360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118,700</w:t>
            </w:r>
          </w:p>
        </w:tc>
        <w:tc>
          <w:tcPr>
            <w:tcW w:w="100" w:type="dxa"/>
            <w:vAlign w:val="bottom"/>
            <w:shd w:val="clear" w:color="auto" w:fill="CFF0FC"/>
          </w:tcPr>
          <w:p>
            <w:pPr>
              <w:spacing w:after="0"/>
              <w:rPr>
                <w:sz w:val="19"/>
                <w:szCs w:val="19"/>
                <w:color w:val="auto"/>
              </w:rPr>
            </w:pPr>
          </w:p>
        </w:tc>
      </w:tr>
      <w:tr>
        <w:trPr>
          <w:trHeight w:val="675"/>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12"/>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0" w:name="page41"/>
    <w:bookmarkEnd w:id="40"/>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and content management system (“CMS”) Hub as well as other tools and integrations that enable companies to attract, engage, and delight customers throughout the customer experience.</w:t>
      </w:r>
    </w:p>
    <w:p>
      <w:pPr>
        <w:spacing w:after="0" w:line="76"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In addition, the CRM Platform was built to easily and seamlessly integrate third party applications to further customize to an individual company’s industry or needs.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66" w:lineRule="exact"/>
        <w:rPr>
          <w:sz w:val="20"/>
          <w:szCs w:val="20"/>
          <w:color w:val="auto"/>
        </w:rPr>
      </w:pPr>
    </w:p>
    <w:p>
      <w:pPr>
        <w:ind w:right="160" w:firstLine="510"/>
        <w:spacing w:after="0" w:line="290"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December 31, 2020, we had 4,225 full-time employees and 103,994 Total Customers of varying sizes in more than 120 countries, representing almost every industry.</w:t>
      </w:r>
    </w:p>
    <w:p>
      <w:pPr>
        <w:spacing w:after="0" w:line="16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CRM Platform is a multi-tenant, single code-based and globally available software-as-a-service product delivered through web browsers or mobile applications. We sell our CRM Platform on a subscription basis. Our total revenue increased to $883.0 million in 2020, from $674.9 million in 2019, and from $513.0 million in 2018, representing year-over-year increases of 31% in 2020 and 32% in 2019. We had net losses of $85.0 million in 2020, $53.7 million in 2019, and $63.8 million in 2018, primarily due to investments in our growth.</w:t>
      </w:r>
    </w:p>
    <w:p>
      <w:pPr>
        <w:spacing w:after="0" w:line="18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derive most of our revenue from subscriptions to our cloud-based CRM Platform and related professional services, which consist of customer on-boarding and training services. Subscription revenue accounted for 97% of our total revenue for the year ended December 31, 2020, 96% of our total revenue for the year ended December 31, 2019 and 95% of our total revenue for the year ended December 31, 2018.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7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4"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Many of our customers purchase on-boarding and training services which are designed to help customers enhance their ability to attract, engage and delight their customers using our CRM Platform. Professional services and other revenue accounted for 3% of total revenue for the year ended December 31, 2020, 4% of total revenue for the year ended December 31, 2019 and 5% of total revenue for the year ended December 31, 2018. We expect professional services and other margins to range from a moderate loss to breakeven for the foreseeable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firstLine="590"/>
        <w:spacing w:after="0" w:line="255" w:lineRule="auto"/>
        <w:rPr>
          <w:sz w:val="20"/>
          <w:szCs w:val="20"/>
          <w:color w:val="auto"/>
        </w:rPr>
      </w:pPr>
      <w:r>
        <w:rPr>
          <w:rFonts w:ascii="Arial" w:cs="Arial" w:eastAsia="Arial" w:hAnsi="Arial"/>
          <w:sz w:val="18"/>
          <w:szCs w:val="18"/>
          <w:color w:val="auto"/>
        </w:rPr>
        <w:t>In March 2020, the World Health Organization, or WHO, declared the outbreak of a disease caused by a novel strain of the coronavirus (“COVID-19”) to be a pandemic (the “pandemic”). This pandemic is having widespread, rapidly-evolving, and unpredictable impacts on global societies, economies, financial markets, and business practices. Federal and state governments have implemented measures in an effort to contain the virus, including physical distancing, travel bans and restrictions, closure of non-essential businesses, quarantines, work-from-home directives, shelter-in-place orders, and limitations on public gatherings. These measurements have caused, and are continuing to cause, business slowdowns or shutdowns in affected areas, both regionally and worldwide.</w:t>
      </w:r>
    </w:p>
    <w:p>
      <w:pPr>
        <w:spacing w:after="0" w:line="192" w:lineRule="exact"/>
        <w:rPr>
          <w:sz w:val="20"/>
          <w:szCs w:val="20"/>
          <w:color w:val="auto"/>
        </w:rPr>
      </w:pPr>
    </w:p>
    <w:p>
      <w:pPr>
        <w:ind w:right="40" w:firstLine="635"/>
        <w:spacing w:after="0" w:line="254" w:lineRule="auto"/>
        <w:rPr>
          <w:sz w:val="20"/>
          <w:szCs w:val="20"/>
          <w:color w:val="auto"/>
        </w:rPr>
      </w:pPr>
      <w:r>
        <w:rPr>
          <w:rFonts w:ascii="Arial" w:cs="Arial" w:eastAsia="Arial" w:hAnsi="Arial"/>
          <w:sz w:val="18"/>
          <w:szCs w:val="18"/>
          <w:color w:val="auto"/>
        </w:rPr>
        <w:t>Our focus remains on promoting employee health and safety, serving our customers, and ensuring business continuity. In March 2020, we temporarily closed our global offices, including our corporate headquarters, suspended all company-related travel, and all HubSpot employees globally were required to work from home. We shifted our Solutions Partner events and INBOUND 2020 to virtual-only experiences and have cancelled other customer and industry events. During the third quarter of 2020, we began to slowly re-open our offices on a staggered, region-to-region basis in accordance with local authority guidelines while ensuring that our return to work was thoughtful, prudent, and handled with an abundance of caution with the health of our employees being the top priority. During the fourth quarter of 2020, due to surges in COVID-19 cases at almost all of our office locations, we elected to close all of our global offices. We are closely monitoring the impact of the pandemic and will continue to be thoughtful about employee safety and well-being.</w:t>
      </w:r>
    </w:p>
    <w:p>
      <w:pPr>
        <w:spacing w:after="0" w:line="192" w:lineRule="exact"/>
        <w:rPr>
          <w:sz w:val="20"/>
          <w:szCs w:val="20"/>
          <w:color w:val="auto"/>
        </w:rPr>
      </w:pPr>
    </w:p>
    <w:p>
      <w:pPr>
        <w:ind w:right="320" w:firstLine="590"/>
        <w:spacing w:after="0" w:line="259" w:lineRule="auto"/>
        <w:rPr>
          <w:sz w:val="20"/>
          <w:szCs w:val="20"/>
          <w:color w:val="auto"/>
        </w:rPr>
      </w:pPr>
      <w:r>
        <w:rPr>
          <w:rFonts w:ascii="Arial" w:cs="Arial" w:eastAsia="Arial" w:hAnsi="Arial"/>
          <w:sz w:val="18"/>
          <w:szCs w:val="18"/>
          <w:color w:val="auto"/>
        </w:rPr>
        <w:t>Given that the economic consequences of the pandemic have been exceptionally challenging for many of our customers and prospects, we also implemented certain changes to our pricing structure in March 2020, including reducing prices on our Starter Growth Suite, offering certain product functionality free of charge for a limited time, suspending marketing email send limits for a limited time, and offering a one-time six-month advance on commissions to certain of our Solutions Partners.</w:t>
      </w:r>
    </w:p>
    <w:p>
      <w:pPr>
        <w:spacing w:after="0" w:line="187" w:lineRule="exact"/>
        <w:rPr>
          <w:sz w:val="20"/>
          <w:szCs w:val="20"/>
          <w:color w:val="auto"/>
        </w:rPr>
      </w:pPr>
    </w:p>
    <w:p>
      <w:pPr>
        <w:ind w:firstLine="590"/>
        <w:spacing w:after="0" w:line="270" w:lineRule="auto"/>
        <w:rPr>
          <w:sz w:val="20"/>
          <w:szCs w:val="20"/>
          <w:color w:val="auto"/>
        </w:rPr>
      </w:pPr>
      <w:r>
        <w:rPr>
          <w:rFonts w:ascii="Arial" w:cs="Arial" w:eastAsia="Arial" w:hAnsi="Arial"/>
          <w:sz w:val="17"/>
          <w:szCs w:val="17"/>
          <w:color w:val="auto"/>
        </w:rPr>
        <w:t>While the pandemic has not had a material adverse financial impact on our business to date, the broader implications of the pandemic on our results of operations and overall financial performance will depend on future developments and conditions. The pandemic and its adverse effects are prevalent in the locations where we, our customers, and partners conduct business. As a result, at the outset of the pandemic, we experienced, and may again experience in the future, curtailed customer demand that could adversely impact our business, results of operations and overall financial performance in future periods. Specifically, we may be impacted by changes in our customers’ ability or willingness to purchase our offerings; changes in the timing of our current or prospective customers’ purchasing decisions; pricing discounts or extended payment terms; reductions in the amount or duration of customers’ subscription contracts; or increased customer attrition rates. While our revenue, customer retention, and earnings are relatively predictable as a result of our subscription-based business model, the effect of the pandemic will not be fully reflected in our results of operations and overall financial performance until future periods.</w:t>
      </w:r>
    </w:p>
    <w:p>
      <w:pPr>
        <w:spacing w:after="0" w:line="181" w:lineRule="exact"/>
        <w:rPr>
          <w:sz w:val="20"/>
          <w:szCs w:val="20"/>
          <w:color w:val="auto"/>
        </w:rPr>
      </w:pPr>
    </w:p>
    <w:p>
      <w:pPr>
        <w:ind w:right="20" w:firstLine="590"/>
        <w:spacing w:after="0" w:line="269" w:lineRule="auto"/>
        <w:rPr>
          <w:sz w:val="20"/>
          <w:szCs w:val="20"/>
          <w:color w:val="auto"/>
        </w:rPr>
      </w:pPr>
      <w:r>
        <w:rPr>
          <w:rFonts w:ascii="Arial" w:cs="Arial" w:eastAsia="Arial" w:hAnsi="Arial"/>
          <w:sz w:val="17"/>
          <w:szCs w:val="17"/>
          <w:color w:val="auto"/>
        </w:rPr>
        <w:t>While the implications of the pandemic remain uncertain, we plan to continue to make investments to support business growth. 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invest in sales and marketing to support customer growth. We also expect to invest in research and development as we continue to introduce new products and applications to extend the functionality of our CRM Platform. We also intend to maintain a high level of customer service and support which we consider critical for our continued success. We plan to continue to invest in our data center infrastructure and services capabilities in order to support continued customer growth. We also expect to continue to incur general and administrative expenses to support our business and to maintain the infrastructure required to be a public company. We expect to use our cash flow from operations and the proceeds from our convertible debt and stock offerings to fund these growth strategies and support our business despite the potential impact from the pandemic and do not expect to be profitable in the near term.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than similar key business metrics used by other companies.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w w:val="99"/>
              </w:rPr>
              <w:t>Year Ended December 31,</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3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Customers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103,994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56,628</w:t>
            </w:r>
          </w:p>
        </w:tc>
        <w:tc>
          <w:tcPr>
            <w:tcW w:w="18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Total Average Subscription Revenue per Customer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9,582</w:t>
            </w:r>
          </w:p>
        </w:tc>
        <w:tc>
          <w:tcPr>
            <w:tcW w:w="20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9,904</w:t>
            </w:r>
          </w:p>
        </w:tc>
        <w:tc>
          <w:tcPr>
            <w:tcW w:w="1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Subscription Dollar Retention Rate</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100.7%</w:t>
            </w:r>
          </w:p>
        </w:tc>
      </w:tr>
    </w:tbl>
    <w:p>
      <w:pPr>
        <w:spacing w:after="0" w:line="225"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b w:val="1"/>
          <w:bCs w:val="1"/>
          <w:color w:val="auto"/>
        </w:rPr>
        <w:t>Total Customers</w:t>
      </w:r>
      <w:r>
        <w:rPr>
          <w:rFonts w:ascii="Arial" w:cs="Arial" w:eastAsia="Arial" w:hAnsi="Arial"/>
          <w:sz w:val="17"/>
          <w:szCs w:val="17"/>
          <w:color w:val="auto"/>
        </w:rPr>
        <w:t>. We believe that our ability to increase our customer base is an indicator of our market penetration and growth of our business as</w:t>
      </w:r>
      <w:r>
        <w:rPr>
          <w:rFonts w:ascii="Arial" w:cs="Arial" w:eastAsia="Arial" w:hAnsi="Arial"/>
          <w:sz w:val="17"/>
          <w:szCs w:val="17"/>
          <w:b w:val="1"/>
          <w:bCs w:val="1"/>
          <w:color w:val="auto"/>
        </w:rPr>
        <w:t xml:space="preserve"> </w:t>
      </w:r>
      <w:r>
        <w:rPr>
          <w:rFonts w:ascii="Arial" w:cs="Arial" w:eastAsia="Arial" w:hAnsi="Arial"/>
          <w:sz w:val="17"/>
          <w:szCs w:val="17"/>
          <w:color w:val="auto"/>
        </w:rPr>
        <w:t>we continue to expand our sales force and invest in marketing efforts. We define our Total Customers at the end of a particular period as the number of business entities or individuals with one or more paid subscriptions to our CRM Platform either paid directly or through a Solutions Partner. We do not include in Total Customers business entities or individuals with one or more paid subscriptions solely for our legacy Sales Hub ($10) product or any PieSync product. A single customer may have separate paid subscriptions for separate websites, sales licenses or seats, or our Sales Hub, Marketing Hub, Service Hub, or CMS Hub products, but we count these as one customer if certain customer-provided information such as company name, URL, or email address indicate that these subscriptions are managed by the same business entity or individual.</w:t>
      </w:r>
    </w:p>
    <w:p>
      <w:pPr>
        <w:spacing w:after="0" w:line="172" w:lineRule="exact"/>
        <w:rPr>
          <w:sz w:val="20"/>
          <w:szCs w:val="20"/>
          <w:color w:val="auto"/>
        </w:rPr>
      </w:pPr>
    </w:p>
    <w:p>
      <w:pPr>
        <w:ind w:right="40" w:firstLine="510"/>
        <w:spacing w:after="0" w:line="281" w:lineRule="auto"/>
        <w:rPr>
          <w:sz w:val="20"/>
          <w:szCs w:val="20"/>
          <w:color w:val="auto"/>
        </w:rPr>
      </w:pPr>
      <w:r>
        <w:rPr>
          <w:rFonts w:ascii="Arial" w:cs="Arial" w:eastAsia="Arial" w:hAnsi="Arial"/>
          <w:sz w:val="17"/>
          <w:szCs w:val="17"/>
          <w:b w:val="1"/>
          <w:bCs w:val="1"/>
          <w:color w:val="auto"/>
        </w:rPr>
        <w:t xml:space="preserve">Total Average Subscription Revenue per Customer. </w:t>
      </w:r>
      <w:r>
        <w:rPr>
          <w:rFonts w:ascii="Arial" w:cs="Arial" w:eastAsia="Arial" w:hAnsi="Arial"/>
          <w:sz w:val="17"/>
          <w:szCs w:val="17"/>
          <w:color w:val="auto"/>
        </w:rPr>
        <w:t>We believe that our ability to increase the Total Average Subscription Revenue per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is an indicator of our ability to grow the long-term value of our existing customer relationships. We define Total Average Subscription Revenue per Customer during a particular period as subscription revenue, excluding revenue from our legacy Sales Hub ($10) and PieSync products, from our Total Customers during the period divided by the average Total Customers during the same period.</w:t>
      </w:r>
    </w:p>
    <w:p>
      <w:pPr>
        <w:spacing w:after="0" w:line="16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b w:val="1"/>
          <w:bCs w:val="1"/>
          <w:color w:val="auto"/>
        </w:rPr>
        <w:t xml:space="preserve">Total Subscription Dollar Retention Rate. </w:t>
      </w:r>
      <w:r>
        <w:rPr>
          <w:rFonts w:ascii="Arial" w:cs="Arial" w:eastAsia="Arial" w:hAnsi="Arial"/>
          <w:sz w:val="17"/>
          <w:szCs w:val="17"/>
          <w:color w:val="auto"/>
        </w:rPr>
        <w:t>We believe that our ability to retain and expand a customer relationship is an indicator of the stability</w:t>
      </w:r>
      <w:r>
        <w:rPr>
          <w:rFonts w:ascii="Arial" w:cs="Arial" w:eastAsia="Arial" w:hAnsi="Arial"/>
          <w:sz w:val="17"/>
          <w:szCs w:val="17"/>
          <w:b w:val="1"/>
          <w:bCs w:val="1"/>
          <w:color w:val="auto"/>
        </w:rPr>
        <w:t xml:space="preserve"> </w:t>
      </w:r>
      <w:r>
        <w:rPr>
          <w:rFonts w:ascii="Arial" w:cs="Arial" w:eastAsia="Arial" w:hAnsi="Arial"/>
          <w:sz w:val="17"/>
          <w:szCs w:val="17"/>
          <w:color w:val="auto"/>
        </w:rPr>
        <w:t>of our revenue base and the long-term value of our customers. We assess our performance in this area using a metric we refer to as our Total Subscription Dollar Retention Rate. We compare the aggregate Total Contractual Monthly Subscription Revenue of our Total Customer base as of the beginning of each month, which we refer to as Total Retention Base Revenue, to the aggregate Total Contractual Monthly Subscription Revenue of the same group of Total Customers at the end of that month, which we refer to as Total Retained Subscription Revenue. We define Total Contractual Monthly Subscription Revenue as the total amount of subscription fees contractually committed to be paid for a full month under all of our Total Customer agreements, excluding any commissions owed to our Solutions Partners. Our Total Subscription Dollar Retention Rate for a given period is calculated by first dividing Total Retained Subscription Revenue by Total Retention Base Revenue for each month in the period, calculating the weighted average of these rates using the Total Retention Base Revenue for each month in the period, and then annualizing the resulting rates.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derive our revenue from two major sources, revenue from subscriptions to our CRM Platform and professional services and other revenue consisting mainly of on-boarding and training services fees.</w:t>
      </w:r>
    </w:p>
    <w:p>
      <w:pPr>
        <w:spacing w:after="0" w:line="17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Subscription based revenue is derived from customers using our CRM Platform for their inbound marketing, sales, service, and content management needs. Our CRM Platform features integrated applications that create a cohesive and adaptable customer experience. These integrated applications include a CRM, search engine optimization, blogging, website content management, messaging, chatbots, social media, marketing automation, email, predictive lead scoring, sales productivity, ticketing and helpdesk tools, customer NPS surveys, analytics, and reporting. Subscriptions are billed in advance on various schedules. All subscription fees that are billed in advance of service are recorded in deferred revenue. Subscription based revenue is recognized net of consideration paid to Solutions Partners when those Partners purchase a subscription to our CRM Platform.</w:t>
      </w:r>
    </w:p>
    <w:p>
      <w:pPr>
        <w:spacing w:after="0" w:line="16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Professional services and other revenue are derived primarily from customer on-boarding and training services. The on-boarding and training services provided to customers typically involves an implementation specialist. An implementation specialist will typically work with our customers to enhance their understanding of how to attract leads and convert them into customers through search engine optimization, social media, blogging and other content. Training is generally sold in connection with a customer’s initial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18"/>
          <w:szCs w:val="18"/>
          <w:color w:val="auto"/>
        </w:rPr>
        <w:t>subscription and is billed in advance. The training is also available to be purchased separately following a customer’s purchase of its initial subscription and our Solutions Partners routinely provide the same training to customers. The Company recognizes revenue from on-boarding and training services as the services are provided.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Operating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rent, facilities, depreciation of fixed assets, and costs related to information technology.</w:t>
      </w:r>
    </w:p>
    <w:p>
      <w:pPr>
        <w:spacing w:after="0" w:line="18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allocated overhead costs.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expect that cost of subscription and professional services and other revenue will increase in absolute dollars as we continue to invest in growing our business. Over time, we expect to gain benefits of scale associated with our costs of hosting our CRM Platform relative to subscription revenues, resulting in improved subscription gross margin, exclusive of stock-based compensation. We expect professional services and other margins to range from a moderate loss to breakeven for the foreseeable future, exclusive of stock-based compensation.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Research and development expenses consist primarily of personnel costs of our development team, including payroll, benefits and stock-based compensation expense and allocated overhead costs. We capitalize certain software development costs that are attributable to developing new products and adding incremental functionality to our CRM Platform and amortize such costs as costs of subscription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We expect research and development expenses to increase in absolute dollars as we continue to increase the functionality of our CRM Platform.</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capitalized software development costs associated with our internally built software platforms, and allocated overhead costs. We defer certain sales commissions related to acquiring new contracts and amortize them ratably over a period of benefit that we have determined to be approximately one to three years. Sales and marketing expenses also include commissions paid to our Solutions Partners in instances where the end customer purchases and pays for a subscription to our CRM Platform.</w:t>
      </w:r>
    </w:p>
    <w:p>
      <w:pPr>
        <w:spacing w:after="0" w:line="178"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We plan to continue to expand sales and marketing to grow our customer base and increase sales to existing customers. This growth will include adding sales personnel and expanding our marketing activities to continue to generate additional leads and build brand awareness. We expect sales and marketing expenses will increase as a result of hiring net new quota-carrying sales representatives in the United States and worldwide and adding to our marketing staff. Over time, we expect sales and marketing expenses will decline as a percentage of total revenue, exclusive of stock-based compensation.</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amortization of capitalized software development costs associated with our internally built software platforms, and allocated overhead costs. We expect that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20"/>
        <w:spacing w:after="0" w:line="259" w:lineRule="auto"/>
        <w:rPr>
          <w:sz w:val="20"/>
          <w:szCs w:val="20"/>
          <w:color w:val="auto"/>
        </w:rPr>
      </w:pPr>
      <w:r>
        <w:rPr>
          <w:rFonts w:ascii="Arial" w:cs="Arial" w:eastAsia="Arial" w:hAnsi="Arial"/>
          <w:sz w:val="18"/>
          <w:szCs w:val="18"/>
          <w:color w:val="auto"/>
        </w:rPr>
        <w:t>general and administrative expenses will increase on an absolute dollar basis but decrease as a percentage of total revenue, exclusive of stock-based compensation expense, as we focus on processes, systems and controls to enable our internal support functions to scale with the growth of our business. We also anticipate continuing increases to general and administrative expenses as we incur the costs of compliance associated with being a publicly traded company, including audit and consulting fees.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Interest expense primarily consists of amortization of the debt discount, issuance costs and contractual interest expense related to our Notes, and the loss on early extinguishment of our 2022 Notes. Other expense primarily consists of the impact of foreign currency transaction gains and losses associated with monetary assets and liabilities.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80" w:firstLine="510"/>
        <w:spacing w:after="0" w:line="342" w:lineRule="auto"/>
        <w:rPr>
          <w:sz w:val="20"/>
          <w:szCs w:val="20"/>
          <w:color w:val="auto"/>
        </w:rPr>
      </w:pPr>
      <w:r>
        <w:rPr>
          <w:rFonts w:ascii="Arial" w:cs="Arial" w:eastAsia="Arial" w:hAnsi="Arial"/>
          <w:sz w:val="16"/>
          <w:szCs w:val="16"/>
          <w:color w:val="auto"/>
        </w:rPr>
        <w:t>The income tax expense consists of current and deferred taxes for U.S. and foreign jurisdictions. We have historically had a taxable loss in our most significant jurisdiction, the U.S., and a full valuation allowance against the majority of our deferred tax assets. We expect this to continue in the near 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set forth certain consolidated financial data in dollar amounts and as a percentage of total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left="492"/>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2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853,025</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646,266</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487,450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883,026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98,510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69,718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166,959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100,357</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412,623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140"/>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452,081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340,685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267,444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766,895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591,893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460,881</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1140"/>
              <w:spacing w:after="0"/>
              <w:rPr>
                <w:sz w:val="20"/>
                <w:szCs w:val="20"/>
                <w:color w:val="auto"/>
              </w:rPr>
            </w:pPr>
            <w:r>
              <w:rPr>
                <w:rFonts w:ascii="Arial" w:cs="Arial" w:eastAsia="Arial" w:hAnsi="Arial"/>
                <w:sz w:val="18"/>
                <w:szCs w:val="18"/>
                <w:color w:val="auto"/>
              </w:rPr>
              <w:t>Other expense:</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(37,049)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(22,818)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(21,386)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expense</w:t>
            </w:r>
          </w:p>
        </w:tc>
        <w:tc>
          <w:tcPr>
            <w:tcW w:w="18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(13,702)</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60" w:type="dxa"/>
            <w:vAlign w:val="bottom"/>
            <w:vMerge w:val="restart"/>
          </w:tcPr>
          <w:p>
            <w:pPr>
              <w:jc w:val="right"/>
              <w:ind w:right="63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tbl>
      <w:tblPr>
        <w:tblLayout w:type="fixed"/>
        <w:tblInd w:w="11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64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Subscription</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 and other</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r>
      <w:tr>
        <w:trPr>
          <w:trHeight w:val="223"/>
        </w:trPr>
        <w:tc>
          <w:tcPr>
            <w:tcW w:w="51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ind w:left="480"/>
              <w:spacing w:after="0"/>
              <w:rPr>
                <w:sz w:val="20"/>
                <w:szCs w:val="20"/>
                <w:color w:val="auto"/>
              </w:rPr>
            </w:pPr>
            <w:r>
              <w:rPr>
                <w:rFonts w:ascii="Arial" w:cs="Arial" w:eastAsia="Arial" w:hAnsi="Arial"/>
                <w:sz w:val="18"/>
                <w:szCs w:val="18"/>
                <w:color w:val="auto"/>
              </w:rPr>
              <w:t>Total other expense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23"/>
        </w:trPr>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Percentages are based on actual values. Totals may not sum due to rounding.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34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853,025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206,759</w:t>
            </w:r>
          </w:p>
        </w:tc>
        <w:tc>
          <w:tcPr>
            <w:tcW w:w="5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5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883,026</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674,860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208,166</w:t>
            </w:r>
          </w:p>
        </w:tc>
        <w:tc>
          <w:tcPr>
            <w:tcW w:w="5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80" w:firstLine="578"/>
        <w:spacing w:after="0" w:line="296" w:lineRule="auto"/>
        <w:rPr>
          <w:sz w:val="20"/>
          <w:szCs w:val="20"/>
          <w:color w:val="auto"/>
        </w:rPr>
      </w:pPr>
      <w:r>
        <w:rPr>
          <w:rFonts w:ascii="Arial" w:cs="Arial" w:eastAsia="Arial" w:hAnsi="Arial"/>
          <w:sz w:val="16"/>
          <w:szCs w:val="16"/>
          <w:color w:val="auto"/>
        </w:rPr>
        <w:t>Subscription revenue increased during 2020 due to an increase throughout the year in Total Customers, which grew from 73,483 as of December 31, 2019 to 103,994 as of December 31, 2020. Total Average Subscription Revenue per Customer decreased from $9,920 for the year ended December 31, 2019 to $9,582 for the year ended December 31, 2020. The growth in Total Customers was primarily driven by our increased sales representative capacity to meet market demand as well as our freemium product offering and lower priced starer products. The decrease in average subscription revenue per customer was driven primarily by the volume of continued purchases of our lower priced starter products.</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5% increase in professional services and other revenue resulted primarily from the increase in Total Customers and from the delivery of on-boarding services for the additional subscriptions sold, slightly offset by fewer classroom trainings being held due to social gathering restrictions and travel bans implemented due to the pandemic.</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59"/>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2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166,959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37,001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716,067</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544,902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171,165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675"/>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6" w:name="page47"/>
    <w:bookmarkEnd w:id="46"/>
    <w:p>
      <w:pPr>
        <w:ind w:firstLine="510"/>
        <w:spacing w:after="0" w:line="311" w:lineRule="auto"/>
        <w:rPr>
          <w:sz w:val="20"/>
          <w:szCs w:val="20"/>
          <w:color w:val="auto"/>
        </w:rPr>
      </w:pPr>
      <w:r>
        <w:rPr>
          <w:rFonts w:ascii="Arial" w:cs="Arial" w:eastAsia="Arial" w:hAnsi="Arial"/>
          <w:sz w:val="16"/>
          <w:szCs w:val="16"/>
          <w:color w:val="auto"/>
        </w:rPr>
        <w:t>Total cost of revenue increased 28% during 2020 primarily due to an increase in subscription and hosting costs, employee-related costs, amortization of capitalized software development costs, and allocated overheard expenses, offset by a decrease in amortization of acquired technology due to certain acquired technology reaching the end of its useful life during the year ended December 31, 2020. Gross margin remained consistent year-over-year.</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130,685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98,510</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32,175</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2020 compared to the year ended December 31, 2019 was primarily due to the following:</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156"/>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21,990</w:t>
            </w:r>
          </w:p>
        </w:tc>
        <w:tc>
          <w:tcPr>
            <w:tcW w:w="8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Employee-related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5,238</w:t>
            </w:r>
          </w:p>
        </w:tc>
        <w:tc>
          <w:tcPr>
            <w:tcW w:w="80" w:type="dxa"/>
            <w:vAlign w:val="bottom"/>
          </w:tcPr>
          <w:p>
            <w:pPr>
              <w:spacing w:after="0"/>
              <w:rPr>
                <w:sz w:val="19"/>
                <w:szCs w:val="19"/>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80" w:type="dxa"/>
            <w:vAlign w:val="bottom"/>
            <w:shd w:val="clear" w:color="auto" w:fill="CFF0FC"/>
          </w:tcPr>
          <w:p>
            <w:pPr>
              <w:spacing w:after="0"/>
              <w:rPr>
                <w:sz w:val="19"/>
                <w:szCs w:val="19"/>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c>
          <w:tcPr>
            <w:tcW w:w="8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(861)</w:t>
            </w:r>
          </w:p>
        </w:tc>
      </w:tr>
      <w:tr>
        <w:trPr>
          <w:trHeight w:val="223"/>
        </w:trPr>
        <w:tc>
          <w:tcPr>
            <w:tcW w:w="6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32,175</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Subscription and hosting costs increased primarily due to growth in our Total Customer base from 73,483 at December 31, 2019 to 103,994 at December 31, 2020. Additionally, we saw higher subscription and hosting costs as we focus on the security, reliability and performance of our CRM Platform. Employee-related costs increased as a result of increased headcount as we continue to grow our customer support organization to support our customer growth and improve service levels and offerings, offset slightly by reduced discretionary spending as a result of the pandemic.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year ended December 31, 2020.</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4"/>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36,274</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4,826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2020 compared to the year ended December 31, 2019 was primarily due to the following:</w:t>
      </w:r>
    </w:p>
    <w:p>
      <w:pPr>
        <w:spacing w:after="0" w:line="270"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6350</wp:posOffset>
            </wp:positionV>
            <wp:extent cx="8483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5"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 and allocated overhead expenses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80" w:type="dxa"/>
            <w:vAlign w:val="bottom"/>
            <w:shd w:val="clear" w:color="auto" w:fill="CFF0FC"/>
          </w:tcPr>
          <w:p>
            <w:pPr>
              <w:spacing w:after="0"/>
              <w:rPr>
                <w:sz w:val="18"/>
                <w:szCs w:val="18"/>
                <w:color w:val="auto"/>
              </w:rPr>
            </w:pPr>
          </w:p>
        </w:tc>
      </w:tr>
      <w:tr>
        <w:trPr>
          <w:trHeight w:val="236"/>
        </w:trPr>
        <w:tc>
          <w:tcPr>
            <w:tcW w:w="644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4"/>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9"/>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205,589</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158,237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47,352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320" w:firstLine="510"/>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2020 compared to the year ended December 31, 2019 was primarily due to the following:</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155"/>
        </w:trPr>
        <w:tc>
          <w:tcPr>
            <w:tcW w:w="3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39,791</w:t>
            </w:r>
          </w:p>
        </w:tc>
        <w:tc>
          <w:tcPr>
            <w:tcW w:w="60" w:type="dxa"/>
            <w:vAlign w:val="bottom"/>
            <w:shd w:val="clear" w:color="auto" w:fill="CFF0FC"/>
          </w:tcPr>
          <w:p>
            <w:pPr>
              <w:spacing w:after="0"/>
              <w:rPr>
                <w:sz w:val="19"/>
                <w:szCs w:val="19"/>
                <w:color w:val="auto"/>
              </w:rPr>
            </w:pPr>
          </w:p>
        </w:tc>
      </w:tr>
      <w:tr>
        <w:trPr>
          <w:trHeight w:val="229"/>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w:t>
            </w:r>
          </w:p>
        </w:tc>
        <w:tc>
          <w:tcPr>
            <w:tcW w:w="60" w:type="dxa"/>
            <w:vAlign w:val="bottom"/>
            <w:tcBorders>
              <w:bottom w:val="single" w:sz="8" w:color="CFF0FC"/>
            </w:tcBorders>
          </w:tcPr>
          <w:p>
            <w:pPr>
              <w:spacing w:after="0"/>
              <w:rPr>
                <w:sz w:val="19"/>
                <w:szCs w:val="19"/>
                <w:color w:val="auto"/>
              </w:rPr>
            </w:pPr>
          </w:p>
        </w:tc>
      </w:tr>
      <w:tr>
        <w:trPr>
          <w:trHeight w:val="237"/>
        </w:trPr>
        <w:tc>
          <w:tcPr>
            <w:tcW w:w="38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47,352</w:t>
            </w:r>
          </w:p>
        </w:tc>
        <w:tc>
          <w:tcPr>
            <w:tcW w:w="60" w:type="dxa"/>
            <w:vAlign w:val="bottom"/>
            <w:shd w:val="clear" w:color="auto" w:fill="CFF0FC"/>
          </w:tcPr>
          <w:p>
            <w:pPr>
              <w:spacing w:after="0"/>
              <w:rPr>
                <w:sz w:val="20"/>
                <w:szCs w:val="20"/>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Employee-related costs increased as a result of increased headcount as we continue to grow our engineering organization to develop new products, increase functionality and to maintain our existing CRM Platform, slightly offset by reduced discretionary spending as a result of the pandemic. Allocated overhead expense increased due to expanding our leased space and infrastructure as we continue to grow our business and expand headcount.</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4"/>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452,081</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111,396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2020 compared to the year ended December 31, 2019 was primarily due to the following:</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155"/>
        </w:trPr>
        <w:tc>
          <w:tcPr>
            <w:tcW w:w="3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65,646</w:t>
            </w:r>
          </w:p>
        </w:tc>
        <w:tc>
          <w:tcPr>
            <w:tcW w:w="6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Marketing programs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17,536</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Solutions Partner commissions</w:t>
            </w: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14,637</w:t>
            </w:r>
          </w:p>
        </w:tc>
        <w:tc>
          <w:tcPr>
            <w:tcW w:w="60" w:type="dxa"/>
            <w:vAlign w:val="bottom"/>
            <w:shd w:val="clear" w:color="auto" w:fill="CFF0FC"/>
          </w:tcPr>
          <w:p>
            <w:pPr>
              <w:spacing w:after="0"/>
              <w:rPr>
                <w:sz w:val="19"/>
                <w:szCs w:val="19"/>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w:t>
            </w:r>
          </w:p>
        </w:tc>
        <w:tc>
          <w:tcPr>
            <w:tcW w:w="1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13,577</w:t>
            </w:r>
          </w:p>
        </w:tc>
        <w:tc>
          <w:tcPr>
            <w:tcW w:w="6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111,396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Employee-related costs increased as a result of increased headcount as we continue to expand our selling and marketing organizations to grow our customer base, offset by reduced discretionary spending as a result of the pandemic.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4"/>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109,225</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02"/>
              <w:spacing w:after="0"/>
              <w:rPr>
                <w:sz w:val="20"/>
                <w:szCs w:val="20"/>
                <w:color w:val="auto"/>
              </w:rPr>
            </w:pPr>
            <w:r>
              <w:rPr>
                <w:rFonts w:ascii="Arial" w:cs="Arial" w:eastAsia="Arial" w:hAnsi="Arial"/>
                <w:sz w:val="18"/>
                <w:szCs w:val="18"/>
                <w:color w:val="auto"/>
              </w:rPr>
              <w:t>16,254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2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2020 compared to the year ended December 31, 2019 was primarily due to the following:</w:t>
      </w:r>
    </w:p>
    <w:p>
      <w:pPr>
        <w:sectPr>
          <w:pgSz w:w="11900" w:h="16838" w:orient="portrait"/>
          <w:cols w:equalWidth="0" w:num="1">
            <w:col w:w="11100"/>
          </w:cols>
          <w:pgMar w:left="320" w:top="341" w:right="47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Allocated overhead expense</w:t>
      </w:r>
    </w:p>
    <w:p>
      <w:pPr>
        <w:spacing w:after="0" w:line="46"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-123190</wp:posOffset>
            </wp:positionV>
            <wp:extent cx="427736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18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372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5" w:lineRule="exact"/>
        <w:rPr>
          <w:sz w:val="20"/>
          <w:szCs w:val="20"/>
          <w:color w:val="auto"/>
        </w:rPr>
      </w:pPr>
    </w:p>
    <w:p>
      <w:pPr>
        <w:jc w:val="center"/>
        <w:ind w:right="218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ind w:left="740" w:hanging="736"/>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7,008</w:t>
      </w:r>
    </w:p>
    <w:p>
      <w:pPr>
        <w:spacing w:after="0" w:line="30"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5,884</w:t>
      </w:r>
    </w:p>
    <w:p>
      <w:pPr>
        <w:spacing w:after="0" w:line="45"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3,362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372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8" w:lineRule="exact"/>
        <w:rPr>
          <w:sz w:val="20"/>
          <w:szCs w:val="20"/>
          <w:color w:val="auto"/>
        </w:rPr>
      </w:pPr>
    </w:p>
    <w:p>
      <w:pPr>
        <w:ind w:left="660" w:hanging="65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16,254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372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46355</wp:posOffset>
            </wp:positionV>
            <wp:extent cx="7372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340"/>
          </w:cols>
          <w:pgMar w:left="320" w:top="341" w:right="479" w:bottom="1440" w:gutter="0" w:footer="0" w:header="0"/>
          <w:type w:val="continuous"/>
        </w:sect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type w:val="continuous"/>
        </w:sectPr>
      </w:pPr>
    </w:p>
    <w:bookmarkStart w:id="48" w:name="page49"/>
    <w:bookmarkEnd w:id="48"/>
    <w:p>
      <w:pPr>
        <w:ind w:right="40" w:firstLine="510"/>
        <w:spacing w:after="0" w:line="259" w:lineRule="auto"/>
        <w:rPr>
          <w:sz w:val="20"/>
          <w:szCs w:val="20"/>
          <w:color w:val="auto"/>
        </w:rPr>
      </w:pPr>
      <w:r>
        <w:rPr>
          <w:rFonts w:ascii="Arial" w:cs="Arial" w:eastAsia="Arial" w:hAnsi="Arial"/>
          <w:sz w:val="18"/>
          <w:szCs w:val="18"/>
          <w:color w:val="auto"/>
        </w:rPr>
        <w:t>Employee-related costs increased as a result of increased headcount as we continue to grow our business and require additional personnel to support our expanded operations, offset by reduced discretionary spending as a result of the pandemic.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300" w:type="dxa"/>
            <w:vAlign w:val="bottom"/>
          </w:tcPr>
          <w:p>
            <w:pPr>
              <w:jc w:val="right"/>
              <w:ind w:right="57"/>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4"/>
          </w:tcPr>
          <w:p>
            <w:pPr>
              <w:jc w:val="right"/>
              <w:ind w:right="97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7,773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(11,656)</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(37,049)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(22,818)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(14,231)</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r>
      <w:tr>
        <w:trPr>
          <w:trHeight w:val="229"/>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(711)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(318)</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w:t>
            </w: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34"/>
        </w:trPr>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5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40" w:type="dxa"/>
            <w:vAlign w:val="bottom"/>
            <w:gridSpan w:val="3"/>
          </w:tcPr>
          <w:p>
            <w:pPr>
              <w:ind w:left="20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0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 xml:space="preserve">Interest income primarily consists of interest earned on invested cash and cash equivalents balances and investments. The decrease during the year is due to a decrease in yields on our investment balances, offset by </w:t>
      </w:r>
      <w:r>
        <w:rPr>
          <w:rFonts w:ascii="Arial" w:cs="Arial" w:eastAsia="Arial" w:hAnsi="Arial"/>
          <w:sz w:val="18"/>
          <w:szCs w:val="18"/>
          <w:color w:val="212529"/>
        </w:rPr>
        <w:t>an increase in the amount of investment holdings from the proceeds received from the</w:t>
      </w:r>
      <w:r>
        <w:rPr>
          <w:rFonts w:ascii="Arial" w:cs="Arial" w:eastAsia="Arial" w:hAnsi="Arial"/>
          <w:sz w:val="18"/>
          <w:szCs w:val="18"/>
          <w:color w:val="auto"/>
        </w:rPr>
        <w:t xml:space="preserve"> </w:t>
      </w:r>
      <w:r>
        <w:rPr>
          <w:rFonts w:ascii="Arial" w:cs="Arial" w:eastAsia="Arial" w:hAnsi="Arial"/>
          <w:sz w:val="18"/>
          <w:szCs w:val="18"/>
          <w:color w:val="212529"/>
        </w:rPr>
        <w:t>issuance of the 2025 Notes.</w:t>
      </w:r>
    </w:p>
    <w:p>
      <w:pPr>
        <w:spacing w:after="0" w:line="184"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Interest expense primarily consists of amortization of the debt discount and issuance costs and contractual interest expense related to our Notes, and the loss on early extinguishment of our 2022 Notes. The increase during the year ended December 31, 2020 was primarily due to the $10.5 million loss on the early extinguishment of our 2022 Notes and amortization of the debt discount and issuance costs related to the 2025 Notes.</w:t>
      </w:r>
    </w:p>
    <w:p>
      <w:pPr>
        <w:spacing w:after="0" w:line="14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Other expense primarily consists of the impact of foreign currency transaction gains and losses associated with monetary assets and liabilities. The increase was primarily due to exchange rate fluctuations.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gridSpan w:val="4"/>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(4,216)</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(2,973)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(1,243)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29"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the income tax expense was primarily driven by increased income in jurisdictions outside of the United States that are profitable from a tax perspective.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32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ind w:left="2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646,266</w:t>
            </w:r>
          </w:p>
        </w:tc>
        <w:tc>
          <w:tcPr>
            <w:tcW w:w="4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158,816</w:t>
            </w:r>
          </w:p>
        </w:tc>
        <w:tc>
          <w:tcPr>
            <w:tcW w:w="4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 and 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4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674,860</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512,980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161,880</w:t>
            </w:r>
          </w:p>
        </w:tc>
        <w:tc>
          <w:tcPr>
            <w:tcW w:w="4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Subscription revenue increased during 2019 due to an increase throughout the year in Total Customers, which grew from 56,628 as of December 31, 2018 to 73,483 as of December 31, 2019. Total Average Subscription Revenue per Customer increased from $9,904 for the year ended December 31, 2018 to $9,920 for the year ended December 31, 2019. The growth in Total Customers was primarily driven by our increased sales representative capacity to meet market demand as well as the freemium model. The increase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right="140"/>
        <w:spacing w:after="0" w:line="263" w:lineRule="auto"/>
        <w:rPr>
          <w:sz w:val="20"/>
          <w:szCs w:val="20"/>
          <w:color w:val="auto"/>
        </w:rPr>
      </w:pPr>
      <w:r>
        <w:rPr>
          <w:rFonts w:ascii="Arial" w:cs="Arial" w:eastAsia="Arial" w:hAnsi="Arial"/>
          <w:sz w:val="18"/>
          <w:szCs w:val="18"/>
          <w:color w:val="auto"/>
        </w:rPr>
        <w:t>average subscription revenue per customer was driven primarily by existing customers increasing their use of our products, existing customers purchasing additional subscriptions, and new customers purchasing our higher price product plans. The increase in average subscription revenue per customer was partially offset by the continued adoption of our freemium model.</w:t>
      </w:r>
    </w:p>
    <w:p>
      <w:pPr>
        <w:spacing w:after="0" w:line="224"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12% increase in professional services and other revenue resulted primarily from the increase in Total Customers and from delivery of on-boarding and training services for the additional subscriptions sold.</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Revenue, Gross Profit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9"/>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59"/>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w:t>
            </w:r>
          </w:p>
        </w:tc>
        <w:tc>
          <w:tcPr>
            <w:tcW w:w="2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129,958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rPr>
              <w:t>29,601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544,902</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412,623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19"/>
              <w:spacing w:after="0"/>
              <w:rPr>
                <w:sz w:val="20"/>
                <w:szCs w:val="20"/>
                <w:color w:val="auto"/>
              </w:rPr>
            </w:pPr>
            <w:r>
              <w:rPr>
                <w:rFonts w:ascii="Arial" w:cs="Arial" w:eastAsia="Arial" w:hAnsi="Arial"/>
                <w:sz w:val="18"/>
                <w:szCs w:val="18"/>
                <w:color w:val="auto"/>
              </w:rPr>
              <w:t>132,279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Total cost of revenue increased 29% during 2019 primarily due to an increase in subscription and hosting costs, employee-related costs, amortization of capitalized software development costs, amortization of acquired technology, and allocated overheard expenses. The increase in gross margin was primarily driven by changes to our service offerings for our products offset by increased hosting costs in subscription revenue as we focus on the reliability of our CRM Platform.</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Subscription cost of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98,510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69,718</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28,792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subscription revenue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increase in subscription cost of revenue for the year ended December 31, 2019 compared to the year ended December 31, 2018 was primarily due to the following:</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156"/>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15,857</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Employee-related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7,234</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Amortization of acquired technology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1,808</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expenses</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Subscription and hosting costs increased primarily due to growth in our Total Customer base from 56,628 at December 31, 2018 to 73,483 at December 31, 2019, as we focus on the reliability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Amortization of acquired technology increased due to a full year of amortization of acquired technology that was placed into service the second half of 2018. Allocated overhead expenses increased due to expansion of our leased space and infrastructure as we continue to grow our business and expand headcount.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 cost of revenue</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31,448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809</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Percentage of professional services and other revenue</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180" w:firstLine="510"/>
        <w:spacing w:after="0" w:line="277" w:lineRule="auto"/>
        <w:rPr>
          <w:sz w:val="20"/>
          <w:szCs w:val="20"/>
          <w:color w:val="auto"/>
        </w:rPr>
      </w:pPr>
      <w:r>
        <w:rPr>
          <w:rFonts w:ascii="Arial" w:cs="Arial" w:eastAsia="Arial" w:hAnsi="Arial"/>
          <w:sz w:val="18"/>
          <w:szCs w:val="18"/>
          <w:color w:val="auto"/>
        </w:rPr>
        <w:t>The increase in professional services and other cost of revenue for the year ended December 31, 2019 compared to the year ended December 31, 2018 was primarily due to the following:</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14"/>
                <w:szCs w:val="14"/>
                <w:color w:val="auto"/>
              </w:rPr>
            </w:pPr>
          </w:p>
        </w:tc>
      </w:tr>
      <w:tr>
        <w:trPr>
          <w:trHeight w:val="223"/>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 and allocated overhead expenses</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60" w:type="dxa"/>
            <w:vAlign w:val="bottom"/>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500" w:type="dxa"/>
            <w:vAlign w:val="bottom"/>
          </w:tcPr>
          <w:p>
            <w:pPr>
              <w:spacing w:after="0"/>
              <w:rPr>
                <w:sz w:val="20"/>
                <w:szCs w:val="20"/>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158,237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40,634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increase in research and development expense for the year ended December 31, 2019 compared to the year ended December 31, 2018 was primarily due to the following:</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156"/>
        </w:trPr>
        <w:tc>
          <w:tcPr>
            <w:tcW w:w="3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29"/>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35,942</w:t>
            </w:r>
          </w:p>
        </w:tc>
        <w:tc>
          <w:tcPr>
            <w:tcW w:w="60" w:type="dxa"/>
            <w:vAlign w:val="bottom"/>
            <w:shd w:val="clear" w:color="auto" w:fill="CFF0FC"/>
          </w:tcPr>
          <w:p>
            <w:pPr>
              <w:spacing w:after="0"/>
              <w:rPr>
                <w:sz w:val="19"/>
                <w:szCs w:val="19"/>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 overhead expenses</w:t>
            </w:r>
          </w:p>
        </w:tc>
        <w:tc>
          <w:tcPr>
            <w:tcW w:w="1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60" w:type="dxa"/>
            <w:vAlign w:val="bottom"/>
            <w:tcBorders>
              <w:bottom w:val="single" w:sz="8" w:color="CFF0FC"/>
            </w:tcBorders>
          </w:tcPr>
          <w:p>
            <w:pPr>
              <w:spacing w:after="0"/>
              <w:rPr>
                <w:sz w:val="19"/>
                <w:szCs w:val="19"/>
                <w:color w:val="auto"/>
              </w:rPr>
            </w:pPr>
          </w:p>
        </w:tc>
      </w:tr>
      <w:tr>
        <w:trPr>
          <w:trHeight w:val="237"/>
        </w:trPr>
        <w:tc>
          <w:tcPr>
            <w:tcW w:w="38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40,634</w:t>
            </w:r>
          </w:p>
        </w:tc>
        <w:tc>
          <w:tcPr>
            <w:tcW w:w="60" w:type="dxa"/>
            <w:vAlign w:val="bottom"/>
            <w:shd w:val="clear" w:color="auto" w:fill="CFF0FC"/>
          </w:tcPr>
          <w:p>
            <w:pPr>
              <w:spacing w:after="0"/>
              <w:rPr>
                <w:sz w:val="20"/>
                <w:szCs w:val="20"/>
                <w:color w:val="auto"/>
              </w:rPr>
            </w:pPr>
          </w:p>
        </w:tc>
      </w:tr>
      <w:tr>
        <w:trPr>
          <w:trHeight w:val="20"/>
        </w:trPr>
        <w:tc>
          <w:tcPr>
            <w:tcW w:w="380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Employee-related costs increased as a result of increased headcount as we continue to grow our engineering organization to develop new products, increase functionality and to maintain our existing CRM Platform. Allocated overhead expense increased due to expanding our leased space and infrastructure as we continue to grow our business and expand headcount.</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340,685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267,444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73,241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increase in sales and marketing expense for the year ended December 31, 2019 compared to the year ended December 31, 2018 was primarily due to the following:</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r>
      <w:tr>
        <w:trPr>
          <w:trHeight w:val="156"/>
        </w:trPr>
        <w:tc>
          <w:tcPr>
            <w:tcW w:w="3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3"/>
                <w:szCs w:val="13"/>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49,875</w:t>
            </w:r>
          </w:p>
        </w:tc>
        <w:tc>
          <w:tcPr>
            <w:tcW w:w="6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Solutions Partner commissions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9,900</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Allocated overhead expense</w:t>
            </w: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6,686</w:t>
            </w:r>
          </w:p>
        </w:tc>
        <w:tc>
          <w:tcPr>
            <w:tcW w:w="60" w:type="dxa"/>
            <w:vAlign w:val="bottom"/>
            <w:shd w:val="clear" w:color="auto" w:fill="CFF0FC"/>
          </w:tcPr>
          <w:p>
            <w:pPr>
              <w:spacing w:after="0"/>
              <w:rPr>
                <w:sz w:val="19"/>
                <w:szCs w:val="19"/>
                <w:color w:val="auto"/>
              </w:rPr>
            </w:pP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Marketing programs</w:t>
            </w:r>
          </w:p>
        </w:tc>
        <w:tc>
          <w:tcPr>
            <w:tcW w:w="16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60" w:type="dxa"/>
            <w:vAlign w:val="bottom"/>
            <w:tcBorders>
              <w:bottom w:val="single" w:sz="8" w:color="CFF0FC"/>
            </w:tcBorders>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Solutions Partner commissions increased as a result of increased revenue generated through our Partners. Allocated overhead expenses increased due to expanding our leased space and infrastructure as we continue to grow our business and expand headcount. Marketing programs increased due to the timing and size of certain marketing efforts as we continue to make investments in attracting new customers.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51" w:name="page52"/>
    <w:bookmarkEnd w:id="51"/>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9"/>
              </w:rPr>
              <w:t>Year Ended 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5"/>
          </w:tcPr>
          <w:p>
            <w:pPr>
              <w:jc w:val="right"/>
              <w:ind w:right="96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92,971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17,137</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28"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increase in general and administrative expense for the year ended December 31, 2019 compared to the year ended December 31, 2018 was primarily due to the following:</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-130175</wp:posOffset>
            </wp:positionV>
            <wp:extent cx="427736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Allocated overhead expenses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7372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5" w:lineRule="exact"/>
        <w:rPr>
          <w:sz w:val="20"/>
          <w:szCs w:val="20"/>
          <w:color w:val="auto"/>
        </w:rPr>
      </w:pPr>
    </w:p>
    <w:p>
      <w:pPr>
        <w:jc w:val="center"/>
        <w:ind w:right="2320"/>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ind w:left="660" w:hanging="656"/>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11,619</w:t>
      </w:r>
    </w:p>
    <w:p>
      <w:pPr>
        <w:spacing w:after="0" w:line="30"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2,961</w:t>
      </w:r>
    </w:p>
    <w:p>
      <w:pPr>
        <w:spacing w:after="0" w:line="45" w:lineRule="exact"/>
        <w:rPr>
          <w:rFonts w:ascii="Arial" w:cs="Arial" w:eastAsia="Arial" w:hAnsi="Arial"/>
          <w:sz w:val="16"/>
          <w:szCs w:val="16"/>
          <w:color w:val="auto"/>
        </w:rPr>
      </w:pPr>
    </w:p>
    <w:p>
      <w:pPr>
        <w:ind w:left="740"/>
        <w:spacing w:after="0"/>
        <w:rPr>
          <w:rFonts w:ascii="Arial" w:cs="Arial" w:eastAsia="Arial" w:hAnsi="Arial"/>
          <w:sz w:val="16"/>
          <w:szCs w:val="16"/>
          <w:color w:val="auto"/>
        </w:rPr>
      </w:pPr>
      <w:r>
        <w:rPr>
          <w:rFonts w:ascii="Arial" w:cs="Arial" w:eastAsia="Arial" w:hAnsi="Arial"/>
          <w:sz w:val="16"/>
          <w:szCs w:val="16"/>
          <w:color w:val="auto"/>
        </w:rPr>
        <w:t>2,557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372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52" w:lineRule="exact"/>
        <w:rPr>
          <w:sz w:val="20"/>
          <w:szCs w:val="20"/>
          <w:color w:val="auto"/>
        </w:rPr>
      </w:pPr>
    </w:p>
    <w:p>
      <w:pPr>
        <w:ind w:left="660" w:hanging="65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17,137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7372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46355</wp:posOffset>
            </wp:positionV>
            <wp:extent cx="7372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480"/>
          </w:cols>
          <w:pgMar w:left="320" w:top="449" w:right="339" w:bottom="1440" w:gutter="0" w:footer="0" w:header="0"/>
          <w:type w:val="continuous"/>
        </w:sectPr>
      </w:pPr>
    </w:p>
    <w:p>
      <w:pPr>
        <w:spacing w:after="0" w:line="89"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Customer credit card fees increased due to increased customer transactions as we continue to grow our business. Allocated overhead expenses increased due to expanding our leased space and infrastructure as we continue to grow our business and expand headcount.</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300" w:type="dxa"/>
            <w:vAlign w:val="bottom"/>
          </w:tcPr>
          <w:p>
            <w:pPr>
              <w:jc w:val="right"/>
              <w:ind w:right="57"/>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0" w:type="dxa"/>
            <w:vAlign w:val="bottom"/>
            <w:gridSpan w:val="4"/>
          </w:tcPr>
          <w:p>
            <w:pPr>
              <w:jc w:val="right"/>
              <w:ind w:right="97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19,429</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97"/>
              <w:spacing w:after="0"/>
              <w:rPr>
                <w:sz w:val="20"/>
                <w:szCs w:val="20"/>
                <w:color w:val="auto"/>
              </w:rPr>
            </w:pPr>
            <w:r>
              <w:rPr>
                <w:rFonts w:ascii="Arial" w:cs="Arial" w:eastAsia="Arial" w:hAnsi="Arial"/>
                <w:sz w:val="18"/>
                <w:szCs w:val="18"/>
                <w:color w:val="auto"/>
              </w:rPr>
              <w:t>10,253</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w:t>
            </w:r>
          </w:p>
        </w:tc>
      </w:tr>
      <w:tr>
        <w:trPr>
          <w:trHeight w:val="229"/>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(22,818)</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(21,386)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7"/>
              <w:spacing w:after="0"/>
              <w:rPr>
                <w:sz w:val="20"/>
                <w:szCs w:val="20"/>
                <w:color w:val="auto"/>
              </w:rPr>
            </w:pPr>
            <w:r>
              <w:rPr>
                <w:rFonts w:ascii="Arial" w:cs="Arial" w:eastAsia="Arial" w:hAnsi="Arial"/>
                <w:sz w:val="18"/>
                <w:szCs w:val="18"/>
                <w:color w:val="auto"/>
              </w:rPr>
              <w:t>(1,432)</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(393)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97"/>
              <w:spacing w:after="0"/>
              <w:rPr>
                <w:sz w:val="20"/>
                <w:szCs w:val="20"/>
                <w:color w:val="auto"/>
              </w:rPr>
            </w:pPr>
            <w:r>
              <w:rPr>
                <w:rFonts w:ascii="Arial" w:cs="Arial" w:eastAsia="Arial" w:hAnsi="Arial"/>
                <w:sz w:val="18"/>
                <w:szCs w:val="18"/>
                <w:color w:val="auto"/>
              </w:rPr>
              <w:t>1,099</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220" w:type="dxa"/>
            <w:vAlign w:val="bottom"/>
          </w:tcPr>
          <w:p>
            <w:pPr>
              <w:spacing w:after="0"/>
              <w:rPr>
                <w:sz w:val="20"/>
                <w:szCs w:val="20"/>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34"/>
        </w:trPr>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50"/>
        </w:trPr>
        <w:tc>
          <w:tcPr>
            <w:tcW w:w="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40" w:type="dxa"/>
            <w:vAlign w:val="bottom"/>
            <w:gridSpan w:val="3"/>
          </w:tcPr>
          <w:p>
            <w:pPr>
              <w:ind w:left="20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r>
    </w:tbl>
    <w:p>
      <w:pPr>
        <w:spacing w:after="0" w:line="202"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 xml:space="preserve">Interest income primarily consists of interest earned on invested cash and cash equivalents balances and investments. The increase is </w:t>
      </w:r>
      <w:r>
        <w:rPr>
          <w:rFonts w:ascii="Arial" w:cs="Arial" w:eastAsia="Arial" w:hAnsi="Arial"/>
          <w:sz w:val="18"/>
          <w:szCs w:val="18"/>
          <w:color w:val="212529"/>
        </w:rPr>
        <w:t>primarily due</w:t>
      </w:r>
      <w:r>
        <w:rPr>
          <w:rFonts w:ascii="Arial" w:cs="Arial" w:eastAsia="Arial" w:hAnsi="Arial"/>
          <w:sz w:val="18"/>
          <w:szCs w:val="18"/>
          <w:color w:val="auto"/>
        </w:rPr>
        <w:t xml:space="preserve"> </w:t>
      </w:r>
      <w:r>
        <w:rPr>
          <w:rFonts w:ascii="Arial" w:cs="Arial" w:eastAsia="Arial" w:hAnsi="Arial"/>
          <w:sz w:val="18"/>
          <w:szCs w:val="18"/>
          <w:color w:val="212529"/>
        </w:rPr>
        <w:t>to the increase in the amount of investment holdings from the proceeds received from the common stock offering that occurred during the first quarter of 2019.</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Interest expense primarily consists of amortization of the debt discount and issuance costs related to the 2022 Notes that is recorded as interest expense and contractual interest expense on the 2022 Notes. The increase </w:t>
      </w:r>
      <w:r>
        <w:rPr>
          <w:rFonts w:ascii="Arial" w:cs="Arial" w:eastAsia="Arial" w:hAnsi="Arial"/>
          <w:sz w:val="18"/>
          <w:szCs w:val="18"/>
          <w:color w:val="212529"/>
        </w:rPr>
        <w:t>was primarily due to the use of the effective-interest method to amortize the debt</w:t>
      </w:r>
      <w:r>
        <w:rPr>
          <w:rFonts w:ascii="Arial" w:cs="Arial" w:eastAsia="Arial" w:hAnsi="Arial"/>
          <w:sz w:val="18"/>
          <w:szCs w:val="18"/>
          <w:color w:val="auto"/>
        </w:rPr>
        <w:t xml:space="preserve"> </w:t>
      </w:r>
      <w:r>
        <w:rPr>
          <w:rFonts w:ascii="Arial" w:cs="Arial" w:eastAsia="Arial" w:hAnsi="Arial"/>
          <w:sz w:val="18"/>
          <w:szCs w:val="18"/>
          <w:color w:val="212529"/>
        </w:rPr>
        <w:t>discount and issuance costs related to the 2022 Notes.</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212529"/>
        </w:rPr>
        <w:t>O</w:t>
      </w:r>
      <w:r>
        <w:rPr>
          <w:rFonts w:ascii="Arial" w:cs="Arial" w:eastAsia="Arial" w:hAnsi="Arial"/>
          <w:sz w:val="18"/>
          <w:szCs w:val="18"/>
          <w:color w:val="000000"/>
        </w:rPr>
        <w:t>ther expense primarily consists of the impact of foreign currency transaction gains and losses associated with monetary assets and liabilities. The</w:t>
      </w:r>
      <w:r>
        <w:rPr>
          <w:rFonts w:ascii="Arial" w:cs="Arial" w:eastAsia="Arial" w:hAnsi="Arial"/>
          <w:sz w:val="18"/>
          <w:szCs w:val="18"/>
          <w:color w:val="212529"/>
        </w:rPr>
        <w:t xml:space="preserve"> </w:t>
      </w:r>
      <w:r>
        <w:rPr>
          <w:rFonts w:ascii="Arial" w:cs="Arial" w:eastAsia="Arial" w:hAnsi="Arial"/>
          <w:sz w:val="18"/>
          <w:szCs w:val="18"/>
          <w:color w:val="000000"/>
        </w:rPr>
        <w:t>decrease was primarily due to exchange rate fluctuations.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Year Ended December 31,</w:t>
            </w:r>
          </w:p>
        </w:tc>
        <w:tc>
          <w:tcPr>
            <w:tcW w:w="1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80" w:type="dxa"/>
            <w:vAlign w:val="bottom"/>
            <w:gridSpan w:val="4"/>
          </w:tcPr>
          <w:p>
            <w:pPr>
              <w:jc w:val="right"/>
              <w:ind w:right="942"/>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(2,973)</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(1,868)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22"/>
              <w:spacing w:after="0"/>
              <w:rPr>
                <w:sz w:val="20"/>
                <w:szCs w:val="20"/>
                <w:color w:val="auto"/>
              </w:rPr>
            </w:pPr>
            <w:r>
              <w:rPr>
                <w:rFonts w:ascii="Arial" w:cs="Arial" w:eastAsia="Arial" w:hAnsi="Arial"/>
                <w:sz w:val="18"/>
                <w:szCs w:val="18"/>
                <w:color w:val="auto"/>
              </w:rPr>
              <w:t>(1,105)</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Effective tax rate</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47"/>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52" w:name="page53"/>
    <w:bookmarkEnd w:id="52"/>
    <w:p>
      <w:pPr>
        <w:ind w:right="120" w:firstLine="510"/>
        <w:spacing w:after="0" w:line="308" w:lineRule="auto"/>
        <w:rPr>
          <w:sz w:val="20"/>
          <w:szCs w:val="20"/>
          <w:color w:val="auto"/>
        </w:rPr>
      </w:pPr>
      <w:r>
        <w:rPr>
          <w:rFonts w:ascii="Arial" w:cs="Arial" w:eastAsia="Arial" w:hAnsi="Arial"/>
          <w:sz w:val="18"/>
          <w:szCs w:val="18"/>
          <w:color w:val="auto"/>
        </w:rPr>
        <w:t>Income tax expense consists of current and deferred taxes for U.S. and foreign income taxes. The increase in the income tax expense was primarily driven by increased income in jurisdictions outside of the United States that are profitable from a tax perspective.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70"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years ended December 31, 2020, 2019 and 2018:</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9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378,123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269,670</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111,489</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Working capital</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1,011,420</w:t>
            </w:r>
          </w:p>
        </w:tc>
        <w:tc>
          <w:tcPr>
            <w:tcW w:w="18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787,235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475,409</w:t>
            </w: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7"/>
              </w:rPr>
              <w:t>Net cash and cash equivalents provided by operating activities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88,913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118,973</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84,851</w:t>
            </w: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(215,567)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(316,194)</w:t>
            </w:r>
          </w:p>
        </w:tc>
        <w:tc>
          <w:tcPr>
            <w:tcW w:w="3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(71,230)</w:t>
            </w: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7"/>
              </w:rPr>
              <w:t>Net cash and cash equivalents provided by financing activities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222,460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359,342</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12,778</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 xml:space="preserve">Our cash and cash equivalents at December 31, 2020 was held for working capital purposes. We believe our working capital is sufficient to support our operations for at least the next 12 months. At December 31, 2020, $83.7 million of our cash and cash equivalents was held in accounts outside the United States. </w:t>
      </w:r>
      <w:r>
        <w:rPr>
          <w:rFonts w:ascii="Arial" w:cs="Arial" w:eastAsia="Arial" w:hAnsi="Arial"/>
          <w:sz w:val="17"/>
          <w:szCs w:val="17"/>
          <w:color w:val="222222"/>
        </w:rPr>
        <w:t>As of December 31, 2018, we no longer assert indefinite reinvestment of our foreign earnings because these earnings have been subject to</w:t>
      </w:r>
      <w:r>
        <w:rPr>
          <w:rFonts w:ascii="Arial" w:cs="Arial" w:eastAsia="Arial" w:hAnsi="Arial"/>
          <w:sz w:val="17"/>
          <w:szCs w:val="17"/>
          <w:color w:val="auto"/>
        </w:rPr>
        <w:t xml:space="preserve"> </w:t>
      </w:r>
      <w:r>
        <w:rPr>
          <w:rFonts w:ascii="Arial" w:cs="Arial" w:eastAsia="Arial" w:hAnsi="Arial"/>
          <w:sz w:val="17"/>
          <w:szCs w:val="17"/>
          <w:color w:val="222222"/>
        </w:rPr>
        <w:t>U.S. Federal tax. While we have concluded that any incremental tax incurred upon ultimate distribution of these earnings to be immaterial, our current plans do not demonstrate a need to repatriate undistributed earnings to fund our U.S. operations.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Operating Activities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0"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 xml:space="preserve">Net cash and cash equivalents provided by operating activities during the year ended December 31, 2020 primarily reflected our net loss of $85.0 million, the portion of the repayment of the 2022 Notes attributable to the debt discount of $49.0 million, benefit for deferred income taxes of $2.2 million and accretion of bond discounts of $3.7 million, offset by non-cash expenses that included $37.1 million of depreciation and amortization, $121.5 million in stock-based compensation, $10.5 million of loss on early extinguishment of 2022 Notes and $24.9 million of amortization of debt discount and issuance costs. Working capital sources of cash and cash equivalents primarily included a $72.6 million increase in deferred revenue primarily resulting from the growth in the number of customers invoiced during the period, a $26.0 million increase in accrued expenses, a $3.7 million increase in accounts payable related to timing of bill payments, </w:t>
      </w:r>
      <w:r>
        <w:rPr>
          <w:rFonts w:ascii="Arial" w:cs="Arial" w:eastAsia="Arial" w:hAnsi="Arial"/>
          <w:sz w:val="16"/>
          <w:szCs w:val="16"/>
          <w:color w:val="212529"/>
        </w:rPr>
        <w:t>and a $31.4 million increase in right-of-use asset</w:t>
      </w:r>
      <w:r>
        <w:rPr>
          <w:rFonts w:ascii="Arial" w:cs="Arial" w:eastAsia="Arial" w:hAnsi="Arial"/>
          <w:sz w:val="16"/>
          <w:szCs w:val="16"/>
          <w:color w:val="auto"/>
        </w:rPr>
        <w:t>. These sources of cash and cash equivalents were offset by a $</w:t>
      </w:r>
      <w:r>
        <w:rPr>
          <w:rFonts w:ascii="Arial" w:cs="Arial" w:eastAsia="Arial" w:hAnsi="Arial"/>
          <w:sz w:val="16"/>
          <w:szCs w:val="16"/>
          <w:color w:val="212529"/>
        </w:rPr>
        <w:t>31.6</w:t>
      </w:r>
      <w:r>
        <w:rPr>
          <w:rFonts w:ascii="Arial" w:cs="Arial" w:eastAsia="Arial" w:hAnsi="Arial"/>
          <w:sz w:val="16"/>
          <w:szCs w:val="16"/>
          <w:color w:val="auto"/>
        </w:rPr>
        <w:t xml:space="preserve"> </w:t>
      </w:r>
      <w:r>
        <w:rPr>
          <w:rFonts w:ascii="Arial" w:cs="Arial" w:eastAsia="Arial" w:hAnsi="Arial"/>
          <w:sz w:val="16"/>
          <w:szCs w:val="16"/>
          <w:color w:val="212529"/>
        </w:rPr>
        <w:t xml:space="preserve">million decrease in lease </w:t>
      </w:r>
      <w:r>
        <w:rPr>
          <w:rFonts w:ascii="Arial" w:cs="Arial" w:eastAsia="Arial" w:hAnsi="Arial"/>
          <w:sz w:val="16"/>
          <w:szCs w:val="16"/>
          <w:color w:val="000000"/>
        </w:rPr>
        <w:t>liabilities, a $30.0 million increase in accounts receivable as a result of increased billings to customers consistent with the overall</w:t>
      </w:r>
      <w:r>
        <w:rPr>
          <w:rFonts w:ascii="Arial" w:cs="Arial" w:eastAsia="Arial" w:hAnsi="Arial"/>
          <w:sz w:val="16"/>
          <w:szCs w:val="16"/>
          <w:color w:val="212529"/>
        </w:rPr>
        <w:t xml:space="preserve"> </w:t>
      </w:r>
      <w:r>
        <w:rPr>
          <w:rFonts w:ascii="Arial" w:cs="Arial" w:eastAsia="Arial" w:hAnsi="Arial"/>
          <w:sz w:val="16"/>
          <w:szCs w:val="16"/>
          <w:color w:val="000000"/>
        </w:rPr>
        <w:t>growth of the business, $19.3 million increase in deferred commissions and a $17.0 million increase in prepaid and other assets</w:t>
      </w:r>
      <w:r>
        <w:rPr>
          <w:rFonts w:ascii="Arial" w:cs="Arial" w:eastAsia="Arial" w:hAnsi="Arial"/>
          <w:sz w:val="16"/>
          <w:szCs w:val="16"/>
          <w:color w:val="212529"/>
        </w:rPr>
        <w:t>.</w:t>
      </w:r>
    </w:p>
    <w:p>
      <w:pPr>
        <w:spacing w:after="0" w:line="16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Net cash and cash equivalents provided by operating activities during the year ended December 31, 2019 primarily reflected our net loss of $53.7 million and accretion of bond discount of $14.2 million offset by non-cash expenses that included $28.8 million of depreciation and amortization, $97.8 million in stock-based compensation, and $21.8 million of amortization of debt discount and issuance costs. Working capital sources of cash and cash equivalents primarily included a $49.3 million increase in deferred revenue primarily resulting from the growth in the number of customers invoiced during the period, a $7.8 million increase in accrued expenses, a $3.9 million increase in accounts payable related to timing of bill payments, </w:t>
      </w:r>
      <w:r>
        <w:rPr>
          <w:rFonts w:ascii="Arial" w:cs="Arial" w:eastAsia="Arial" w:hAnsi="Arial"/>
          <w:sz w:val="17"/>
          <w:szCs w:val="17"/>
          <w:color w:val="212529"/>
        </w:rPr>
        <w:t>and a $22.7 million</w:t>
      </w:r>
      <w:r>
        <w:rPr>
          <w:rFonts w:ascii="Arial" w:cs="Arial" w:eastAsia="Arial" w:hAnsi="Arial"/>
          <w:sz w:val="17"/>
          <w:szCs w:val="17"/>
          <w:color w:val="auto"/>
        </w:rPr>
        <w:t xml:space="preserve"> </w:t>
      </w:r>
      <w:r>
        <w:rPr>
          <w:rFonts w:ascii="Arial" w:cs="Arial" w:eastAsia="Arial" w:hAnsi="Arial"/>
          <w:sz w:val="17"/>
          <w:szCs w:val="17"/>
          <w:color w:val="212529"/>
        </w:rPr>
        <w:t>increase in right-of-use asset</w:t>
      </w:r>
      <w:r>
        <w:rPr>
          <w:rFonts w:ascii="Arial" w:cs="Arial" w:eastAsia="Arial" w:hAnsi="Arial"/>
          <w:sz w:val="17"/>
          <w:szCs w:val="17"/>
          <w:color w:val="000000"/>
        </w:rPr>
        <w:t>. These sources of cash and cash equivalents were offset by a $</w:t>
      </w:r>
      <w:r>
        <w:rPr>
          <w:rFonts w:ascii="Arial" w:cs="Arial" w:eastAsia="Arial" w:hAnsi="Arial"/>
          <w:sz w:val="17"/>
          <w:szCs w:val="17"/>
          <w:color w:val="212529"/>
        </w:rPr>
        <w:t xml:space="preserve">15.8 million decrease in lease </w:t>
      </w:r>
      <w:r>
        <w:rPr>
          <w:rFonts w:ascii="Arial" w:cs="Arial" w:eastAsia="Arial" w:hAnsi="Arial"/>
          <w:sz w:val="17"/>
          <w:szCs w:val="17"/>
          <w:color w:val="000000"/>
        </w:rPr>
        <w:t>liabilities, a $15.4 million</w:t>
      </w:r>
      <w:r>
        <w:rPr>
          <w:rFonts w:ascii="Arial" w:cs="Arial" w:eastAsia="Arial" w:hAnsi="Arial"/>
          <w:sz w:val="17"/>
          <w:szCs w:val="17"/>
          <w:color w:val="212529"/>
        </w:rPr>
        <w:t xml:space="preserve"> </w:t>
      </w:r>
      <w:r>
        <w:rPr>
          <w:rFonts w:ascii="Arial" w:cs="Arial" w:eastAsia="Arial" w:hAnsi="Arial"/>
          <w:sz w:val="17"/>
          <w:szCs w:val="17"/>
          <w:color w:val="000000"/>
        </w:rPr>
        <w:t>increase in accounts receivable as a result of increased billings to customers consistent with the overall growth of the business, $9.7 million increase in deferred commissions and a $3.3 million increase in prepaid and other assets</w:t>
      </w:r>
      <w:r>
        <w:rPr>
          <w:rFonts w:ascii="Arial" w:cs="Arial" w:eastAsia="Arial" w:hAnsi="Arial"/>
          <w:sz w:val="17"/>
          <w:szCs w:val="17"/>
          <w:color w:val="212529"/>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3" w:name="page54"/>
    <w:bookmarkEnd w:id="53"/>
    <w:p>
      <w:pPr>
        <w:ind w:firstLine="510"/>
        <w:spacing w:after="0" w:line="271" w:lineRule="auto"/>
        <w:rPr>
          <w:sz w:val="20"/>
          <w:szCs w:val="20"/>
          <w:color w:val="auto"/>
        </w:rPr>
      </w:pPr>
      <w:r>
        <w:rPr>
          <w:rFonts w:ascii="Arial" w:cs="Arial" w:eastAsia="Arial" w:hAnsi="Arial"/>
          <w:sz w:val="17"/>
          <w:szCs w:val="17"/>
          <w:color w:val="auto"/>
        </w:rPr>
        <w:t>Net cash and cash equivalents provided by operating activities during the year ended December 31, 2018 primarily reflected our net loss of $63.8 million and accretion of bond discount of $6.8 million offset by non-cash expenses that included $23.4 million of depreciation and amortization, $76.3 million in stock-based compensation, $2.3 million of non-cash rent expense and $20.3 million of amortization of debt discount and issuance costs. Working capital sources of cash and cash equivalents primarily included a $49.3 million increase in deferred revenue primarily resulting from the growth in the number of customers invoiced during the period and a $11.9 million increase in accrued expenses, a $5.8 million increase in deferred rent, a $3.9 million decrease in prepaid and other assets, and a $3.3 million increase in accounts payable related to timing of bill payments. These sources of cash and cash equivalents were offset by a $17.7 million increase in accounts receivable as a result of increased billings to customers consistent with the overall growth of the business, and a $23.9 million increase in deferred commissions.</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Used in Investing Activities</w:t>
      </w:r>
    </w:p>
    <w:p>
      <w:pPr>
        <w:spacing w:after="0" w:line="117"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Our investing activities have consisted primarily of purchases, maturities and sale of investments, property and equipment purchases, an acquisition of a business, strategic investments, and capitalization of software development costs. Capitalized software development costs are related to new products or improvements to our existing software platform that expands the functionality for our customers.</w:t>
      </w:r>
    </w:p>
    <w:p>
      <w:pPr>
        <w:spacing w:after="0" w:line="184"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Net cash and cash equivalents used in investing activities during the year ended December 31, 2020 consisted primarily of $1.5 billion in purchases of investments, $37.3 million of purchased property and equipment, $2.5 million of purchases of strategic investments, and $21.6 million of capitalized software development costs. These uses of cash were offset by $1.4 billion received related to the maturity of investments and $10.9 million received for sale of investments.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Net cash and cash equivalents used in investing activities during the year ended December 31, 2019 consisted primarily of $1.3 billion of purchases of investments, $40.4 million of purchased property and equipment, $13.5 million of capitalized software development costs, a $23.3 million business acquisition and $0.6 million related to the purchase of strategic investments. These uses of cash were offset by $1.1 billion received related to the maturity of investments.</w:t>
      </w:r>
    </w:p>
    <w:p>
      <w:pPr>
        <w:spacing w:after="0" w:line="187"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Net cash and cash equivalents used in investing activities during the year ended December 31, 2018 consisted primarily of $681.6 million of purchases of investments, $22.3 million of purchased property and equipment, $11.2 million of capitalized software development costs and $0.5 million related to the purchase of strategic investments. These uses of cash were offset by $644.4 million received related to the maturity of investments.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Cash and Cash Equivalents Provided by Financing Activities</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Our financing activities have consisted primarily of our stock offerings, the various components of our 2025 Notes offering, the various components of our 2022 Notes repayment, the issuance of common stock under our stock plans, payments of employee taxes related to the net share settlement of stock-based awards, and repayments of our finance lease obligations.</w:t>
      </w:r>
    </w:p>
    <w:p>
      <w:pPr>
        <w:spacing w:after="0" w:line="184"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For the year ended December 31, 2020, cash provided by financing activities consisted of $450.1 million of net proceeds from the issuance of the 2025 Notes, $363.6 million of proceeds from the settlement of the Convertible Note Hedges related to the 2022 Notes, and $30.4 million of proceeds related to issuance of common stock under stock plans. This source of cash was offset by $236.0 million used for repayment of the 2022 Notes attributable to the principal, $327.5 million for payment to settle the Warrants related to the 2022 Notes, $50.6 million for payment of the Capped Call Options related to the 2025 Notes, and $7.4 million used for payment of employee taxes related to the net share settlement of stock-based awards.</w:t>
      </w:r>
    </w:p>
    <w:p>
      <w:pPr>
        <w:spacing w:after="0" w:line="161"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 xml:space="preserve">For the year ended December 31, 2019, cash and cash equivalents provided by financing activities consisted primarily of </w:t>
      </w:r>
      <w:r>
        <w:rPr>
          <w:rFonts w:ascii="Arial" w:cs="Arial" w:eastAsia="Arial" w:hAnsi="Arial"/>
          <w:sz w:val="17"/>
          <w:szCs w:val="17"/>
          <w:color w:val="212529"/>
        </w:rPr>
        <w:t>$342.6 million of net</w:t>
      </w:r>
      <w:r>
        <w:rPr>
          <w:rFonts w:ascii="Arial" w:cs="Arial" w:eastAsia="Arial" w:hAnsi="Arial"/>
          <w:sz w:val="17"/>
          <w:szCs w:val="17"/>
          <w:color w:val="auto"/>
        </w:rPr>
        <w:t xml:space="preserve"> </w:t>
      </w:r>
      <w:r>
        <w:rPr>
          <w:rFonts w:ascii="Arial" w:cs="Arial" w:eastAsia="Arial" w:hAnsi="Arial"/>
          <w:sz w:val="17"/>
          <w:szCs w:val="17"/>
          <w:color w:val="212529"/>
        </w:rPr>
        <w:t xml:space="preserve">proceeds related to common stock offering and </w:t>
      </w:r>
      <w:r>
        <w:rPr>
          <w:rFonts w:ascii="Arial" w:cs="Arial" w:eastAsia="Arial" w:hAnsi="Arial"/>
          <w:sz w:val="17"/>
          <w:szCs w:val="17"/>
          <w:color w:val="000000"/>
        </w:rPr>
        <w:t>$23.6 million of proceeds related to issuance of common stock under stock plans. These sources of cash</w:t>
      </w:r>
      <w:r>
        <w:rPr>
          <w:rFonts w:ascii="Arial" w:cs="Arial" w:eastAsia="Arial" w:hAnsi="Arial"/>
          <w:sz w:val="17"/>
          <w:szCs w:val="17"/>
          <w:color w:val="212529"/>
        </w:rPr>
        <w:t xml:space="preserve"> </w:t>
      </w:r>
      <w:r>
        <w:rPr>
          <w:rFonts w:ascii="Arial" w:cs="Arial" w:eastAsia="Arial" w:hAnsi="Arial"/>
          <w:sz w:val="17"/>
          <w:szCs w:val="17"/>
          <w:color w:val="000000"/>
        </w:rPr>
        <w:t>were offset by $6.2 million used for payment of employee taxes related to the net share settlement of stock-based awards, $0.3 million for repayment of debt associated with our business acquisition and $0.3 million used for repayments of finance leases.</w:t>
      </w:r>
    </w:p>
    <w:p>
      <w:pPr>
        <w:spacing w:after="0" w:line="17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For the year ended December 31, 2018, cash and cash equivalents provided by financing activities consisted primarily of $21.6 million of proceeds related to issuance of common stock under stock plans. These sources of cash were offset by $8.0 million used for payment of employee taxes related to the net share settlement of stock-based awards and $0.7 million used for repayments of finance leases.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73" w:lineRule="exact"/>
        <w:rPr>
          <w:sz w:val="20"/>
          <w:szCs w:val="20"/>
          <w:color w:val="auto"/>
        </w:rPr>
      </w:pPr>
    </w:p>
    <w:p>
      <w:pPr>
        <w:ind w:right="740" w:firstLine="510"/>
        <w:spacing w:after="0" w:line="342" w:lineRule="auto"/>
        <w:rPr>
          <w:sz w:val="20"/>
          <w:szCs w:val="20"/>
          <w:color w:val="auto"/>
        </w:rPr>
      </w:pPr>
      <w:r>
        <w:rPr>
          <w:rFonts w:ascii="Arial" w:cs="Arial" w:eastAsia="Arial" w:hAnsi="Arial"/>
          <w:sz w:val="16"/>
          <w:szCs w:val="16"/>
          <w:color w:val="auto"/>
        </w:rPr>
        <w:t>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We generate revenue from arrangements with multiple performance obligations, which typically include subscriptions to our online software solutions and professional services which include on-boarding and training services. Our customers do not have the right to take possession of the online software products. Revenue from online software products is recognized ratably over the subscription period beginning on the date the online software product is made available to customers. We recognize revenue from on-boarding and training services as the services are provided. Amounts billed that have not yet met the applicable revenue recognition criteria are recorded as deferred revenue.</w:t>
      </w:r>
    </w:p>
    <w:p>
      <w:pPr>
        <w:spacing w:after="0" w:line="20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Costs to Obtain a Contract with a Customer</w:t>
      </w:r>
    </w:p>
    <w:p>
      <w:pPr>
        <w:spacing w:after="0" w:line="13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Sales commissions earned by our sales force are considered incremental, recoverable costs of obtaining a contract with a customer. Sales commissions for initial contracts are deferred and then amortized on a straight-line basis over a period of benefit that we have determined to be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22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Software development costs consist of certain payroll and stock compensation costs incurred to develop functionality for our CRM Platform and internally-built software platforms, as well as certain upgrades and enhancements that are expected to result in enhanced functionality. We capitalize certain software development costs for new offerings as well as upgrades to our existing software platforms, while costs associated with planning new developments and maintaining our CRM Platform software and internally built software platforms are expensed as incurred.. We amortize these development costs over the estimated useful life of two to five years on a straight-line basis. 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Management evaluates the useful lives of these assets on a quarterly basis and tests for impairment whenever events or changes in circumstances occur that could impact the recoverability of these assets.</w:t>
      </w:r>
    </w:p>
    <w:p>
      <w:pPr>
        <w:spacing w:after="0" w:line="196" w:lineRule="exact"/>
        <w:rPr>
          <w:sz w:val="20"/>
          <w:szCs w:val="20"/>
          <w:color w:val="auto"/>
        </w:rPr>
      </w:pPr>
    </w:p>
    <w:p>
      <w:pPr>
        <w:ind w:right="140" w:firstLine="749"/>
        <w:spacing w:after="0" w:line="311" w:lineRule="auto"/>
        <w:rPr>
          <w:sz w:val="20"/>
          <w:szCs w:val="20"/>
          <w:color w:val="auto"/>
        </w:rPr>
      </w:pPr>
      <w:r>
        <w:rPr>
          <w:rFonts w:ascii="Arial" w:cs="Arial" w:eastAsia="Arial" w:hAnsi="Arial"/>
          <w:sz w:val="16"/>
          <w:szCs w:val="16"/>
          <w:color w:val="auto"/>
        </w:rPr>
        <w:t>We determine the amount of internal software costs to be capitalized based on the amount of time spent by our developers on projects in the application stage of development.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5" w:name="page56"/>
    <w:bookmarkEnd w:id="55"/>
    <w:p>
      <w:pPr>
        <w:ind w:left="500"/>
        <w:spacing w:after="0"/>
        <w:rPr>
          <w:sz w:val="20"/>
          <w:szCs w:val="20"/>
          <w:color w:val="auto"/>
        </w:rPr>
      </w:pPr>
      <w:r>
        <w:rPr>
          <w:rFonts w:ascii="Arial" w:cs="Arial" w:eastAsia="Arial" w:hAnsi="Arial"/>
          <w:sz w:val="18"/>
          <w:szCs w:val="18"/>
          <w:b w:val="1"/>
          <w:bCs w:val="1"/>
          <w:i w:val="1"/>
          <w:iCs w:val="1"/>
          <w:color w:val="212529"/>
        </w:rPr>
        <w:t>Leases</w:t>
      </w:r>
    </w:p>
    <w:p>
      <w:pPr>
        <w:spacing w:after="0" w:line="13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On January 1, 2019, we adopted the new lease guidance using a modified retrospective transition method applied to those leases which were not completed as of January 1, 2019.</w:t>
      </w:r>
    </w:p>
    <w:p>
      <w:pPr>
        <w:spacing w:after="0" w:line="170"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We lease office facilities under non-cancelable operating leases that expire at various dates through May 2031. Certain leases contain optional termination dates.</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determine if an arrangement contains a lease at inception and does not separate lease and non-lease components of an arrangement determined to contain a lease. Operating and finance leases with a duration of less than 12 months are excluded from right-of-use-assets and lease liabilities and related expense is recorded as incurred.</w:t>
      </w:r>
    </w:p>
    <w:p>
      <w:pPr>
        <w:spacing w:after="0" w:line="2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 in determining the present value of operating lease payments. To determine the estimated incremental borrowing rate, we use publicly available credit ratings for peer companies. We estimate the incremental borrowing rate using yields for maturities that are in line with the duration of the lease payments, which requires judgment.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Contractual obligations are cash that we are obligated to pay as part of certain contracts that we have entered during our course of business. Certain of our leases contain optional termination dates. The table below only includes payments up to the optional termination date. If we were to extend leases beyond the optional termination date, the future commitments would increase by approximately $90.8 million. Below is a table that shows the projected outlays as of December 31, 2020: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Payments due in:</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81"/>
              </w:rPr>
              <w:t>Less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3-5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rPr>
              <w:t>More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than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obligations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388,962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Vendor commitments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102,397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71,259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491,359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97,303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3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As of December 31, 2020, we had a total of $3.4 million in letters of credit outstanding substantially in favor of certain landlords for office space. These irrevocable letters of credit, which are not included in the table of contractual obligations above, are expected to remain in effect, in some cases, until 2029.</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35"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We have no material off-balance sheet arrangements at December 31, 2020 or 2019 exclusive of items described above and indemnifications of officers, directors and employees for certain events or occurrences while the officer, director or employee is, or was, serving at our request in such capacity.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Annual Report on Form 10-K.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right="320" w:firstLine="510"/>
        <w:spacing w:after="0" w:line="286"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16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17"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In May 2017, we issued $400.0 million aggregate principal amount of 0.25% convertible senior due June 1, 2022, of which $272.1 million was repurchased in June 2020 and $2 million was settled in cash in the fourth quarter of 2020. As of December 31, 2020, $125.8 million of principal remains outstanding on the 2022 Notes. Also in June 2020, we issued $460 million aggregate principal amount of convertible senior notes due June 1, 2025.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2022 Notes and the 2025 Notes (the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181"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December 31, 2020 and the estimated impact on the fair value of the Notes. The selected scenarios are not predictions of future events, but rather are intended to illustrate the effect such event may have on the fair value of the Notes.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2022 Notes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Hypothetical</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percentage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Estimated change in</w:t>
            </w: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Hypothetical change in HubSpot stock price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Fair value</w:t>
            </w:r>
          </w:p>
        </w:tc>
        <w:tc>
          <w:tcPr>
            <w:tcW w:w="1740" w:type="dxa"/>
            <w:vAlign w:val="bottom"/>
            <w:gridSpan w:val="4"/>
            <w:vMerge w:val="continue"/>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fair value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577,631</w:t>
            </w:r>
          </w:p>
        </w:tc>
        <w:tc>
          <w:tcPr>
            <w:tcW w:w="2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50,480</w:t>
            </w:r>
          </w:p>
        </w:tc>
        <w:tc>
          <w:tcPr>
            <w:tcW w:w="220" w:type="dxa"/>
            <w:vAlign w:val="bottom"/>
            <w:vMerge w:val="continue"/>
            <w:shd w:val="clear" w:color="auto" w:fill="CFF0FC"/>
          </w:tcPr>
          <w:p>
            <w:pPr>
              <w:spacing w:after="0"/>
              <w:rPr>
                <w:sz w:val="19"/>
                <w:szCs w:val="19"/>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 change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527,151</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472,359</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(54,792)</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74"/>
              <w:spacing w:after="0"/>
              <w:rPr>
                <w:sz w:val="20"/>
                <w:szCs w:val="20"/>
                <w:color w:val="auto"/>
              </w:rPr>
            </w:pPr>
            <w:r>
              <w:rPr>
                <w:rFonts w:ascii="Arial" w:cs="Arial" w:eastAsia="Arial" w:hAnsi="Arial"/>
                <w:sz w:val="18"/>
                <w:szCs w:val="18"/>
                <w:color w:val="auto"/>
                <w:w w:val="89"/>
              </w:rPr>
              <w:t>55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760"/>
        <w:spacing w:after="0"/>
        <w:rPr>
          <w:sz w:val="20"/>
          <w:szCs w:val="20"/>
          <w:color w:val="auto"/>
        </w:rPr>
      </w:pPr>
      <w:r>
        <w:rPr>
          <w:rFonts w:ascii="Arial" w:cs="Arial" w:eastAsia="Arial" w:hAnsi="Arial"/>
          <w:sz w:val="18"/>
          <w:szCs w:val="18"/>
          <w:b w:val="1"/>
          <w:bCs w:val="1"/>
          <w:color w:val="auto"/>
        </w:rPr>
        <w:t>2025 Notes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Hypothetical</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percentage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4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Estimated change in</w:t>
            </w: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increase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Hypothetical change in HubSpot stock price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Fair value</w:t>
            </w:r>
          </w:p>
        </w:tc>
        <w:tc>
          <w:tcPr>
            <w:tcW w:w="1740" w:type="dxa"/>
            <w:vAlign w:val="bottom"/>
            <w:gridSpan w:val="4"/>
            <w:vMerge w:val="continue"/>
          </w:tcPr>
          <w:p>
            <w:pPr>
              <w:spacing w:after="0"/>
              <w:rPr>
                <w:sz w:val="12"/>
                <w:szCs w:val="12"/>
                <w:color w:val="auto"/>
              </w:rPr>
            </w:pPr>
          </w:p>
        </w:tc>
        <w:tc>
          <w:tcPr>
            <w:tcW w:w="1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(decrease) in</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fair value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1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794,047</w:t>
            </w:r>
          </w:p>
        </w:tc>
        <w:tc>
          <w:tcPr>
            <w:tcW w:w="2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75,240</w:t>
            </w:r>
          </w:p>
        </w:tc>
        <w:tc>
          <w:tcPr>
            <w:tcW w:w="220" w:type="dxa"/>
            <w:vAlign w:val="bottom"/>
            <w:vMerge w:val="continue"/>
            <w:shd w:val="clear" w:color="auto" w:fill="CFF0FC"/>
          </w:tcPr>
          <w:p>
            <w:pPr>
              <w:spacing w:after="0"/>
              <w:rPr>
                <w:sz w:val="19"/>
                <w:szCs w:val="19"/>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 change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718,807</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679,664</w:t>
            </w:r>
          </w:p>
        </w:tc>
        <w:tc>
          <w:tcPr>
            <w:tcW w:w="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(39,143)</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74"/>
              <w:spacing w:after="0"/>
              <w:rPr>
                <w:sz w:val="20"/>
                <w:szCs w:val="20"/>
                <w:color w:val="auto"/>
              </w:rPr>
            </w:pPr>
            <w:r>
              <w:rPr>
                <w:rFonts w:ascii="Arial" w:cs="Arial" w:eastAsia="Arial" w:hAnsi="Arial"/>
                <w:sz w:val="18"/>
                <w:szCs w:val="18"/>
                <w:color w:val="auto"/>
                <w:w w:val="89"/>
              </w:rPr>
              <w:t>56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191"/>
        </w:trPr>
        <w:tc>
          <w:tcPr>
            <w:tcW w:w="4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Error!</w:t>
            </w:r>
          </w:p>
        </w:tc>
        <w:tc>
          <w:tcPr>
            <w:tcW w:w="20" w:type="dxa"/>
            <w:vAlign w:val="bottom"/>
          </w:tcPr>
          <w:p>
            <w:pPr>
              <w:spacing w:after="0"/>
              <w:rPr>
                <w:sz w:val="16"/>
                <w:szCs w:val="16"/>
                <w:color w:val="auto"/>
              </w:rPr>
            </w:pPr>
          </w:p>
        </w:tc>
      </w:tr>
      <w:tr>
        <w:trPr>
          <w:trHeight w:val="216"/>
        </w:trPr>
        <w:tc>
          <w:tcPr>
            <w:tcW w:w="4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0"/>
              </w:rPr>
              <w:t>Bookmark</w:t>
            </w:r>
          </w:p>
        </w:tc>
      </w:tr>
      <w:tr>
        <w:trPr>
          <w:trHeight w:val="216"/>
        </w:trPr>
        <w:tc>
          <w:tcPr>
            <w:tcW w:w="4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not</w:t>
            </w:r>
          </w:p>
        </w:tc>
      </w:tr>
      <w:tr>
        <w:trPr>
          <w:trHeight w:val="194"/>
        </w:trPr>
        <w:tc>
          <w:tcPr>
            <w:tcW w:w="4300" w:type="dxa"/>
            <w:vAlign w:val="bottom"/>
            <w:tcBorders>
              <w:bottom w:val="single" w:sz="8" w:color="0000EE"/>
            </w:tcBorders>
          </w:tcPr>
          <w:p>
            <w:pPr>
              <w:spacing w:after="0" w:line="194" w:lineRule="exact"/>
              <w:rPr>
                <w:sz w:val="20"/>
                <w:szCs w:val="20"/>
                <w:color w:val="auto"/>
              </w:rPr>
            </w:pPr>
            <w:r>
              <w:rPr>
                <w:rFonts w:ascii="Arial" w:cs="Arial" w:eastAsia="Arial" w:hAnsi="Arial"/>
                <w:sz w:val="18"/>
                <w:szCs w:val="18"/>
                <w:color w:val="0000EE"/>
                <w:w w:val="91"/>
              </w:rPr>
              <w:t>Reports of Independent Registered Public Accounting Firm</w:t>
            </w:r>
          </w:p>
        </w:tc>
        <w:tc>
          <w:tcPr>
            <w:tcW w:w="6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rPr>
              <w:t>defined.</w:t>
            </w:r>
          </w:p>
        </w:tc>
      </w:tr>
      <w:tr>
        <w:trPr>
          <w:trHeight w:val="222"/>
        </w:trPr>
        <w:tc>
          <w:tcPr>
            <w:tcW w:w="492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Balance Sheets</w:t>
              </w:r>
            </w:hyperlink>
          </w:p>
        </w:tc>
        <w:tc>
          <w:tcPr>
            <w:tcW w:w="634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492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Consolidated Statements of Operations</w:t>
              </w:r>
            </w:hyperlink>
          </w:p>
        </w:tc>
        <w:tc>
          <w:tcPr>
            <w:tcW w:w="63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4920" w:type="dxa"/>
            <w:vAlign w:val="bottom"/>
            <w:gridSpan w:val="2"/>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Statements of Comprehensive Loss</w:t>
              </w:r>
            </w:hyperlink>
          </w:p>
        </w:tc>
        <w:tc>
          <w:tcPr>
            <w:tcW w:w="634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492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 of Stockholders’ Equity</w:t>
              </w:r>
            </w:hyperlink>
          </w:p>
        </w:tc>
        <w:tc>
          <w:tcPr>
            <w:tcW w:w="634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4920" w:type="dxa"/>
            <w:vAlign w:val="bottom"/>
            <w:gridSpan w:val="2"/>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Consolidated Statements of Cash Flows</w:t>
              </w:r>
            </w:hyperlink>
          </w:p>
        </w:tc>
        <w:tc>
          <w:tcPr>
            <w:tcW w:w="63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r>
      <w:tr>
        <w:trPr>
          <w:trHeight w:val="230"/>
        </w:trPr>
        <w:tc>
          <w:tcPr>
            <w:tcW w:w="4920" w:type="dxa"/>
            <w:vAlign w:val="bottom"/>
            <w:gridSpan w:val="2"/>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Notes to Consolidated Financial Statements</w:t>
              </w:r>
            </w:hyperlink>
          </w:p>
        </w:tc>
        <w:tc>
          <w:tcPr>
            <w:tcW w:w="6340" w:type="dxa"/>
            <w:vAlign w:val="bottom"/>
            <w:gridSpan w:val="3"/>
          </w:tcPr>
          <w:p>
            <w:pPr>
              <w:jc w:val="right"/>
              <w:ind w:right="20"/>
              <w:spacing w:after="0"/>
              <w:rPr>
                <w:sz w:val="20"/>
                <w:szCs w:val="20"/>
                <w:color w:val="auto"/>
              </w:rPr>
            </w:pPr>
            <w:r>
              <w:rPr>
                <w:rFonts w:ascii="Arial" w:cs="Arial" w:eastAsia="Arial" w:hAnsi="Arial"/>
                <w:sz w:val="18"/>
                <w:szCs w:val="18"/>
                <w:color w:val="auto"/>
              </w:rPr>
              <w:t>66</w:t>
            </w:r>
          </w:p>
        </w:tc>
      </w:tr>
      <w:tr>
        <w:trPr>
          <w:trHeight w:val="648"/>
        </w:trPr>
        <w:tc>
          <w:tcPr>
            <w:tcW w:w="4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00" w:type="dxa"/>
            <w:vAlign w:val="bottom"/>
          </w:tcPr>
          <w:p>
            <w:pPr>
              <w:jc w:val="right"/>
              <w:ind w:right="4610"/>
              <w:spacing w:after="0"/>
              <w:rPr>
                <w:sz w:val="20"/>
                <w:szCs w:val="20"/>
                <w:color w:val="auto"/>
              </w:rPr>
            </w:pPr>
            <w:r>
              <w:rPr>
                <w:rFonts w:ascii="Arial" w:cs="Arial" w:eastAsia="Arial" w:hAnsi="Arial"/>
                <w:sz w:val="18"/>
                <w:szCs w:val="18"/>
                <w:color w:val="auto"/>
              </w:rPr>
              <w:t>57</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HubSpot,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HubSpot, Inc. and its subsidiaries (the “Company”) as of December 31, 2020 and 2019, and the related consolidated statements of operations, of comprehensive loss,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3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98" w:lineRule="exact"/>
        <w:rPr>
          <w:sz w:val="20"/>
          <w:szCs w:val="20"/>
          <w:color w:val="auto"/>
        </w:rPr>
      </w:pPr>
    </w:p>
    <w:p>
      <w:pPr>
        <w:ind w:right="1300"/>
        <w:spacing w:after="0" w:line="453"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the manner in which it accounts for leases in 2019. </w:t>
      </w:r>
      <w:r>
        <w:rPr>
          <w:rFonts w:ascii="Arial" w:cs="Arial" w:eastAsia="Arial" w:hAnsi="Arial"/>
          <w:sz w:val="18"/>
          <w:szCs w:val="18"/>
          <w:b w:val="1"/>
          <w:bCs w:val="1"/>
          <w:i w:val="1"/>
          <w:iCs w:val="1"/>
          <w:color w:val="auto"/>
        </w:rPr>
        <w:t>Basis for Opinions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 costs – estimate of time and related costs eligible for capitalization</w:t>
      </w:r>
    </w:p>
    <w:p>
      <w:pPr>
        <w:spacing w:after="0" w:line="19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described in Note 2 to the consolidated financial statements, the Company’s consolidated capitalized software development costs, net balance was $24.9 million as of December 31, 2020. The Company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There is judgment involved in estimating time allocated to a particular project in the application stage.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estimate of time and related costs eligible for capitalization as capitalized software development costs is a critical audit matter are the significant judgment by management when determining the amount of time to capitalize for projects; this in turn led to a high degree of auditor judgment, subjectivity, and effort in performing procedures and evaluating audit evidence related to management’s determination of capitalized costs and management’s judgment related to the amount of time incurred by developers on projects in the application stage.</w:t>
      </w:r>
    </w:p>
    <w:p>
      <w:pPr>
        <w:spacing w:after="0" w:line="14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(i) testing management’s process for determining the time and related costs eligible for capitalization in the current year, (ii) evaluating whether the time and related costs were eligible for capitalization, (iii) testing the completeness and accuracy of underlying data used in management’s estimate of eligible time and related costs, and (iv)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 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873,073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Accounts receivable—net of allowance for doubtful accounts of $1,993 and $1,584 at December 31,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and 2019, respectively</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Deferred commission expense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1,456,921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1,109,724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275,893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Deferred commission expense, net of current portion</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1,569,268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costs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senior notes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445,501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senior notes, net of current portion</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471,099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260"/>
              <w:spacing w:after="0"/>
              <w:rPr>
                <w:sz w:val="20"/>
                <w:szCs w:val="20"/>
                <w:color w:val="auto"/>
              </w:rPr>
            </w:pPr>
            <w:r>
              <w:rPr>
                <w:rFonts w:ascii="Arial" w:cs="Arial" w:eastAsia="Arial" w:hAnsi="Arial"/>
                <w:sz w:val="18"/>
                <w:szCs w:val="18"/>
                <w:color w:val="auto"/>
                <w:w w:val="90"/>
              </w:rPr>
              <w:t>Common stock, $0.001 par value—authorized, 500,000 shares; 46,115 and 42,955 shares issued and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80"/>
              <w:spacing w:after="0"/>
              <w:rPr>
                <w:sz w:val="20"/>
                <w:szCs w:val="20"/>
                <w:color w:val="auto"/>
              </w:rPr>
            </w:pPr>
            <w:r>
              <w:rPr>
                <w:rFonts w:ascii="Arial" w:cs="Arial" w:eastAsia="Arial" w:hAnsi="Arial"/>
                <w:sz w:val="18"/>
                <w:szCs w:val="18"/>
                <w:color w:val="auto"/>
              </w:rPr>
              <w:t>outstanding at December 31, 2020 and 2019,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1,241,167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(483,161)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(398,130)</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762,655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1,569,268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853,025</w:t>
            </w:r>
          </w:p>
        </w:tc>
        <w:tc>
          <w:tcPr>
            <w:tcW w:w="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646,266</w:t>
            </w:r>
          </w:p>
        </w:tc>
        <w:tc>
          <w:tcPr>
            <w:tcW w:w="180" w:type="dxa"/>
            <w:vAlign w:val="bottom"/>
          </w:tcPr>
          <w:p>
            <w:pPr>
              <w:spacing w:after="0"/>
              <w:rPr>
                <w:sz w:val="19"/>
                <w:szCs w:val="19"/>
                <w:color w:val="auto"/>
              </w:rPr>
            </w:pP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487,450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883,026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674,860</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130,685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98,510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166,959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716,067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544,902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412,623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158,237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340,685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109,225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92,971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766,895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591,893</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(37,049)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(22,818)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(21,386)</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(50,773)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(4,216)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(2,973)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 computing basic and diluted net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per common share:</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42,025</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0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0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100" w:type="dxa"/>
            <w:vAlign w:val="bottom"/>
            <w:gridSpan w:val="2"/>
            <w:shd w:val="clear" w:color="auto" w:fill="CFF0FC"/>
          </w:tcPr>
          <w:p>
            <w:pPr>
              <w:jc w:val="right"/>
              <w:ind w:right="688"/>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(85,031)</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(53,746)</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(63,828)</w:t>
            </w:r>
          </w:p>
        </w:tc>
      </w:tr>
      <w:tr>
        <w:trPr>
          <w:trHeight w:val="213"/>
        </w:trPr>
        <w:tc>
          <w:tcPr>
            <w:tcW w:w="60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(213)</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(776)</w:t>
            </w:r>
          </w:p>
        </w:tc>
      </w:tr>
      <w:tr>
        <w:trPr>
          <w:trHeight w:val="206"/>
        </w:trPr>
        <w:tc>
          <w:tcPr>
            <w:tcW w:w="6060" w:type="dxa"/>
            <w:vAlign w:val="bottom"/>
          </w:tcPr>
          <w:p>
            <w:pPr>
              <w:ind w:left="260"/>
              <w:spacing w:after="0"/>
              <w:rPr>
                <w:sz w:val="20"/>
                <w:szCs w:val="20"/>
                <w:color w:val="auto"/>
              </w:rPr>
            </w:pPr>
            <w:r>
              <w:rPr>
                <w:rFonts w:ascii="Arial" w:cs="Arial" w:eastAsia="Arial" w:hAnsi="Arial"/>
                <w:sz w:val="16"/>
                <w:szCs w:val="16"/>
                <w:color w:val="auto"/>
                <w:w w:val="94"/>
              </w:rPr>
              <w:t>Changes in unrealized gain on investments, net of income taxes of ($116) thousand in</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606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2020, $156 thousand in 2019, and $0 in 2018.</w:t>
            </w:r>
          </w:p>
        </w:tc>
        <w:tc>
          <w:tcPr>
            <w:tcW w:w="2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FF0FC"/>
            </w:tcBorders>
          </w:tcPr>
          <w:p>
            <w:pPr>
              <w:spacing w:after="0"/>
              <w:rPr>
                <w:sz w:val="18"/>
                <w:szCs w:val="18"/>
                <w:color w:val="auto"/>
              </w:rPr>
            </w:pPr>
          </w:p>
        </w:tc>
      </w:tr>
      <w:tr>
        <w:trPr>
          <w:trHeight w:val="20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1100" w:type="dxa"/>
            <w:vAlign w:val="bottom"/>
            <w:gridSpan w:val="2"/>
            <w:shd w:val="clear" w:color="auto" w:fill="CFF0FC"/>
          </w:tcPr>
          <w:p>
            <w:pPr>
              <w:jc w:val="right"/>
              <w:ind w:right="688"/>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(80,092)</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(53,359)</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(64,494)</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8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6"/>
              </w:rPr>
              <w:t>Treasury Stock, $0.001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80" w:type="dxa"/>
            <w:vAlign w:val="bottom"/>
            <w:gridSpan w:val="3"/>
          </w:tcPr>
          <w:p>
            <w:pPr>
              <w:jc w:val="center"/>
              <w:ind w:left="193"/>
              <w:spacing w:after="0" w:line="149" w:lineRule="exact"/>
              <w:rPr>
                <w:sz w:val="20"/>
                <w:szCs w:val="20"/>
                <w:color w:val="auto"/>
              </w:rPr>
            </w:pPr>
            <w:r>
              <w:rPr>
                <w:rFonts w:ascii="Arial" w:cs="Arial" w:eastAsia="Arial" w:hAnsi="Arial"/>
                <w:sz w:val="14"/>
                <w:szCs w:val="14"/>
                <w:b w:val="1"/>
                <w:bCs w:val="1"/>
                <w:color w:val="auto"/>
                <w:w w:val="90"/>
              </w:rPr>
              <w:t>Stock, $0.001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280" w:type="dxa"/>
            <w:vAlign w:val="bottom"/>
            <w:tcBorders>
              <w:bottom w:val="single" w:sz="8" w:color="auto"/>
            </w:tcBorders>
            <w:gridSpan w:val="3"/>
          </w:tcPr>
          <w:p>
            <w:pPr>
              <w:jc w:val="center"/>
              <w:ind w:left="193"/>
              <w:spacing w:after="0"/>
              <w:rPr>
                <w:sz w:val="20"/>
                <w:szCs w:val="20"/>
                <w:color w:val="auto"/>
              </w:rPr>
            </w:pPr>
            <w:r>
              <w:rPr>
                <w:rFonts w:ascii="Arial" w:cs="Arial" w:eastAsia="Arial" w:hAnsi="Arial"/>
                <w:sz w:val="14"/>
                <w:szCs w:val="14"/>
                <w:b w:val="1"/>
                <w:bCs w:val="1"/>
                <w:color w:val="auto"/>
                <w:w w:val="93"/>
              </w:rPr>
              <w:t>Par Value</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Par Value</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8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6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3"/>
                <w:szCs w:val="13"/>
                <w:color w:val="auto"/>
              </w:rPr>
            </w:pPr>
          </w:p>
        </w:tc>
        <w:tc>
          <w:tcPr>
            <w:tcW w:w="6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Capital</w:t>
            </w:r>
          </w:p>
        </w:tc>
        <w:tc>
          <w:tcPr>
            <w:tcW w:w="108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41"/>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2018</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37,503</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496,461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(286,082)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2"/>
              </w:rPr>
              <w:t>$ 210,360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w w:val="94"/>
              </w:rPr>
              <w:t>Issuance of common stock under stock plans,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of shares withheld for employee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1,797</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14,729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w w:val="95"/>
              </w:rPr>
              <w:t>Cumulative adjustment from adoption of revenue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recognition standard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5,526</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Unrealized gain on investments, net of income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taxes of $0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(63,828)</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(63,828)</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Balances at December 31, 2018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39,300</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589,708</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(344,384)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4"/>
              </w:rPr>
              <w:t>Issuance of common stock under stock plans, net</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shares withheld for employee taxes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16,859</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99,185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5"/>
              </w:rPr>
              <w:t>Issuance of common stock in relation to common</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offering, net of offering costs incurred</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$365</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342,628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342,630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investments, net of income</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 of $156</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(53,746)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(53,746)</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42,955</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1,048,380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(398,130)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w w:val="94"/>
              </w:rPr>
              <w:t>Issuance of common stock under stock plans, net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of shares withheld for employee taxes</w:t>
            </w:r>
          </w:p>
        </w:tc>
        <w:tc>
          <w:tcPr>
            <w:tcW w:w="700" w:type="dxa"/>
            <w:vAlign w:val="bottom"/>
          </w:tcPr>
          <w:p>
            <w:pPr>
              <w:jc w:val="right"/>
              <w:spacing w:after="0"/>
              <w:rPr>
                <w:sz w:val="20"/>
                <w:szCs w:val="20"/>
                <w:color w:val="auto"/>
              </w:rPr>
            </w:pPr>
            <w:r>
              <w:rPr>
                <w:rFonts w:ascii="Arial" w:cs="Arial" w:eastAsia="Arial" w:hAnsi="Arial"/>
                <w:sz w:val="18"/>
                <w:szCs w:val="18"/>
                <w:color w:val="auto"/>
              </w:rPr>
              <w:t>1,565</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22,174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4"/>
              </w:rPr>
              <w:t>Equity component of 2025 Notes, net of issuance</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(Note 9)</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Purchase of Capped Call Options (Note 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(50,600)</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(50,600)</w:t>
            </w: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Equity component of the repayment of 2022</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Notes (Note 9)</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123,102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123,102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w w:val="97"/>
              </w:rPr>
              <w:t>Equity component of the 2022 Notes conversion</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Settlement of Convertible Note Hedges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Unrealized gain on investments, net of income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taxes of ($116)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(85,031)</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(85,031)</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Balances at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46,115</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1,241,167</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(483,161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$ 762,655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(85,031)</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(53,746)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(63,828)</w:t>
            </w:r>
          </w:p>
        </w:tc>
        <w:tc>
          <w:tcPr>
            <w:tcW w:w="0" w:type="dxa"/>
            <w:vAlign w:val="bottom"/>
          </w:tcPr>
          <w:p>
            <w:pPr>
              <w:spacing w:after="0"/>
              <w:rPr>
                <w:sz w:val="1"/>
                <w:szCs w:val="1"/>
                <w:color w:val="auto"/>
              </w:rPr>
            </w:pPr>
          </w:p>
        </w:tc>
      </w:tr>
      <w:tr>
        <w:trPr>
          <w:trHeight w:val="20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and cash equivalents provided by</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500"/>
              <w:spacing w:after="0"/>
              <w:rPr>
                <w:sz w:val="20"/>
                <w:szCs w:val="20"/>
                <w:color w:val="auto"/>
              </w:rPr>
            </w:pPr>
            <w:r>
              <w:rPr>
                <w:rFonts w:ascii="Arial" w:cs="Arial" w:eastAsia="Arial" w:hAnsi="Arial"/>
                <w:sz w:val="16"/>
                <w:szCs w:val="16"/>
                <w:color w:val="auto"/>
              </w:rPr>
              <w:t>Loss on early extinguishment of 2022 Convertible Notes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 of 2022 Convertible Notes attributable to the debt discount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(49,048)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80" w:type="dxa"/>
            <w:vAlign w:val="bottom"/>
          </w:tcPr>
          <w:p>
            <w:pPr>
              <w:ind w:left="500"/>
              <w:spacing w:after="0"/>
              <w:rPr>
                <w:sz w:val="20"/>
                <w:szCs w:val="20"/>
                <w:color w:val="auto"/>
              </w:rPr>
            </w:pPr>
            <w:r>
              <w:rPr>
                <w:rFonts w:ascii="Arial" w:cs="Arial" w:eastAsia="Arial" w:hAnsi="Arial"/>
                <w:sz w:val="16"/>
                <w:szCs w:val="16"/>
                <w:color w:val="auto"/>
              </w:rPr>
              <w:t>(Benefit) provision for deferred income taxes</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(2,185)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(799)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discount and issuance costs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500"/>
              <w:spacing w:after="0"/>
              <w:rPr>
                <w:sz w:val="20"/>
                <w:szCs w:val="20"/>
                <w:color w:val="auto"/>
              </w:rPr>
            </w:pPr>
            <w:r>
              <w:rPr>
                <w:rFonts w:ascii="Arial" w:cs="Arial" w:eastAsia="Arial" w:hAnsi="Arial"/>
                <w:sz w:val="16"/>
                <w:szCs w:val="16"/>
                <w:color w:val="auto"/>
              </w:rPr>
              <w:t>Accretion of bond discount</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(3,657)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(14,160)</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(6,787)</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rent expense</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500"/>
              <w:spacing w:after="0"/>
              <w:rPr>
                <w:sz w:val="20"/>
                <w:szCs w:val="20"/>
                <w:color w:val="auto"/>
              </w:rPr>
            </w:pPr>
            <w:r>
              <w:rPr>
                <w:rFonts w:ascii="Arial" w:cs="Arial" w:eastAsia="Arial" w:hAnsi="Arial"/>
                <w:sz w:val="16"/>
                <w:szCs w:val="16"/>
                <w:color w:val="auto"/>
              </w:rPr>
              <w:t>Unrealized currency translation</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(952)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assets and liabilities, net of acquisition</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(29,971)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(15,428)</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(17,726)</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(17,026)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(3,296)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740"/>
              <w:spacing w:after="0"/>
              <w:rPr>
                <w:sz w:val="20"/>
                <w:szCs w:val="20"/>
                <w:color w:val="auto"/>
              </w:rPr>
            </w:pPr>
            <w:r>
              <w:rPr>
                <w:rFonts w:ascii="Arial" w:cs="Arial" w:eastAsia="Arial" w:hAnsi="Arial"/>
                <w:sz w:val="16"/>
                <w:szCs w:val="16"/>
                <w:color w:val="auto"/>
              </w:rPr>
              <w:t>Deferred commission expense</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(19,288)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(9,666)</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(23,900)</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Right-of-use assets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80" w:type="dxa"/>
            <w:vAlign w:val="bottom"/>
          </w:tcPr>
          <w:p>
            <w:pPr>
              <w:ind w:left="7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(31,621)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(15,781)</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rent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49,265</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and cash equivalents provided by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88,913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118,973</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(1,517,357)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(1,304,847)</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(681,632)</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Maturities of investments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1,352,231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1,066,366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644,375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 of investments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(37,274)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(40,372)</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(22,305)</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Capitalization of software development costs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(21,599)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(13,474)</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(11,168)</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Acquisition of a business, net of cash acquired</w:t>
            </w:r>
          </w:p>
        </w:tc>
        <w:tc>
          <w:tcPr>
            <w:tcW w:w="280" w:type="dxa"/>
            <w:vAlign w:val="bottom"/>
          </w:tcPr>
          <w:p>
            <w:pPr>
              <w:spacing w:after="0"/>
              <w:rPr>
                <w:sz w:val="18"/>
                <w:szCs w:val="18"/>
                <w:color w:val="auto"/>
              </w:rPr>
            </w:pP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(23,314)</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strategic investments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(553)</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000"/>
              <w:spacing w:after="0"/>
              <w:rPr>
                <w:sz w:val="20"/>
                <w:szCs w:val="20"/>
                <w:color w:val="auto"/>
              </w:rPr>
            </w:pPr>
            <w:r>
              <w:rPr>
                <w:rFonts w:ascii="Arial" w:cs="Arial" w:eastAsia="Arial" w:hAnsi="Arial"/>
                <w:sz w:val="16"/>
                <w:szCs w:val="16"/>
                <w:color w:val="auto"/>
              </w:rPr>
              <w:t>Net cash and cash equivalents used in investing activities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(215,567)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(316,194)</w:t>
            </w:r>
          </w:p>
        </w:tc>
        <w:tc>
          <w:tcPr>
            <w:tcW w:w="2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(71,230)</w:t>
            </w:r>
          </w:p>
        </w:tc>
        <w:tc>
          <w:tcPr>
            <w:tcW w:w="0" w:type="dxa"/>
            <w:vAlign w:val="bottom"/>
          </w:tcPr>
          <w:p>
            <w:pPr>
              <w:spacing w:after="0"/>
              <w:rPr>
                <w:sz w:val="1"/>
                <w:szCs w:val="1"/>
                <w:color w:val="auto"/>
              </w:rPr>
            </w:pPr>
          </w:p>
        </w:tc>
      </w:tr>
      <w:tr>
        <w:trPr>
          <w:trHeight w:val="21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w w:val="97"/>
              </w:rPr>
              <w:t>Proceeds from issuance of 2025 Convertible Notes, net of issuance costs paid of $9.9 million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450,123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Proceeds from settlement of Convertible Note Hedges related to the 2022 Convertible Notes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363,554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Payments for settlement of Warrants related to the 2022 Convertible Notes</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(327,543)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2022 Convertible Notes attributable to the principal</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(235,993)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Payments for Capped Call Options related to the 2025 Convertible Notes</w:t>
            </w:r>
          </w:p>
        </w:tc>
        <w:tc>
          <w:tcPr>
            <w:tcW w:w="280" w:type="dxa"/>
            <w:vAlign w:val="bottom"/>
          </w:tcPr>
          <w:p>
            <w:pPr>
              <w:spacing w:after="0"/>
              <w:rPr>
                <w:sz w:val="18"/>
                <w:szCs w:val="18"/>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(50,600)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common stock offering, net of offering costs paid of $365</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342,628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Repayment of debt</w:t>
            </w:r>
          </w:p>
        </w:tc>
        <w:tc>
          <w:tcPr>
            <w:tcW w:w="280" w:type="dxa"/>
            <w:vAlign w:val="bottom"/>
          </w:tcPr>
          <w:p>
            <w:pPr>
              <w:spacing w:after="0"/>
              <w:rPr>
                <w:sz w:val="18"/>
                <w:szCs w:val="18"/>
                <w:color w:val="auto"/>
              </w:rPr>
            </w:pPr>
          </w:p>
        </w:tc>
        <w:tc>
          <w:tcPr>
            <w:tcW w:w="11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(333)</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Employee taxes paid related to the net share settlement of stock-based awards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(7,424)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(6,247)</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(8,033)</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Proceeds related to the issuance of common stock under stock plans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23,578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finance lease obligations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(284)</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6"/>
        </w:trPr>
        <w:tc>
          <w:tcPr>
            <w:tcW w:w="668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Net cash and cash equivalents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222,460</w:t>
            </w: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359,342</w:t>
            </w:r>
          </w:p>
        </w:tc>
        <w:tc>
          <w:tcPr>
            <w:tcW w:w="24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12,778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Effect on exchange rate changes on cash and cash equivalents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(720)</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161,401</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278,515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117,114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92,784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381,152</w:t>
            </w:r>
          </w:p>
        </w:tc>
        <w:tc>
          <w:tcPr>
            <w:tcW w:w="16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278,515</w:t>
            </w:r>
          </w:p>
        </w:tc>
        <w:tc>
          <w:tcPr>
            <w:tcW w:w="24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117,114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disclosure:</w:t>
            </w:r>
          </w:p>
        </w:tc>
        <w:tc>
          <w:tcPr>
            <w:tcW w:w="2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1,512</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1,014</w:t>
            </w:r>
          </w:p>
        </w:tc>
        <w:tc>
          <w:tcPr>
            <w:tcW w:w="2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2,306</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Arial" w:cs="Arial" w:eastAsia="Arial" w:hAnsi="Arial"/>
                <w:sz w:val="16"/>
                <w:szCs w:val="16"/>
                <w:color w:val="auto"/>
              </w:rPr>
              <w:t>Right-of-use assets obtained in exchange for operating lease facilities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65,340</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105,496</w:t>
            </w:r>
          </w:p>
        </w:tc>
        <w:tc>
          <w:tcPr>
            <w:tcW w:w="2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60"/>
              <w:spacing w:after="0"/>
              <w:rPr>
                <w:sz w:val="20"/>
                <w:szCs w:val="20"/>
                <w:color w:val="auto"/>
              </w:rPr>
            </w:pPr>
            <w:r>
              <w:rPr>
                <w:rFonts w:ascii="Arial" w:cs="Arial" w:eastAsia="Arial" w:hAnsi="Arial"/>
                <w:sz w:val="16"/>
                <w:szCs w:val="16"/>
                <w:color w:val="auto"/>
              </w:rPr>
              <w:t>Capital expenditures incurred but not yet paid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1,038</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4,606</w:t>
            </w:r>
          </w:p>
        </w:tc>
        <w:tc>
          <w:tcPr>
            <w:tcW w:w="24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retirement obligations</w:t>
            </w:r>
          </w:p>
        </w:tc>
        <w:tc>
          <w:tcPr>
            <w:tcW w:w="14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773</w:t>
            </w:r>
          </w:p>
        </w:tc>
        <w:tc>
          <w:tcPr>
            <w:tcW w:w="6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2,014</w:t>
            </w:r>
          </w:p>
        </w:tc>
        <w:tc>
          <w:tcPr>
            <w:tcW w:w="7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216</w:t>
            </w:r>
          </w:p>
        </w:tc>
      </w:tr>
      <w:tr>
        <w:trPr>
          <w:trHeight w:val="210"/>
        </w:trPr>
        <w:tc>
          <w:tcPr>
            <w:tcW w:w="5680" w:type="dxa"/>
            <w:vAlign w:val="bottom"/>
          </w:tcPr>
          <w:p>
            <w:pPr>
              <w:ind w:left="260"/>
              <w:spacing w:after="0"/>
              <w:rPr>
                <w:sz w:val="20"/>
                <w:szCs w:val="20"/>
                <w:color w:val="auto"/>
              </w:rPr>
            </w:pPr>
            <w:r>
              <w:rPr>
                <w:rFonts w:ascii="Arial" w:cs="Arial" w:eastAsia="Arial" w:hAnsi="Arial"/>
                <w:sz w:val="16"/>
                <w:szCs w:val="16"/>
                <w:color w:val="auto"/>
              </w:rPr>
              <w:t>Issuance of common stock for repayment of 2022 Convertible Notes</w:t>
            </w:r>
          </w:p>
        </w:tc>
        <w:tc>
          <w:tcPr>
            <w:tcW w:w="14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336,289</w:t>
            </w:r>
          </w:p>
        </w:tc>
        <w:tc>
          <w:tcPr>
            <w:tcW w:w="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 xml:space="preserve">HubSpot, Inc. (the “Company”) </w:t>
      </w:r>
      <w:r>
        <w:rPr>
          <w:rFonts w:ascii="Arial" w:cs="Arial" w:eastAsia="Arial" w:hAnsi="Arial"/>
          <w:sz w:val="18"/>
          <w:szCs w:val="18"/>
          <w:color w:val="212529"/>
        </w:rPr>
        <w:t>provides a cloud-based CRM Platform, that enables companies to attract, engage, and delight customers throughout</w:t>
      </w:r>
      <w:r>
        <w:rPr>
          <w:rFonts w:ascii="Arial" w:cs="Arial" w:eastAsia="Arial" w:hAnsi="Arial"/>
          <w:sz w:val="18"/>
          <w:szCs w:val="18"/>
          <w:color w:val="auto"/>
        </w:rPr>
        <w:t xml:space="preserve"> </w:t>
      </w:r>
      <w:r>
        <w:rPr>
          <w:rFonts w:ascii="Arial" w:cs="Arial" w:eastAsia="Arial" w:hAnsi="Arial"/>
          <w:sz w:val="18"/>
          <w:szCs w:val="18"/>
          <w:color w:val="212529"/>
        </w:rPr>
        <w:t xml:space="preserve">the customer experience. </w:t>
      </w:r>
      <w:r>
        <w:rPr>
          <w:rFonts w:ascii="Arial" w:cs="Arial" w:eastAsia="Arial" w:hAnsi="Arial"/>
          <w:sz w:val="18"/>
          <w:szCs w:val="18"/>
          <w:color w:val="000000"/>
        </w:rPr>
        <w:t>The Company’s CRM Platform, comprised of Marketing Hub, Sales Hub, Service Hub, and a CMS Hub features integrated</w:t>
      </w:r>
      <w:r>
        <w:rPr>
          <w:rFonts w:ascii="Arial" w:cs="Arial" w:eastAsia="Arial" w:hAnsi="Arial"/>
          <w:sz w:val="18"/>
          <w:szCs w:val="18"/>
          <w:color w:val="212529"/>
        </w:rPr>
        <w:t xml:space="preserve"> </w:t>
      </w:r>
      <w:r>
        <w:rPr>
          <w:rFonts w:ascii="Arial" w:cs="Arial" w:eastAsia="Arial" w:hAnsi="Arial"/>
          <w:sz w:val="18"/>
          <w:szCs w:val="18"/>
          <w:color w:val="000000"/>
        </w:rPr>
        <w:t>applications and tools that enable businesses to create a cohesive and adaptable customer experience.</w:t>
      </w:r>
    </w:p>
    <w:p>
      <w:pPr>
        <w:spacing w:after="0" w:line="18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In March 2020, the World Health Organization (“WHO”) declared the outbreak of a disease caused by a novel strain of the coronavirus (“COVID-19”) to be a global pandemic (the “pandemic”). The Company has assessed the impact of the pandemic, and while the broader implications of the pandemic on the results of operations and overall financial performance remain uncertain, the Company assessed the potential impact on the December 31, 2020 financial statements and determined there were no material adjustments necessary with respect to these consolidated financial statements.</w:t>
      </w:r>
    </w:p>
    <w:p>
      <w:pPr>
        <w:spacing w:after="0" w:line="15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Given that the economic consequences of the pandemic have been exceptionally challenging for many customers, in March 2020, the Company implemented certain changes to pricing and packaging, including reducing prices on certain products and offering certain product functionality free of charge for a limited time. The Company also made a one-time payment to certain Solutions Partners for six months of commissions in advance of them being earned. While revenue, customer retention, and earnings are relatively predictable under a subscription-based business model, the potential effect of the pandemic will not be fully reflected in the results of operations and overall financial performance of the Company until future periods given the current macro-economic uncertainty.</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March 2020, the Coronavirus Aid, Relief, and Economic Security (“CARES”) Act was signed into law by the United States. The CARES Act provides a substantial stimulus and assistance package intended to address the impact of the pandemic, including tax relief and government loans, grants, and investments. In June 2020, the Jobs Support Scheme (“JSS”) was announced by the Singapore government to provide support to employers and help enterprises retain their local employees during the pandemic. The CARES Act and the JSS did not have a material impact with respect to these consolidated financial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40" w:firstLine="510"/>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consolidated financial statements have been prepared in U.S. dollars, in accordance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(“GAAP”). The accompanying consolidated financial statements include the accounts of the Company and its wholly owned subsidiaries. All intercompany transactions have been eliminated in consolidation.</w:t>
      </w:r>
    </w:p>
    <w:p>
      <w:pPr>
        <w:spacing w:after="0" w:line="176" w:lineRule="exact"/>
        <w:rPr>
          <w:sz w:val="20"/>
          <w:szCs w:val="20"/>
          <w:color w:val="auto"/>
        </w:rPr>
      </w:pPr>
    </w:p>
    <w:p>
      <w:pPr>
        <w:jc w:val="both"/>
        <w:ind w:right="260" w:firstLine="510"/>
        <w:spacing w:after="0" w:line="314"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42" w:lineRule="exact"/>
        <w:rPr>
          <w:sz w:val="20"/>
          <w:szCs w:val="20"/>
          <w:color w:val="auto"/>
        </w:rPr>
      </w:pPr>
    </w:p>
    <w:p>
      <w:pPr>
        <w:ind w:firstLine="510"/>
        <w:spacing w:after="0" w:line="258"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 the performance of these resources on a consolidated basis. Since the Company operates in one operating segment, all required financial segment information can be found in the consolidated financial statements.</w:t>
      </w:r>
    </w:p>
    <w:p>
      <w:pPr>
        <w:spacing w:after="0" w:line="183" w:lineRule="exact"/>
        <w:rPr>
          <w:sz w:val="20"/>
          <w:szCs w:val="20"/>
          <w:color w:val="auto"/>
        </w:rPr>
      </w:pPr>
    </w:p>
    <w:p>
      <w:pPr>
        <w:ind w:right="60" w:firstLine="510"/>
        <w:spacing w:after="0" w:line="258" w:lineRule="auto"/>
        <w:rPr>
          <w:sz w:val="20"/>
          <w:szCs w:val="20"/>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 Basic net loss per share is computed by dividing net loss by the weighted average number of common shares outstanding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below), the Conversion Option of the 2022 Notes, and the Conversion Option of the 2025 Notes (the “Conversion Options”) (Note 9) are considered to be potential common stock equivalents.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520"/>
        <w:spacing w:after="0"/>
        <w:rPr>
          <w:sz w:val="20"/>
          <w:szCs w:val="20"/>
          <w:color w:val="auto"/>
        </w:rPr>
      </w:pPr>
      <w:r>
        <w:rPr>
          <w:rFonts w:ascii="Arial" w:cs="Arial" w:eastAsia="Arial" w:hAnsi="Arial"/>
          <w:sz w:val="18"/>
          <w:szCs w:val="18"/>
          <w:color w:val="auto"/>
        </w:rPr>
        <w:t>A reconciliation of the denominator used in the calculation of basic and diluted loss per share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49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40" w:type="dxa"/>
            <w:vAlign w:val="bottom"/>
            <w:gridSpan w:val="9"/>
          </w:tcPr>
          <w:p>
            <w:pPr>
              <w:jc w:val="center"/>
              <w:ind w:right="173"/>
              <w:spacing w:after="0" w:line="155" w:lineRule="exact"/>
              <w:rPr>
                <w:sz w:val="20"/>
                <w:szCs w:val="20"/>
                <w:color w:val="auto"/>
              </w:rPr>
            </w:pPr>
            <w:r>
              <w:rPr>
                <w:rFonts w:ascii="Arial" w:cs="Arial" w:eastAsia="Arial" w:hAnsi="Arial"/>
                <w:sz w:val="14"/>
                <w:szCs w:val="14"/>
                <w:b w:val="1"/>
                <w:bCs w:val="1"/>
                <w:color w:val="auto"/>
                <w:w w:val="90"/>
              </w:rPr>
              <w:t>(in thousands, except per share amounts)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(85,031)</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(53,746)</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(63,828)</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outstanding—basic</w:t>
            </w: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w w:val="92"/>
              </w:rPr>
              <w:t>Dilutive effect of share equivalents resulting from stock options, RSUs,</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ESPP, Warrants and the Conversion Options</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outstanding-diluted</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44,757</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22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 expects to settle the principal amount of the Notes (Note 9) in cash, and therefore, the Company uses the treasury stock method for calculating any potential dilutive effect of the Warrants and Conversion Options on diluted net income per share, if applicable. As a result, only the amount by which the conversion cost of the Notes, if settled in shares, exceeds the aggregated principal amount of the Notes (the “Conversion Spread”) is considered in the diluted earnings per share computation. The Conversion Spread has a dilutive impact on net income per share when the average market price of the Company’s common stock for a given period of time exceeds the initial conversion price of $94.77 per share for the 2022 Notes and $282.52 for the 2025 Notes. The average stock price for the year ended December 31, 2020 was $240.59.</w:t>
      </w:r>
    </w:p>
    <w:p>
      <w:pPr>
        <w:spacing w:after="0" w:line="20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As the last reported sale price of the Company’s common stock for at least 20 trading days during the period of 30 consecutive trading days ending on the last trading day of the calendar quarter ended December 31, 2020 was equal to or greater than 130% of the conversion price of $94.77 on each applicable trading day, the 2022 Notes are convertible at the option of the holders thereof during the calendar quarter ended March 31, 2021. In the fourth quarter of 2020, the Company settled approximately $2 million of the principal balance of the 2022 Notes in cash. Between the end of the most recently completed fiscal quarter and February 12, 2021, the Company additionally settled $8.3 million of principal balance of the 2022 Notes in cash in response to conversion notices received prior to December 31, 2020. As of February 12, 2021, the Company has received additional conversion notices subsequent to year-end for approximately $36.1 million of the principal balance of the 2022 Notes, which will be settled in cash during the quarter ended March 31, 2021. For disclosure purposes, the potentially dilutive effect of the Conversion Spread is calculated and included in the table below.</w:t>
      </w:r>
    </w:p>
    <w:p>
      <w:pPr>
        <w:spacing w:after="0" w:line="20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As the last reported sale price of the Company’s common stock for at least 20 trading days during the period of 30 consecutive trading days ending on the last trading day of the calendar quarter ended December 31, 2020 was equal to or greater than 130% of the conversion price of $282.52 on each applicable trading day, the 2025 Notes are convertible at the option of the holders thereof during the calendar quarter ended March 31, 2021. As of February 12, 2021, no holders have converted or indicated their intention to convert the 2025 Notes. For disclosure purposes, the potentially dilutive effect of the Conversion Spread is calculated and included in the table below.</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20" w:type="dxa"/>
            <w:vAlign w:val="bottom"/>
            <w:tcBorders>
              <w:bottom w:val="single" w:sz="8" w:color="auto"/>
            </w:tcBorders>
            <w:gridSpan w:val="2"/>
          </w:tcPr>
          <w:p>
            <w:pPr>
              <w:jc w:val="center"/>
              <w:ind w:left="715"/>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8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1540" w:type="dxa"/>
            <w:vAlign w:val="bottom"/>
            <w:tcBorders>
              <w:bottom w:val="single" w:sz="8" w:color="auto"/>
            </w:tcBorders>
          </w:tcPr>
          <w:p>
            <w:pPr>
              <w:jc w:val="center"/>
              <w:ind w:right="295"/>
              <w:spacing w:after="0" w:line="155" w:lineRule="exact"/>
              <w:rPr>
                <w:sz w:val="20"/>
                <w:szCs w:val="20"/>
                <w:color w:val="auto"/>
              </w:rPr>
            </w:pPr>
            <w:r>
              <w:rPr>
                <w:rFonts w:ascii="Arial" w:cs="Arial" w:eastAsia="Arial" w:hAnsi="Arial"/>
                <w:sz w:val="14"/>
                <w:szCs w:val="14"/>
                <w:b w:val="1"/>
                <w:bCs w:val="1"/>
                <w:color w:val="auto"/>
                <w:w w:val="89"/>
              </w:rPr>
              <w:t>2019</w:t>
            </w: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5"/>
        </w:trPr>
        <w:tc>
          <w:tcPr>
            <w:tcW w:w="22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tcPr>
          <w:p>
            <w:pPr>
              <w:jc w:val="center"/>
              <w:ind w:right="29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1,020</w:t>
            </w:r>
          </w:p>
        </w:tc>
        <w:tc>
          <w:tcPr>
            <w:tcW w:w="154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1,489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FF0FC"/>
          </w:tcPr>
          <w:p>
            <w:pPr>
              <w:spacing w:after="0"/>
              <w:rPr>
                <w:sz w:val="19"/>
                <w:szCs w:val="19"/>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RSUs</w:t>
            </w:r>
          </w:p>
        </w:tc>
        <w:tc>
          <w:tcPr>
            <w:tcW w:w="308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1,561</w:t>
            </w:r>
          </w:p>
        </w:tc>
        <w:tc>
          <w:tcPr>
            <w:tcW w:w="1540" w:type="dxa"/>
            <w:vAlign w:val="bottom"/>
          </w:tcPr>
          <w:p>
            <w:pPr>
              <w:jc w:val="right"/>
              <w:ind w:right="355"/>
              <w:spacing w:after="0"/>
              <w:rPr>
                <w:sz w:val="20"/>
                <w:szCs w:val="20"/>
                <w:color w:val="auto"/>
              </w:rPr>
            </w:pPr>
            <w:r>
              <w:rPr>
                <w:rFonts w:ascii="Arial" w:cs="Arial" w:eastAsia="Arial" w:hAnsi="Arial"/>
                <w:sz w:val="18"/>
                <w:szCs w:val="18"/>
                <w:color w:val="auto"/>
              </w:rPr>
              <w:t>1,207</w:t>
            </w:r>
          </w:p>
        </w:tc>
        <w:tc>
          <w:tcPr>
            <w:tcW w:w="82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w w:val="91"/>
              </w:rPr>
              <w:t>Conversion Option of the 2022</w:t>
            </w:r>
          </w:p>
        </w:tc>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1,873</w:t>
            </w:r>
          </w:p>
        </w:tc>
        <w:tc>
          <w:tcPr>
            <w:tcW w:w="154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3,104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FF0FC"/>
          </w:tcPr>
          <w:p>
            <w:pPr>
              <w:spacing w:after="0"/>
              <w:rPr>
                <w:sz w:val="19"/>
                <w:szCs w:val="19"/>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8"/>
                <w:szCs w:val="18"/>
                <w:color w:val="auto"/>
                <w:w w:val="91"/>
              </w:rPr>
              <w:t>Conversion Option of the 2025</w:t>
            </w:r>
          </w:p>
        </w:tc>
        <w:tc>
          <w:tcPr>
            <w:tcW w:w="3080" w:type="dxa"/>
            <w:vAlign w:val="bottom"/>
          </w:tcPr>
          <w:p>
            <w:pPr>
              <w:ind w:left="20"/>
              <w:spacing w:after="0"/>
              <w:rPr>
                <w:sz w:val="20"/>
                <w:szCs w:val="20"/>
                <w:color w:val="auto"/>
              </w:rPr>
            </w:pPr>
            <w:r>
              <w:rPr>
                <w:rFonts w:ascii="Arial" w:cs="Arial" w:eastAsia="Arial" w:hAnsi="Arial"/>
                <w:sz w:val="18"/>
                <w:szCs w:val="18"/>
                <w:color w:val="auto"/>
              </w:rPr>
              <w:t>Notes</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318</w:t>
            </w:r>
          </w:p>
        </w:tc>
        <w:tc>
          <w:tcPr>
            <w:tcW w:w="154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0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21</w:t>
            </w:r>
          </w:p>
        </w:tc>
        <w:tc>
          <w:tcPr>
            <w:tcW w:w="154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right="80"/>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maturity of three months or less to be cash equivalents. Cash and cash equivalents consist of cash held in bank deposit accounts and short-term, highly-liquid investments with remaining maturities of three months or less at the date of purchase, consisting primarily of money-market funds.</w:t>
      </w:r>
    </w:p>
    <w:p>
      <w:pPr>
        <w:spacing w:after="0" w:line="180"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Investments consist of commercial paper, corporate debt securities and U.S. Treasury securities. Securities having remaining</w:t>
      </w:r>
      <w:r>
        <w:rPr>
          <w:rFonts w:ascii="Arial" w:cs="Arial" w:eastAsia="Arial" w:hAnsi="Arial"/>
          <w:sz w:val="16"/>
          <w:szCs w:val="16"/>
          <w:b w:val="1"/>
          <w:bCs w:val="1"/>
          <w:color w:val="auto"/>
        </w:rPr>
        <w:t xml:space="preserve"> </w:t>
      </w:r>
      <w:r>
        <w:rPr>
          <w:rFonts w:ascii="Arial" w:cs="Arial" w:eastAsia="Arial" w:hAnsi="Arial"/>
          <w:sz w:val="16"/>
          <w:szCs w:val="16"/>
          <w:color w:val="auto"/>
        </w:rPr>
        <w:t>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6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191" w:lineRule="exact"/>
        <w:rPr>
          <w:sz w:val="20"/>
          <w:szCs w:val="20"/>
          <w:color w:val="auto"/>
        </w:rPr>
      </w:pPr>
    </w:p>
    <w:p>
      <w:pPr>
        <w:ind w:right="460" w:firstLine="510"/>
        <w:spacing w:after="0" w:line="303" w:lineRule="auto"/>
        <w:rPr>
          <w:sz w:val="20"/>
          <w:szCs w:val="20"/>
          <w:color w:val="auto"/>
        </w:rPr>
      </w:pPr>
      <w:r>
        <w:rPr>
          <w:rFonts w:ascii="Arial" w:cs="Arial" w:eastAsia="Arial" w:hAnsi="Arial"/>
          <w:sz w:val="16"/>
          <w:szCs w:val="16"/>
          <w:b w:val="1"/>
          <w:bCs w:val="1"/>
          <w:color w:val="auto"/>
        </w:rPr>
        <w:t xml:space="preserve">Strategic investments </w:t>
      </w:r>
      <w:r>
        <w:rPr>
          <w:rFonts w:ascii="Arial" w:cs="Arial" w:eastAsia="Arial" w:hAnsi="Arial"/>
          <w:sz w:val="16"/>
          <w:szCs w:val="16"/>
          <w:color w:val="auto"/>
        </w:rPr>
        <w:t>— Strategic investments consist of non-controlling equity investments in privately held companies. These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w:t>
      </w:r>
    </w:p>
    <w:p>
      <w:pPr>
        <w:spacing w:after="0" w:line="151" w:lineRule="exact"/>
        <w:rPr>
          <w:sz w:val="20"/>
          <w:szCs w:val="20"/>
          <w:color w:val="auto"/>
        </w:rPr>
      </w:pPr>
    </w:p>
    <w:p>
      <w:pPr>
        <w:ind w:right="60" w:firstLine="510"/>
        <w:spacing w:after="0" w:line="258" w:lineRule="auto"/>
        <w:rPr>
          <w:sz w:val="20"/>
          <w:szCs w:val="20"/>
          <w:color w:val="auto"/>
        </w:rPr>
      </w:pPr>
      <w:r>
        <w:rPr>
          <w:rFonts w:ascii="Arial" w:cs="Arial" w:eastAsia="Arial" w:hAnsi="Arial"/>
          <w:sz w:val="18"/>
          <w:szCs w:val="18"/>
          <w:b w:val="1"/>
          <w:bCs w:val="1"/>
          <w:color w:val="auto"/>
        </w:rPr>
        <w:t xml:space="preserve">Accounts Receivable and Allowance for Doubtful Accounts </w:t>
      </w:r>
      <w:r>
        <w:rPr>
          <w:rFonts w:ascii="Arial" w:cs="Arial" w:eastAsia="Arial" w:hAnsi="Arial"/>
          <w:sz w:val="18"/>
          <w:szCs w:val="18"/>
          <w:color w:val="auto"/>
        </w:rPr>
        <w:t>— Accounts receivable are carried at the original invoiced amount less an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doubtful accounts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exceeded management’s expectations.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 forward of the Company’s allowance for doubtful accounts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 xml:space="preserve">Deductions </w:t>
            </w:r>
            <w:r>
              <w:rPr>
                <w:rFonts w:ascii="Arial" w:cs="Arial" w:eastAsia="Arial" w:hAnsi="Arial"/>
                <w:sz w:val="12"/>
                <w:szCs w:val="12"/>
                <w:b w:val="1"/>
                <w:bCs w:val="1"/>
                <w:color w:val="auto"/>
                <w:w w:val="97"/>
              </w:rPr>
              <w:t>(1)</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Operations</w:t>
            </w: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8,501</w:t>
            </w:r>
          </w:p>
        </w:tc>
        <w:tc>
          <w:tcPr>
            <w:tcW w:w="22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(8,092)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(7,628)</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Year ended December 31, 2018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5,514</w:t>
            </w:r>
          </w:p>
        </w:tc>
        <w:tc>
          <w:tcPr>
            <w:tcW w:w="220" w:type="dxa"/>
            <w:vAlign w:val="bottom"/>
          </w:tcPr>
          <w:p>
            <w:pPr>
              <w:spacing w:after="0"/>
              <w:rPr>
                <w:sz w:val="20"/>
                <w:szCs w:val="20"/>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(4,835)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512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4"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Deductions include actual accounts written-off, net of recoveries.</w:t>
      </w:r>
    </w:p>
    <w:p>
      <w:pPr>
        <w:spacing w:after="0" w:line="22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—The Company had restricted cash of $3.0 million at December 31, 2020 and $8.8 million at December 31, 2019 related to letters</w:t>
      </w:r>
      <w:r>
        <w:rPr>
          <w:rFonts w:ascii="Arial" w:cs="Arial" w:eastAsia="Arial" w:hAnsi="Arial"/>
          <w:sz w:val="16"/>
          <w:szCs w:val="16"/>
          <w:b w:val="1"/>
          <w:bCs w:val="1"/>
          <w:color w:val="auto"/>
        </w:rPr>
        <w:t xml:space="preserve"> </w:t>
      </w:r>
      <w:r>
        <w:rPr>
          <w:rFonts w:ascii="Arial" w:cs="Arial" w:eastAsia="Arial" w:hAnsi="Arial"/>
          <w:sz w:val="16"/>
          <w:szCs w:val="16"/>
          <w:color w:val="auto"/>
        </w:rPr>
        <w:t>of credit for it leased facilities. The following table provides a reconciliation of the cash, cash equivalents and restricted cash within the consolidated balance sheets that sum to the total of the same such amounts shown in the statement of cash flows for the year ended December 31, 2020 and 2019.</w:t>
      </w:r>
    </w:p>
    <w:tbl>
      <w:tblPr>
        <w:tblLayout w:type="fixed"/>
        <w:tblInd w:w="0" w:type="dxa"/>
        <w:tblCellMar>
          <w:top w:w="0" w:type="dxa"/>
          <w:left w:w="0" w:type="dxa"/>
          <w:bottom w:w="0" w:type="dxa"/>
          <w:right w:w="0" w:type="dxa"/>
        </w:tblCellMar>
      </w:tblPr>
      <w:tr>
        <w:trPr>
          <w:trHeight w:val="141"/>
        </w:trPr>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ind w:left="180"/>
              <w:spacing w:after="0" w:line="141"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2"/>
                <w:szCs w:val="12"/>
                <w:color w:val="auto"/>
              </w:rPr>
            </w:pPr>
          </w:p>
        </w:tc>
        <w:tc>
          <w:tcPr>
            <w:tcW w:w="15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269,670</w:t>
            </w:r>
          </w:p>
        </w:tc>
        <w:tc>
          <w:tcPr>
            <w:tcW w:w="16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assets</w:t>
            </w:r>
          </w:p>
        </w:tc>
        <w:tc>
          <w:tcPr>
            <w:tcW w:w="18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16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1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381,152</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278,515</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80" w:type="dxa"/>
            <w:vAlign w:val="bottom"/>
            <w:vMerge w:val="restart"/>
          </w:tcPr>
          <w:p>
            <w:pPr>
              <w:jc w:val="right"/>
              <w:ind w:right="910"/>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0" w:name="page71"/>
    <w:bookmarkEnd w:id="70"/>
    <w:p>
      <w:pPr>
        <w:ind w:right="380" w:firstLine="510"/>
        <w:spacing w:after="0" w:line="289"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stated at cost and depreciated using the straight-line method over the estimated useful</w:t>
      </w:r>
      <w:r>
        <w:rPr>
          <w:rFonts w:ascii="Arial" w:cs="Arial" w:eastAsia="Arial" w:hAnsi="Arial"/>
          <w:sz w:val="17"/>
          <w:szCs w:val="17"/>
          <w:b w:val="1"/>
          <w:bCs w:val="1"/>
          <w:color w:val="auto"/>
        </w:rPr>
        <w:t xml:space="preserve"> </w:t>
      </w:r>
      <w:r>
        <w:rPr>
          <w:rFonts w:ascii="Arial" w:cs="Arial" w:eastAsia="Arial" w:hAnsi="Arial"/>
          <w:sz w:val="17"/>
          <w:szCs w:val="17"/>
          <w:color w:val="auto"/>
        </w:rPr>
        <w:t>lives of 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234"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78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Employee related computer equipment</w:t>
            </w:r>
          </w:p>
        </w:tc>
        <w:tc>
          <w:tcPr>
            <w:tcW w:w="52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2 - 3 years</w:t>
            </w: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5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4"/>
              </w:rPr>
              <w:t>3 years</w:t>
            </w: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520" w:type="dxa"/>
            <w:vAlign w:val="bottom"/>
            <w:shd w:val="clear" w:color="auto" w:fill="CFF0FC"/>
          </w:tcPr>
          <w:p>
            <w:pPr>
              <w:spacing w:after="0"/>
              <w:rPr>
                <w:sz w:val="19"/>
                <w:szCs w:val="19"/>
                <w:color w:val="auto"/>
              </w:rPr>
            </w:pPr>
          </w:p>
        </w:tc>
        <w:tc>
          <w:tcPr>
            <w:tcW w:w="2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Internal-use software</w:t>
            </w:r>
          </w:p>
        </w:tc>
        <w:tc>
          <w:tcPr>
            <w:tcW w:w="52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960" w:type="dxa"/>
            <w:vAlign w:val="bottom"/>
            <w:gridSpan w:val="2"/>
            <w:shd w:val="clear" w:color="auto" w:fill="CFF0FC"/>
          </w:tcPr>
          <w:p>
            <w:pPr>
              <w:jc w:val="center"/>
              <w:ind w:left="410"/>
              <w:spacing w:after="0"/>
              <w:rPr>
                <w:sz w:val="20"/>
                <w:szCs w:val="20"/>
                <w:color w:val="auto"/>
              </w:rPr>
            </w:pPr>
            <w:r>
              <w:rPr>
                <w:rFonts w:ascii="Arial" w:cs="Arial" w:eastAsia="Arial" w:hAnsi="Arial"/>
                <w:sz w:val="18"/>
                <w:szCs w:val="18"/>
                <w:color w:val="auto"/>
                <w:w w:val="91"/>
              </w:rPr>
              <w:t>Lesser of lease term or useful life</w:t>
            </w:r>
          </w:p>
        </w:tc>
      </w:tr>
    </w:tbl>
    <w:p>
      <w:pPr>
        <w:spacing w:after="0" w:line="229"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Internal-use software is included within property and equipment on the balance sheet. The costs are generally amortized on a straight-line basis over an estimated useful life of approximately five years.</w:t>
      </w:r>
    </w:p>
    <w:p>
      <w:pPr>
        <w:spacing w:after="0" w:line="224"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are reviewed for impairment whenever events or changes in circumstances indicate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20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 Intangible assets consist of acquired technology, trade name and customer relationships. The Company records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at fair value on the date of acquisition and amortize such assets in a pattern reflective of the expected economic benefits consumption over the expected useful life of the asset. If this pattern cannot be reliably determined, a straight-line amortization method is used. The estimated useful life of acquired technology is two to seven years and is based on the period over which economic benefits will be derived from each acquired intangible asset.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w:t>
      </w:r>
    </w:p>
    <w:p>
      <w:pPr>
        <w:spacing w:after="0" w:line="21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—Goodwill represents the excess of cost over the fair value of the net tangible and identifiable intangible assets acquired in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Currently, the Company’s goodwill is evaluated at the entity level as it has been determined there is one operating segment comprised of one reporting unit. When assessing goodwill for impairment the Company first performs a qualitative assessment to determine whether it is necessary to perform a quantitative analysis. If the Company determines it is unlikely that the reporting unit fair value is less than its carrying value then no quantitative assessment is performed. If the Company cannot determine that it is likely that the reporting unit fair value is more than its carrying value, then the Company performs a quantitative assessment. Based on the qualitative assessment performed on November 30, 2020, the Company determined it was unlikely that it’s reporting unit fair value was less than its carrying value and no quantitative assessment was required. There were no indicators that the Company’s goodwill had become impaired since that date, and as such, there was no impairment of goodwill as of November 30, 2020 or December 31, 2020.</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2020, 2019 and 2018, the Company did not recognize an impairment charge.</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uses its best estimates and assumptions to assign fair value to assets acquired and liabilities assumed.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Significant judgment is used in determining fair values of assets acquired and liabilities assumed, as well as acquired assets and their estimated useful lives.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and useful life determinations are based on, among other factors, estimates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1" w:name="page72"/>
    <w:bookmarkEnd w:id="71"/>
    <w:p>
      <w:pPr>
        <w:ind w:right="460"/>
        <w:spacing w:after="0" w:line="308" w:lineRule="auto"/>
        <w:rPr>
          <w:sz w:val="20"/>
          <w:szCs w:val="20"/>
          <w:color w:val="auto"/>
        </w:rPr>
      </w:pPr>
      <w:r>
        <w:rPr>
          <w:rFonts w:ascii="Arial" w:cs="Arial" w:eastAsia="Arial" w:hAnsi="Arial"/>
          <w:sz w:val="17"/>
          <w:szCs w:val="17"/>
          <w:color w:val="auto"/>
        </w:rPr>
        <w:t>of future expected cash flows attributable to the acquired intangible assets and appropriate discount rates used in computing present values. Goodwill represents the excess of the purchase price over the estimated fair values of the assets acquired and liabilities assumed.</w:t>
      </w:r>
    </w:p>
    <w:p>
      <w:pPr>
        <w:spacing w:after="0" w:line="17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spacing w:after="0" w:line="174" w:lineRule="exact"/>
        <w:rPr>
          <w:sz w:val="20"/>
          <w:szCs w:val="20"/>
          <w:color w:val="auto"/>
        </w:rPr>
      </w:pPr>
    </w:p>
    <w:p>
      <w:pPr>
        <w:jc w:val="both"/>
        <w:ind w:right="300" w:firstLine="510"/>
        <w:spacing w:after="0" w:line="266" w:lineRule="auto"/>
        <w:rPr>
          <w:sz w:val="20"/>
          <w:szCs w:val="20"/>
          <w:color w:val="auto"/>
        </w:rPr>
      </w:pPr>
      <w:r>
        <w:rPr>
          <w:rFonts w:ascii="Arial" w:cs="Arial" w:eastAsia="Arial" w:hAnsi="Arial"/>
          <w:sz w:val="18"/>
          <w:szCs w:val="18"/>
          <w:b w:val="1"/>
          <w:bCs w:val="1"/>
          <w:color w:val="auto"/>
        </w:rPr>
        <w:t xml:space="preserve">Advertising Expense </w:t>
      </w:r>
      <w:r>
        <w:rPr>
          <w:rFonts w:ascii="Arial" w:cs="Arial" w:eastAsia="Arial" w:hAnsi="Arial"/>
          <w:sz w:val="18"/>
          <w:szCs w:val="18"/>
          <w:color w:val="auto"/>
        </w:rPr>
        <w:t>—The Company expenses advertising as incurred, which is included in sales and marketing expense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operations. The Company incurred $21.9 million of advertising expense in 2020, $14.9 million in 2019, and $8.4 million in 2018.</w:t>
      </w:r>
    </w:p>
    <w:p>
      <w:pPr>
        <w:spacing w:after="0" w:line="216" w:lineRule="exact"/>
        <w:rPr>
          <w:sz w:val="20"/>
          <w:szCs w:val="20"/>
          <w:color w:val="auto"/>
        </w:rPr>
      </w:pPr>
    </w:p>
    <w:p>
      <w:pPr>
        <w:ind w:right="20" w:firstLine="510"/>
        <w:spacing w:after="0" w:line="29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212529"/>
        </w:rPr>
        <w:t>On January 1, 2019, the Company adopted the new lease guidance using a modified retrospective transition method applied to those</w:t>
      </w:r>
      <w:r>
        <w:rPr>
          <w:rFonts w:ascii="Arial" w:cs="Arial" w:eastAsia="Arial" w:hAnsi="Arial"/>
          <w:sz w:val="16"/>
          <w:szCs w:val="16"/>
          <w:b w:val="1"/>
          <w:bCs w:val="1"/>
          <w:color w:val="auto"/>
        </w:rPr>
        <w:t xml:space="preserve"> </w:t>
      </w:r>
      <w:r>
        <w:rPr>
          <w:rFonts w:ascii="Arial" w:cs="Arial" w:eastAsia="Arial" w:hAnsi="Arial"/>
          <w:sz w:val="16"/>
          <w:szCs w:val="16"/>
          <w:color w:val="212529"/>
        </w:rPr>
        <w:t xml:space="preserve">leases which were not completed as of January 1, 2019. </w:t>
      </w:r>
      <w:r>
        <w:rPr>
          <w:rFonts w:ascii="Arial" w:cs="Arial" w:eastAsia="Arial" w:hAnsi="Arial"/>
          <w:sz w:val="16"/>
          <w:szCs w:val="16"/>
          <w:color w:val="000000"/>
        </w:rPr>
        <w:t>The Company determines if an arrangement contains a lease at inception and does not separate</w:t>
      </w:r>
      <w:r>
        <w:rPr>
          <w:rFonts w:ascii="Arial" w:cs="Arial" w:eastAsia="Arial" w:hAnsi="Arial"/>
          <w:sz w:val="16"/>
          <w:szCs w:val="16"/>
          <w:color w:val="212529"/>
        </w:rPr>
        <w:t xml:space="preserve"> </w:t>
      </w:r>
      <w:r>
        <w:rPr>
          <w:rFonts w:ascii="Arial" w:cs="Arial" w:eastAsia="Arial" w:hAnsi="Arial"/>
          <w:sz w:val="16"/>
          <w:szCs w:val="16"/>
          <w:color w:val="000000"/>
        </w:rPr>
        <w:t>lease and non-lease components of an arrangement determined to contain a lease. Operating leases are included in right-of-use (“ROU”) assets, current operating lease liabilities and operating lease liabilities, net of current portion, on the Company’s consolidated balance sheet. Finance leases are included in property and equipment, net, accrued expenses, and other current liabilities on the Company’s consolidated balance sheet. Operating and finance leases with a duration of less than 12 months are excluded from right-of-use-assets and operating lease liabilities and related expense is recorded as incurred.</w:t>
      </w:r>
    </w:p>
    <w:p>
      <w:pPr>
        <w:spacing w:after="0" w:line="16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includes any initial direct costs incurred and is reduced for tenant incentives. As the Company’s operating leases do not provide an implicit rate, the net present value of future minimum lease payments is determined using the Company’s incremental borrowing rate.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6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Lease expense for minimum lease payments for operating leases is recognized on a straight-line basis over the lease term. Finance leases use the effective interest method to record expense which results in a front-loaded expense recognition pattern.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obligations (“ARO”)</w:t>
      </w:r>
    </w:p>
    <w:p>
      <w:pPr>
        <w:spacing w:after="0" w:line="117"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w:t>
      </w:r>
    </w:p>
    <w:p>
      <w:pPr>
        <w:spacing w:after="0" w:line="188"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generates revenue from arrangements with multiple performance obligations, which typically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subscriptions to its online software products and professional services which include on-boarding and training services. The Company’s customers do not have the right to take possession of the online software products. The Company recognizes revenue from contracts with customers using a five-step model, which is described below:</w:t>
      </w:r>
    </w:p>
    <w:p>
      <w:pPr>
        <w:spacing w:after="0" w:line="7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the customer contract;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performance obligations that are distinct;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Allocate the transaction price to the distinct performance obligations;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revenue as the performance obligations are satisfied.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i w:val="1"/>
          <w:iCs w:val="1"/>
          <w:color w:val="auto"/>
        </w:rPr>
        <w:t>Identify the customer contract</w:t>
      </w:r>
    </w:p>
    <w:p>
      <w:pPr>
        <w:spacing w:after="0" w:line="117"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Identify performance obligations that are distinct</w:t>
      </w:r>
    </w:p>
    <w:p>
      <w:pPr>
        <w:spacing w:after="0" w:line="117"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and training to make better use of the online software products it purchased.</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Determine the transaction price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Allocate the transaction price to the distinct performance obligations</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Recognize revenue as the performance obligations are satisfied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Revenues are recognized when or as control of the promised goods or services is transferred to customers. Revenue from online software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products is recognized ratably over the subscription period beginning on the date the Company’s online software products are made available to customers.</w:t>
      </w:r>
    </w:p>
    <w:p>
      <w:pPr>
        <w:spacing w:after="0" w:line="3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Most subscription contracts are one year or less. The Company recognizes revenue from on-boarding and training services as the services are provided. Cash payments received in advance of providing subscription or services are recorded to deferred revenue until the performance obligation is satisfied.</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Solutions Partner Commissions</w:t>
      </w:r>
    </w:p>
    <w:p>
      <w:pPr>
        <w:spacing w:after="0" w:line="11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from the Company, the commission paid to the Solutions Partner is netted against the associated revenue recognized.</w:t>
      </w:r>
    </w:p>
    <w:p>
      <w:pPr>
        <w:spacing w:after="0" w:line="153" w:lineRule="exact"/>
        <w:rPr>
          <w:sz w:val="20"/>
          <w:szCs w:val="20"/>
          <w:color w:val="auto"/>
        </w:rPr>
      </w:pPr>
    </w:p>
    <w:p>
      <w:pPr>
        <w:ind w:right="360" w:firstLine="510"/>
        <w:spacing w:after="0" w:line="282" w:lineRule="auto"/>
        <w:rPr>
          <w:sz w:val="20"/>
          <w:szCs w:val="20"/>
          <w:color w:val="auto"/>
        </w:rPr>
      </w:pPr>
      <w:r>
        <w:rPr>
          <w:rFonts w:ascii="Arial" w:cs="Arial" w:eastAsia="Arial" w:hAnsi="Arial"/>
          <w:sz w:val="18"/>
          <w:szCs w:val="18"/>
          <w:b w:val="1"/>
          <w:bCs w:val="1"/>
          <w:color w:val="auto"/>
        </w:rPr>
        <w:t xml:space="preserve">Concentrations of Credit Risk and Significant Customers </w:t>
      </w:r>
      <w:r>
        <w:rPr>
          <w:rFonts w:ascii="Arial" w:cs="Arial" w:eastAsia="Arial" w:hAnsi="Arial"/>
          <w:sz w:val="18"/>
          <w:szCs w:val="18"/>
          <w:color w:val="auto"/>
        </w:rPr>
        <w:t>—Financial instruments that potentially expose the Company to concentrations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risk consist primarily of cash, investments and accounts receivable.</w:t>
      </w:r>
    </w:p>
    <w:p>
      <w:pPr>
        <w:spacing w:after="0" w:line="16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2020, its risk relating to deposits exceeding federally insured limits was not significant.</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Company’s investments consist of highly rated corporate debt securities and U.S. Treasury securities. The Company limits the amount of investments in any single issuer, except U.S. Treasuries. The Company believes that, as of December 31, 2020, its concentration of credit risk related to investments was not significant.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73" w:name="page74"/>
    <w:bookmarkEnd w:id="73"/>
    <w:p>
      <w:pPr>
        <w:ind w:left="520"/>
        <w:spacing w:after="0"/>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hedging arrangements.</w:t>
      </w:r>
    </w:p>
    <w:p>
      <w:pPr>
        <w:spacing w:after="0" w:line="23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The Company generally does not require collateral from its customers and generally requires payment 30 days from the invoice date. The Company maintains an allowance for doubtful accounts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4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At December 31, 2020 and 2019, there were no customers that represented more than 10% of the net accounts receivable balance. There were no customers that individually exceeded 10% of the Company’s revenue in any of the periods presented.</w:t>
      </w:r>
    </w:p>
    <w:p>
      <w:pPr>
        <w:spacing w:after="0" w:line="166" w:lineRule="exact"/>
        <w:rPr>
          <w:sz w:val="20"/>
          <w:szCs w:val="20"/>
          <w:color w:val="auto"/>
        </w:rPr>
      </w:pPr>
    </w:p>
    <w:p>
      <w:pPr>
        <w:ind w:right="40" w:firstLine="510"/>
        <w:spacing w:after="0" w:line="28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functional currency of the Company’s foreign subsidiaries is the local currency. Assets and liabilities denominated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foreign currency are translated into U.S. dollars at the exchange rates in effect at the balance sheet dates, with the resulting translation adjustments directly recorded to a separate component of accumulated other comprehensive loss. Income and expense accounts are translated at the weighted-average exchange rates during the period. Foreign currency transaction gains and losses are recorded in other expense.</w:t>
      </w:r>
    </w:p>
    <w:p>
      <w:pPr>
        <w:spacing w:after="0" w:line="165" w:lineRule="exact"/>
        <w:rPr>
          <w:sz w:val="20"/>
          <w:szCs w:val="20"/>
          <w:color w:val="auto"/>
        </w:rPr>
      </w:pPr>
    </w:p>
    <w:p>
      <w:pPr>
        <w:ind w:right="60" w:firstLine="510"/>
        <w:spacing w:after="0" w:line="281"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—Research and development expenses include payroll, employee benefits and other expenses associated with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Also included is a benefit related to an Irish research and development tax credit, under which the Company is able to obtain a refundable credit of up to 25% of eligible research and development expenses incurred. The credit is recorded as a reduction of research and development expenses in the period in which the eligible expenses are recorded in the consolidated financial statements.</w:t>
      </w:r>
    </w:p>
    <w:p>
      <w:pPr>
        <w:spacing w:after="0" w:line="165" w:lineRule="exact"/>
        <w:rPr>
          <w:sz w:val="20"/>
          <w:szCs w:val="20"/>
          <w:color w:val="auto"/>
        </w:rPr>
      </w:pPr>
    </w:p>
    <w:p>
      <w:pPr>
        <w:ind w:firstLine="510"/>
        <w:spacing w:after="0" w:line="294" w:lineRule="auto"/>
        <w:rPr>
          <w:sz w:val="20"/>
          <w:szCs w:val="20"/>
          <w:color w:val="auto"/>
        </w:rPr>
      </w:pPr>
      <w:r>
        <w:rPr>
          <w:rFonts w:ascii="Arial" w:cs="Arial" w:eastAsia="Arial" w:hAnsi="Arial"/>
          <w:sz w:val="16"/>
          <w:szCs w:val="16"/>
          <w:b w:val="1"/>
          <w:bCs w:val="1"/>
          <w:color w:val="auto"/>
        </w:rPr>
        <w:t xml:space="preserve">Capitalized Software Development Costs </w:t>
      </w:r>
      <w:r>
        <w:rPr>
          <w:rFonts w:ascii="Arial" w:cs="Arial" w:eastAsia="Arial" w:hAnsi="Arial"/>
          <w:sz w:val="16"/>
          <w:szCs w:val="16"/>
          <w:color w:val="auto"/>
        </w:rPr>
        <w:t>—Certain payroll and stock compensation costs incurred to develop functionality for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internally built software platforms, as well as certain upgrades and enhancements that are expected to result in enhanced functionality are capitalized. The costs incurred in the preliminary stages of development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w:t>
      </w:r>
    </w:p>
    <w:p>
      <w:pPr>
        <w:spacing w:after="0" w:line="164"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Costs associated with building or significantly enhancing the CRM Platform and internally built software platforms are capitalized, while costs associated with planning new developments and maintaining the CRM Platform software and internally built software platforms are expensed as incurred.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 development costs, exclusive of those costs recorded within property and equipment, consisted of the following:</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December 31, 2019</w:t>
            </w:r>
          </w:p>
        </w:tc>
      </w:tr>
      <w:tr>
        <w:trPr>
          <w:trHeight w:val="155"/>
        </w:trPr>
        <w:tc>
          <w:tcPr>
            <w:tcW w:w="3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w:t>
            </w:r>
          </w:p>
        </w:tc>
        <w:tc>
          <w:tcPr>
            <w:tcW w:w="1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8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85,630</w:t>
            </w: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61,641</w:t>
            </w:r>
          </w:p>
        </w:tc>
        <w:tc>
          <w:tcPr>
            <w:tcW w:w="8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(60,687)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(44,848)</w:t>
            </w: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Amortization of capitalized software development costs, exclusive of costs recorded within property and equipment, was $16.0 million in 2020, $11.6 million in 2019, and $9.2 million in 2018. Amortization expense is included in cost of revenue in the consolidated statements of operations.</w:t>
      </w:r>
    </w:p>
    <w:p>
      <w:pPr>
        <w:spacing w:after="0" w:line="120" w:lineRule="exact"/>
        <w:rPr>
          <w:sz w:val="20"/>
          <w:szCs w:val="20"/>
          <w:color w:val="auto"/>
        </w:rPr>
      </w:pPr>
    </w:p>
    <w:p>
      <w:pPr>
        <w:ind w:right="140" w:firstLine="510"/>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tax assets and liabilities are recognized for the differences between the financial statement carrying amounts and the tax</w:t>
      </w:r>
      <w:r>
        <w:rPr>
          <w:rFonts w:ascii="Arial" w:cs="Arial" w:eastAsia="Arial" w:hAnsi="Arial"/>
          <w:sz w:val="16"/>
          <w:szCs w:val="16"/>
          <w:b w:val="1"/>
          <w:bCs w:val="1"/>
          <w:color w:val="auto"/>
        </w:rPr>
        <w:t xml:space="preserve"> </w:t>
      </w:r>
      <w:r>
        <w:rPr>
          <w:rFonts w:ascii="Arial" w:cs="Arial" w:eastAsia="Arial" w:hAnsi="Arial"/>
          <w:sz w:val="16"/>
          <w:szCs w:val="16"/>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46"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Accounting for uncertainty in income taxes recognized in the financial statements is in accordance with accounting authoritative guidance, which prescribes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right="20" w:firstLine="510"/>
        <w:spacing w:after="0" w:line="288"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all stock options and awards granted to employees and nonemployees using a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method. Stock-based compensation is recognized as an expense and is measured at the fair value of the award. The measurement date for awards is generally the date of the grant. For stock options, the Black-Scholes option pricing model is used to measure the fair value of the grant. The fair value of the Company’s common stock is the closing price of the stock on the date of the grant. The expected term of options granted to employees was calculated using the simplified method, which represents the average of the contractual term of the option and the weighted-average vesting period of the option. The Company considers this appropriate as there is no other method that would be more indicative of exercise activity. The expected volatility for the Company’s common stock was based on an average of the historical volatility of a peer group of similar public companies. The determine the Company’s peer companies, the following criteria was used: software or software-as-a-service companies; similar histories and relatively comparable financial leverage; sufficient public company trading history; similar talent pool; and in similar businesses and geographical markets. The risk-free interest rate is based on the rate on U.S. Treasury securities with maturities consistent with the estimated expected term of the awards. The assumed dividend yield is based upon the Company’s expectation of not paying dividends in the foreseeable future.</w:t>
      </w:r>
    </w:p>
    <w:p>
      <w:pPr>
        <w:spacing w:after="0" w:line="235" w:lineRule="exact"/>
        <w:rPr>
          <w:sz w:val="20"/>
          <w:szCs w:val="20"/>
          <w:color w:val="auto"/>
        </w:rPr>
      </w:pPr>
    </w:p>
    <w:p>
      <w:pPr>
        <w:jc w:val="both"/>
        <w:ind w:right="160" w:firstLine="510"/>
        <w:spacing w:after="0" w:line="277" w:lineRule="auto"/>
        <w:rPr>
          <w:sz w:val="20"/>
          <w:szCs w:val="20"/>
          <w:color w:val="auto"/>
        </w:rPr>
      </w:pPr>
      <w:r>
        <w:rPr>
          <w:rFonts w:ascii="Arial" w:cs="Arial" w:eastAsia="Arial" w:hAnsi="Arial"/>
          <w:sz w:val="18"/>
          <w:szCs w:val="18"/>
          <w:color w:val="auto"/>
        </w:rPr>
        <w:t>Stock-based compensation costs are recognized as expense over the requisite service period, which is generally the vesting period for awards, on a straight-line basis.</w:t>
      </w:r>
    </w:p>
    <w:p>
      <w:pPr>
        <w:spacing w:after="0" w:line="207" w:lineRule="exact"/>
        <w:rPr>
          <w:sz w:val="20"/>
          <w:szCs w:val="20"/>
          <w:color w:val="auto"/>
        </w:rPr>
      </w:pPr>
    </w:p>
    <w:p>
      <w:pPr>
        <w:ind w:right="620" w:firstLine="510"/>
        <w:spacing w:after="0" w:line="282" w:lineRule="auto"/>
        <w:rPr>
          <w:sz w:val="20"/>
          <w:szCs w:val="20"/>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Recent accounting standards not included below are not expected to have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position and results of operations.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Accounting Pronouncements Adopted in 2019:</w:t>
      </w:r>
    </w:p>
    <w:p>
      <w:pPr>
        <w:spacing w:after="0" w:line="225" w:lineRule="exact"/>
        <w:rPr>
          <w:sz w:val="20"/>
          <w:szCs w:val="20"/>
          <w:color w:val="auto"/>
        </w:rPr>
      </w:pPr>
    </w:p>
    <w:p>
      <w:pPr>
        <w:jc w:val="both"/>
        <w:ind w:right="160" w:firstLine="510"/>
        <w:spacing w:after="0" w:line="279" w:lineRule="auto"/>
        <w:rPr>
          <w:sz w:val="20"/>
          <w:szCs w:val="20"/>
          <w:color w:val="auto"/>
        </w:rPr>
      </w:pPr>
      <w:r>
        <w:rPr>
          <w:rFonts w:ascii="Arial" w:cs="Arial" w:eastAsia="Arial" w:hAnsi="Arial"/>
          <w:sz w:val="17"/>
          <w:szCs w:val="17"/>
          <w:color w:val="auto"/>
        </w:rPr>
        <w:t>On January 1, 2019, the Company adopted the lease guidance using a modified retrospective transition method applied to those leases which were not completed as of January 1, 2019. Results for reporting periods beginning after December 31, 2018 are presented under the new guidance, while prior period comparative amounts are not adjusted and continue to be reported in accordance with historical guidance. The Company applied the new standard using the package of practical expedients permitted under the transition guidance where the Company:</w:t>
      </w:r>
    </w:p>
    <w:p>
      <w:pPr>
        <w:spacing w:after="0" w:line="7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did not reassess whether any expired or existing contracts contain a lease;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did not reassess the classification of existing leases;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did not reassess initial direct costs for any existing leases.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 Company elected the hindsight practical expedient to determine the lease term for existing leases.</w:t>
      </w:r>
    </w:p>
    <w:p>
      <w:pPr>
        <w:spacing w:after="0" w:line="2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resulting impact, as of the adoption date, to the consolidated balance sheet of applying the new guidance in 2019 versus the prior guidance was an increase to right-of-use assets of $152.2 million, a decrease to other assets of $0.3 million, an increase to total assets of $151.9 million, an increase to short-term lease liabilities of $14.1 million, a decrease to accrued expenses and other current liabilities of $0.5 million, an increase to total current liabilities of $13.5 million, an increase to long-term lease liabilities of $164.8 million, a decrease to deferred rent, net of current portion of $26.4 million and an increase to total liabilities of $151.9 million. There was no impact to stockholders’ equity or the consolidated statements of operations as a result of adopting the new guidance. There was no impact to total operating or financing cash flows of applying the new guidance in 2019 versus the prior guidance other than renaming or adding line items to the statements of cash flows to conform to the accounting for, and presentation of, the new standard.</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Adopted in 2020:</w:t>
      </w:r>
    </w:p>
    <w:p>
      <w:pPr>
        <w:spacing w:after="0" w:line="13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January 2017, the FASB issued guidance simplifying the accounting for goodwill impairment by removing Step 2 of the goodwill impairment test. Under previous guidance, Step 2 of the goodwill impairment test required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was recognized as goodwill impairment. Under the new guidance, goodwill impairment is recognized based on Step 1 of the current guidance, which calculates the carrying value in excess of the reporting unit’s fair value. The guidance was adopted effective January 1, 2020 and did not have a material impact on the consolidated financial statements.</w:t>
      </w:r>
    </w:p>
    <w:p>
      <w:pPr>
        <w:spacing w:after="0" w:line="20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June 2016, the FASB issued guidance that introduces a new methodology for accounting for credit losses on financial instruments. The guidance establishes a new forward-looking "expected loss model" that requires entities to estimate current expected credit losses on accounts receivable and other financial instruments by using all practical and relevant information. The guidance was adopted effective January 1, 2020 and did not have a material impact on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75" w:name="page76"/>
    <w:bookmarkEnd w:id="75"/>
    <w:p>
      <w:pPr>
        <w:ind w:right="80" w:firstLine="510"/>
        <w:spacing w:after="0" w:line="273" w:lineRule="auto"/>
        <w:rPr>
          <w:sz w:val="20"/>
          <w:szCs w:val="20"/>
          <w:color w:val="auto"/>
        </w:rPr>
      </w:pPr>
      <w:r>
        <w:rPr>
          <w:rFonts w:ascii="Arial" w:cs="Arial" w:eastAsia="Arial" w:hAnsi="Arial"/>
          <w:sz w:val="17"/>
          <w:szCs w:val="17"/>
          <w:color w:val="auto"/>
        </w:rPr>
        <w:t>In December 2019, the FASB issued guidance simplifying the accounting for incomes taxes by removing (i) the exception to the incremental approach for intraperiod tax allocation when there is a loss from continuing operations and income or a gain from other items, (ii) the exception to recognize a deferred tax liability for equity method investments when a foreign subsidiary becomes an equity method investment, and (iii) the exception to the general methodology for calculating income taxes in an interim period when a year-to-date loss exceeds the anticipated loss for the year. The guidance also improves consistent application of and simplifies GAAP for other areas accounting for income taxes. The guidance was adopted effective January 1, 2020, using a prospective approach and did not have a material impact on the consolidated financial statements.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to be Adopted in Future Periods: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new standard will be effective for the Company on January 1, 2022, with early adoption permitted. The Company is currently evaluating the impact of adoption of the standard on its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provides disaggregation of revenue based on geographic region (Note 10)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13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year ended December 31, 2020 increased by $82.4 million resulting from $965.4 million of calculated billings and was offset by revenue recognized of $883.0 million during the same period. $232.0 million of revenue was recognized during the year ended December 31, 2020 that was included in deferred revenue at the beginning of the period. As of December 31, 2020, approximately $255.6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19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Additional contract liabilities $1.7 million and $1.4 million were included in accrued expenses and other current liabilities as of December 31, 2020 and December 31, 2019.</w:t>
      </w:r>
    </w:p>
    <w:p>
      <w:pPr>
        <w:spacing w:after="0" w:line="19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6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Deferred commission expense during the year ended December 31, 2020 increased by $21.7 million as a result of deferring incremental costs of obtaining a contract of $65.6 million and was offset by amortization of $43.9 million during the same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leases office facilities under non-cancelable operating leases that expire at various dates through May 2031.</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Operating lease expense costs were </w:t>
      </w:r>
      <w:r>
        <w:rPr>
          <w:rFonts w:ascii="Arial" w:cs="Arial" w:eastAsia="Arial" w:hAnsi="Arial"/>
          <w:sz w:val="18"/>
          <w:szCs w:val="18"/>
          <w:color w:val="auto"/>
          <w:highlight w:val="cyan"/>
        </w:rPr>
        <w:t>$44.6</w:t>
      </w:r>
      <w:r>
        <w:rPr>
          <w:rFonts w:ascii="Arial" w:cs="Arial" w:eastAsia="Arial" w:hAnsi="Arial"/>
          <w:sz w:val="18"/>
          <w:szCs w:val="18"/>
          <w:color w:val="auto"/>
        </w:rPr>
        <w:t xml:space="preserve"> million in 2020 and $32.2 million in 2019.</w:t>
      </w:r>
    </w:p>
    <w:p>
      <w:pPr>
        <w:spacing w:after="0" w:line="293" w:lineRule="exact"/>
        <w:rPr>
          <w:sz w:val="20"/>
          <w:szCs w:val="20"/>
          <w:color w:val="auto"/>
        </w:rPr>
      </w:pPr>
    </w:p>
    <w:p>
      <w:pPr>
        <w:ind w:firstLine="510"/>
        <w:spacing w:after="0" w:line="293"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for the year ended 2020 and 2019 are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6" w:name="page77"/>
    <w:bookmarkEnd w:id="76"/>
    <w:tbl>
      <w:tblPr>
        <w:tblLayout w:type="fixed"/>
        <w:tblInd w:w="17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39"/>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3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60" w:type="dxa"/>
            <w:vAlign w:val="bottom"/>
            <w:gridSpan w:val="2"/>
          </w:tcPr>
          <w:p>
            <w:pPr>
              <w:ind w:left="420"/>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sublease income</w:t>
            </w: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5,000</w:t>
            </w:r>
          </w:p>
        </w:tc>
        <w:tc>
          <w:tcPr>
            <w:tcW w:w="8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80" w:type="dxa"/>
            <w:vAlign w:val="bottom"/>
            <w:shd w:val="clear" w:color="auto" w:fill="CFF0FC"/>
          </w:tcPr>
          <w:p>
            <w:pPr>
              <w:spacing w:after="0"/>
              <w:rPr>
                <w:sz w:val="19"/>
                <w:szCs w:val="19"/>
                <w:color w:val="auto"/>
              </w:rPr>
            </w:pPr>
          </w:p>
        </w:tc>
      </w:tr>
    </w:tbl>
    <w:p>
      <w:pPr>
        <w:spacing w:after="0" w:line="2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reconciliation between non-cancelable lease commitments and lease liabilities as of December 31, 2020</w:t>
      </w:r>
      <w:r>
        <w:rPr>
          <w:rFonts w:ascii="Arial" w:cs="Arial" w:eastAsia="Arial" w:hAnsi="Arial"/>
          <w:sz w:val="17"/>
          <w:szCs w:val="17"/>
          <w:b w:val="1"/>
          <w:bCs w:val="1"/>
          <w:color w:val="auto"/>
        </w:rPr>
        <w:t>:</w:t>
      </w:r>
    </w:p>
    <w:p>
      <w:pPr>
        <w:spacing w:after="0" w:line="9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commitments (Note 11)</w:t>
            </w: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388,962</w:t>
            </w:r>
          </w:p>
        </w:tc>
        <w:tc>
          <w:tcPr>
            <w:tcW w:w="280" w:type="dxa"/>
            <w:vAlign w:val="bottom"/>
            <w:tcBorders>
              <w:top w:val="single" w:sz="8" w:color="CFF0FC"/>
            </w:tcBorders>
            <w:shd w:val="clear" w:color="auto" w:fill="CFF0FC"/>
          </w:tcPr>
          <w:p>
            <w:pPr>
              <w:spacing w:after="0"/>
              <w:rPr>
                <w:sz w:val="19"/>
                <w:szCs w:val="19"/>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Less: Legally binding minimum lease payments for leases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4740" w:type="dxa"/>
            <w:vAlign w:val="bottom"/>
          </w:tcPr>
          <w:p>
            <w:pPr>
              <w:ind w:left="120"/>
              <w:spacing w:after="0"/>
              <w:rPr>
                <w:sz w:val="20"/>
                <w:szCs w:val="20"/>
                <w:color w:val="auto"/>
              </w:rPr>
            </w:pPr>
            <w:r>
              <w:rPr>
                <w:rFonts w:ascii="Arial" w:cs="Arial" w:eastAsia="Arial" w:hAnsi="Arial"/>
                <w:sz w:val="18"/>
                <w:szCs w:val="18"/>
                <w:color w:val="auto"/>
              </w:rPr>
              <w:t>signed but not yet commenced</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(79,469)</w:t>
            </w:r>
          </w:p>
        </w:tc>
      </w:tr>
      <w:tr>
        <w:trPr>
          <w:trHeight w:val="223"/>
        </w:trPr>
        <w:tc>
          <w:tcPr>
            <w:tcW w:w="474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309,493</w:t>
            </w:r>
          </w:p>
        </w:tc>
        <w:tc>
          <w:tcPr>
            <w:tcW w:w="2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Certain leases contain optional termination dates, and the Company is not reasonably certain to extend its lease agreements beyond those dates. The Company evaluates whether it will extend these lease agreements each reporting period and updates its lease liabilities accordingly. If the Company were to extend leases beyond the optional termination date, the future commitments would increase by approximately $90.8 million.</w:t>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weighted average remaining lease terms and weighted average discount rate for operating and finance leases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Weighted-average remaining lease term:</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years</w:t>
            </w: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Weighted-average discount rate:</w:t>
            </w:r>
          </w:p>
        </w:tc>
        <w:tc>
          <w:tcPr>
            <w:tcW w:w="27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payments related to operating lease liabilities were $48.8 million in 2020 and $28.8 million in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5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11" w:right="359" w:bottom="1440" w:gutter="0" w:footer="0" w:header="0"/>
        </w:sectPr>
      </w:pPr>
    </w:p>
    <w:bookmarkStart w:id="77" w:name="page78"/>
    <w:bookmarkEnd w:id="77"/>
    <w:p>
      <w:pPr>
        <w:ind w:right="60" w:firstLine="51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December 31, 2020 and December 31, 2019 :</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172,485</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172,485</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116,371</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774,772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906,799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1,079,284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6"/>
        </w:trPr>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investments: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96,618</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96,618</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87,185</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87,138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631,174</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and restricted cash (within other long-term assets) on the consolidated balance sheets. At December 31, 2020 and 2019,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December 31, 2020, the fair value of the 2022 Notes was $526.1 million and the fair value of the 2025 Notes was $718.8 million (Note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9). The fair value was determined based on the quoted price of the 2022 and 2025 Notes in an inactive market on the last trading day of the reporting period and has been classified as Level 2 within the fair value hierarchy.</w:t>
      </w:r>
    </w:p>
    <w:p>
      <w:pPr>
        <w:spacing w:after="0" w:line="212"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For certain other financial instruments, including accounts receivable, accounts payable, finance leases and other current liabilities, the carrying amounts approximate their fair value due to the relatively short maturity of these balances.</w:t>
      </w:r>
    </w:p>
    <w:p>
      <w:pPr>
        <w:spacing w:after="0" w:line="19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Restricted cash is comprised of money market funds and certificates of deposit related to landlord guarantees for leased facilities. These restricted cash balances have been excluded from our cash and cash equivalents balance on our consolidated balance sheets.</w:t>
      </w:r>
    </w:p>
    <w:p>
      <w:pPr>
        <w:spacing w:after="0" w:line="19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$6.7 million of strategic investments without readily determinable fair values at December 31, 2020 and $4.4 million of strategic investments without readily determinable fair values at December 31, 2019. These investments are included in other assets on the consolidated balance sheets. For the year ended December 31, 2020, the Company recorded an impairment of $250 thousand and there have been no adjustments to the carrying value of the strategic investments in 2019 or 2018.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color w:val="auto"/>
        </w:rPr>
        <w:t>The following tables summarize the composition of our short- and long-term investments at December 31, 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5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23"/>
        </w:trPr>
        <w:tc>
          <w:tcPr>
            <w:tcW w:w="5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5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77,214</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87,138</w:t>
            </w:r>
          </w:p>
        </w:tc>
        <w:tc>
          <w:tcPr>
            <w:tcW w:w="10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581,258</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745,180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745,610</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For all of our securities for which the amortized cost basis was greater than the fair value at December 31, 2020 and 2019,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short-term and long-term investments held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w w:val="99"/>
              </w:rPr>
              <w:t>Amortized</w:t>
            </w: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36"/>
              <w:spacing w:after="0" w:line="133" w:lineRule="exact"/>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Amortized</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Cost Basis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8"/>
          </w:tcPr>
          <w:p>
            <w:pPr>
              <w:jc w:val="right"/>
              <w:ind w:right="92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872,637</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873,073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691,556</w:t>
            </w:r>
          </w:p>
        </w:tc>
        <w:tc>
          <w:tcPr>
            <w:tcW w:w="18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ind w:right="38"/>
              <w:spacing w:after="0"/>
              <w:rPr>
                <w:sz w:val="20"/>
                <w:szCs w:val="20"/>
                <w:color w:val="auto"/>
              </w:rPr>
            </w:pPr>
            <w:r>
              <w:rPr>
                <w:rFonts w:ascii="Arial" w:cs="Arial" w:eastAsia="Arial" w:hAnsi="Arial"/>
                <w:sz w:val="4"/>
                <w:szCs w:val="4"/>
                <w:color w:val="auto"/>
                <w:w w:val="87"/>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691,834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Due after 1 year and within 2 years</w:t>
            </w:r>
          </w:p>
        </w:tc>
        <w:tc>
          <w:tcPr>
            <w:tcW w:w="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53,624</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53,776</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745,180</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745,610</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4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3"/>
          </w:tcPr>
          <w:p>
            <w:pPr>
              <w:ind w:left="520"/>
              <w:spacing w:after="0"/>
              <w:rPr>
                <w:sz w:val="20"/>
                <w:szCs w:val="20"/>
                <w:color w:val="auto"/>
              </w:rPr>
            </w:pPr>
            <w:r>
              <w:rPr>
                <w:rFonts w:ascii="Arial" w:cs="Arial" w:eastAsia="Arial" w:hAnsi="Arial"/>
                <w:sz w:val="18"/>
                <w:szCs w:val="18"/>
                <w:color w:val="auto"/>
              </w:rPr>
              <w:t>Property and equipment consists of the following:</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w w:val="96"/>
              </w:rPr>
              <w:t>Computer equipment and purchased software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15,128</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13,028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20,802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14,319</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89,850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56,618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Equipment under finance lease</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3,450</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Internal-use software</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23,714</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171,976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132,728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(70,853)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(49,079)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101,123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83,649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Depreciation and amortization expense was $20.6 million in 2020, $15.0 million in 2019, and $12.9 million in 2018.</w:t>
      </w:r>
    </w:p>
    <w:p>
      <w:pPr>
        <w:spacing w:after="0" w:line="225"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Company capitalized asset retirement costs of $4.4 million at December 31, 2020 and $3.3 million at December 31, 2019 within leasehold improvements and the related liability is within other long-term liabilities on the consolidated balance sheet. These costs represent future lease restoration obligations as required by Company’s leases.</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changes in the asset retirement obligation balance during the year ending December 31, 2020 and December 31, 2019 are as follows:</w:t>
      </w:r>
    </w:p>
    <w:p>
      <w:pPr>
        <w:spacing w:after="0" w:line="309"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00" w:type="dxa"/>
            <w:vAlign w:val="bottom"/>
            <w:gridSpan w:val="3"/>
          </w:tcPr>
          <w:p>
            <w:pPr>
              <w:jc w:val="right"/>
              <w:ind w:right="410"/>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8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3,533</w:t>
            </w:r>
          </w:p>
        </w:tc>
        <w:tc>
          <w:tcPr>
            <w:tcW w:w="104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1,424</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2,028</w:t>
            </w: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w:t>
            </w:r>
          </w:p>
        </w:tc>
        <w:tc>
          <w:tcPr>
            <w:tcW w:w="6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ind w:left="240"/>
              <w:spacing w:after="0"/>
              <w:rPr>
                <w:sz w:val="20"/>
                <w:szCs w:val="20"/>
                <w:color w:val="auto"/>
              </w:rPr>
            </w:pPr>
            <w:r>
              <w:rPr>
                <w:rFonts w:ascii="Arial" w:cs="Arial" w:eastAsia="Arial" w:hAnsi="Arial"/>
                <w:sz w:val="18"/>
                <w:szCs w:val="18"/>
                <w:color w:val="auto"/>
              </w:rPr>
              <w:t>Updates to estimated cash flows</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4,884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3,533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Acquisitions</w:t>
      </w:r>
    </w:p>
    <w:p>
      <w:pPr>
        <w:spacing w:after="0" w:line="13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October 31, 2019, the Company acquired 100% of the equity interests of PieSync, a Belgian-based technology company that operates an integration platform as a service (“iPaaS”) solution which continuously syncs customer data bi-directionally across various software applications. PieSync is one of the only iPaaS technologies that provides both a current and historical two-way sync of customer data that operates in the background, which will offer customers a more efficient way of managing multiple applications. The total cash purchase price for the acquisition was $23.3 million, net of cash acquired, which includes a working capital settlement of $0.3 million. Other liabilities assumed includes $333 thousand of debt, which the Company repaid in 2019. There was approximately $2.7 million of potential consideration that was not included in the purchase price allocation as it is not associated with pre-combination services. This potential additional payment is contingent upon post-acquisition employment and will be recognized as compensation expense in the consolidated statement of operations over a period of 2 years. Through December 31, 2020, $1.6 million of this consideration had been earned and recorded as operating expense in the consolidated statements of operations. The transaction costs associated with the acquisition were approximately $527 thousand and were recorded in general and administrative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date of acquisition:</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Acquired developed technology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15,219</w:t>
            </w:r>
          </w:p>
        </w:tc>
        <w:tc>
          <w:tcPr>
            <w:tcW w:w="8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23,821</w:t>
            </w: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excess of the purchase consideration over the fair value of net tangible and identifiable intangible assets and liabilities acquired was recorded as goodwill. The Company will derive significant value from this acquisition through synergies such as cross selling opportunities and a stronger platform that offers a suite of products not directly matched by competitors. The goodwill recognized is not deductible for foreign income tax purposes.</w:t>
      </w:r>
    </w:p>
    <w:p>
      <w:pPr>
        <w:spacing w:after="0" w:line="189"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Company applied variations of the income approach to estimate the fair values of the intangible assets acquired. The primary intangible asset acquired in the business combination was developed technology and the fair value of the developed technology of $9.8 million was determined based on the estimated present value of expected after-tax cash flows attributable to the technology using an excess earnings method. The Company applied significant estimates and assumptions with respect to forecasted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right="500"/>
        <w:spacing w:after="0" w:line="263" w:lineRule="auto"/>
        <w:rPr>
          <w:sz w:val="20"/>
          <w:szCs w:val="20"/>
          <w:color w:val="auto"/>
        </w:rPr>
      </w:pPr>
      <w:r>
        <w:rPr>
          <w:rFonts w:ascii="Arial" w:cs="Arial" w:eastAsia="Arial" w:hAnsi="Arial"/>
          <w:sz w:val="18"/>
          <w:szCs w:val="18"/>
          <w:color w:val="auto"/>
        </w:rPr>
        <w:t>revenue growth rates, the revenue attributable to the acquired intangible asset over its estimated economic life, and the discount rate. The fair values assigned to the other tangible and identifiable intangible assets acquired and liabilities assumed as part of the business combination were based on management’s estimates and assumptions.</w:t>
      </w:r>
    </w:p>
    <w:p>
      <w:pPr>
        <w:spacing w:after="0" w:line="21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Company began amortizing the acquired technology on the date of acquisition. The acquired technology is being amortized over seven years using a method reflective of the expected economic benefit consumption over the expected useful life of the asset. The weighted average amortization period for the acquired technology is approximately 4.3 years. The amortization expense is recorded to cost of subscription revenue in the consolidated statements of operations.</w:t>
      </w:r>
    </w:p>
    <w:p>
      <w:pPr>
        <w:spacing w:after="0" w:line="268"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The Company has included the operating results of PieSync, which are not material,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2018 were not materially different from the amounts reflected in the accompanying consolidated financial statements.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Intangible assets acquired through business combinations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December 31, 2020 and 2019 consist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88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4"/>
          </w:tcPr>
          <w:p>
            <w:pPr>
              <w:jc w:val="right"/>
              <w:ind w:right="47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38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40 Months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9 Months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(8,171)</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intangible assets include trade name and customer relationship.</w:t>
      </w:r>
    </w:p>
    <w:p>
      <w:pPr>
        <w:spacing w:after="0" w:line="252"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The estimated useful life of acquired technology is two to seven years. The Company evaluates the useful lives of these assets on an annual basis and tests for impairment whenever events or changes in circumstances occur that could impact the recoverability of these assets.</w:t>
      </w:r>
    </w:p>
    <w:p>
      <w:pPr>
        <w:spacing w:after="0" w:line="14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Amortization expense related to intangible assets was $2.6 million in 2020, $3.2 million in 2019, and $1.4 million in 2018. Amortization expense of acquired technology is included in cost of subscription revenue in the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future amortization expense for intangible assets as of December 31, 2020 is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26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Amortization</w:t>
            </w:r>
          </w:p>
        </w:tc>
      </w:tr>
      <w:tr>
        <w:trPr>
          <w:trHeight w:val="165"/>
        </w:trPr>
        <w:tc>
          <w:tcPr>
            <w:tcW w:w="6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5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Expense</w:t>
            </w:r>
          </w:p>
        </w:tc>
      </w:tr>
      <w:tr>
        <w:trPr>
          <w:trHeight w:val="162"/>
        </w:trPr>
        <w:tc>
          <w:tcPr>
            <w:tcW w:w="840" w:type="dxa"/>
            <w:vAlign w:val="bottom"/>
            <w:tcBorders>
              <w:top w:val="single" w:sz="8" w:color="auto"/>
            </w:tcBorders>
          </w:tcPr>
          <w:p>
            <w:pPr>
              <w:spacing w:after="0"/>
              <w:rPr>
                <w:sz w:val="14"/>
                <w:szCs w:val="14"/>
                <w:color w:val="auto"/>
              </w:rPr>
            </w:pPr>
          </w:p>
        </w:tc>
        <w:tc>
          <w:tcPr>
            <w:tcW w:w="5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r>
      <w:tr>
        <w:trPr>
          <w:trHeight w:val="230"/>
        </w:trPr>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FF0FC"/>
          </w:tcPr>
          <w:p>
            <w:pPr>
              <w:spacing w:after="0"/>
              <w:rPr>
                <w:sz w:val="19"/>
                <w:szCs w:val="19"/>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2022</w:t>
            </w: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1,406</w:t>
            </w:r>
          </w:p>
        </w:tc>
        <w:tc>
          <w:tcPr>
            <w:tcW w:w="80" w:type="dxa"/>
            <w:vAlign w:val="bottom"/>
          </w:tcPr>
          <w:p>
            <w:pPr>
              <w:spacing w:after="0"/>
              <w:rPr>
                <w:sz w:val="19"/>
                <w:szCs w:val="19"/>
                <w:color w:val="auto"/>
              </w:rPr>
            </w:pPr>
          </w:p>
        </w:tc>
      </w:tr>
      <w:tr>
        <w:trPr>
          <w:trHeight w:val="230"/>
        </w:trPr>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FF0FC"/>
          </w:tcPr>
          <w:p>
            <w:pPr>
              <w:spacing w:after="0"/>
              <w:rPr>
                <w:sz w:val="19"/>
                <w:szCs w:val="19"/>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2024</w:t>
            </w:r>
          </w:p>
        </w:tc>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19"/>
                <w:szCs w:val="19"/>
                <w:color w:val="auto"/>
              </w:rPr>
            </w:pPr>
          </w:p>
        </w:tc>
      </w:tr>
      <w:tr>
        <w:trPr>
          <w:trHeight w:val="230"/>
        </w:trPr>
        <w:tc>
          <w:tcPr>
            <w:tcW w:w="8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80" w:type="dxa"/>
            <w:vAlign w:val="bottom"/>
            <w:shd w:val="clear" w:color="auto" w:fill="CFF0FC"/>
          </w:tcPr>
          <w:p>
            <w:pPr>
              <w:spacing w:after="0"/>
              <w:rPr>
                <w:sz w:val="19"/>
                <w:szCs w:val="19"/>
                <w:color w:val="auto"/>
              </w:rPr>
            </w:pPr>
          </w:p>
        </w:tc>
      </w:tr>
      <w:tr>
        <w:trPr>
          <w:trHeight w:val="230"/>
        </w:trPr>
        <w:tc>
          <w:tcPr>
            <w:tcW w:w="6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and is generally not deductible for tax purposes. Goodwill amounts are not amortized, but rather tested for impairment annually.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color w:val="auto"/>
        </w:rPr>
        <w:t>The changes in the carrying amounts of goodwill consist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20" w:type="dxa"/>
            <w:vAlign w:val="bottom"/>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PieSync acquisition</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15,219</w:t>
            </w:r>
          </w:p>
        </w:tc>
        <w:tc>
          <w:tcPr>
            <w:tcW w:w="80" w:type="dxa"/>
            <w:vAlign w:val="bottom"/>
          </w:tcPr>
          <w:p>
            <w:pPr>
              <w:spacing w:after="0"/>
              <w:rPr>
                <w:sz w:val="19"/>
                <w:szCs w:val="19"/>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30,250</w:t>
            </w:r>
          </w:p>
        </w:tc>
        <w:tc>
          <w:tcPr>
            <w:tcW w:w="80" w:type="dxa"/>
            <w:vAlign w:val="bottom"/>
          </w:tcPr>
          <w:p>
            <w:pPr>
              <w:spacing w:after="0"/>
              <w:rPr>
                <w:sz w:val="19"/>
                <w:szCs w:val="19"/>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80" w:type="dxa"/>
            <w:vAlign w:val="bottom"/>
            <w:shd w:val="clear" w:color="auto" w:fill="CFF0FC"/>
          </w:tcPr>
          <w:p>
            <w:pPr>
              <w:spacing w:after="0"/>
              <w:rPr>
                <w:sz w:val="19"/>
                <w:szCs w:val="19"/>
                <w:color w:val="auto"/>
              </w:rPr>
            </w:pPr>
          </w:p>
        </w:tc>
      </w:tr>
      <w:tr>
        <w:trPr>
          <w:trHeight w:val="229"/>
        </w:trPr>
        <w:tc>
          <w:tcPr>
            <w:tcW w:w="5780" w:type="dxa"/>
            <w:vAlign w:val="bottom"/>
          </w:tcPr>
          <w:p>
            <w:pPr>
              <w:ind w:left="240"/>
              <w:spacing w:after="0"/>
              <w:rPr>
                <w:sz w:val="20"/>
                <w:szCs w:val="20"/>
                <w:color w:val="auto"/>
              </w:rPr>
            </w:pPr>
            <w:r>
              <w:rPr>
                <w:rFonts w:ascii="Arial" w:cs="Arial" w:eastAsia="Arial" w:hAnsi="Arial"/>
                <w:sz w:val="18"/>
                <w:szCs w:val="18"/>
                <w:color w:val="auto"/>
              </w:rPr>
              <w:t>Measurement period adjustments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r>
      <w:tr>
        <w:trPr>
          <w:trHeight w:val="223"/>
        </w:trPr>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5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If the Company undergoes a fundamental change prior to the maturity date, holders of the notes may require the Company to repurchase for cash all or any portion of their notes at a repurchase price equal to 100% of the principal amount of the notes to be repurchased, plus accrued and unpaid interest to, but excluding, the fundamental change repurchase date. In addition, if specific corporate events occur prior to the applicable maturity date or if the Company delivers a notice of redemption, the Company will increase the conversion rate for a holder who elects to convert their notes in connection with such a corporate event or convert its 2025 Notes called for redemption in connection with such notice of redemption, as permitted by the Indenture. During the year ended December 31, 2020, the conditions allowing holders of the 2025 Notes to convert have not been met and are therefore not convertible during the year ended December 31, 2020. Because the last reported sale price of the Company’s common stock for at least 20 trading days during the period of 30 consecutive trading days ending on the last trading day of the calendar quarter ended December 31, 2020 was equal to or greater than 130% of the applicable conversion price on each applicable trading day, the 2025 Notes are convertible at the option of the holders thereof during the calendar quarter ending March 31, 2021. As of February 12, 2021, no holders have converted or indicated their intention to convert the 2025 Notes. The 2025 Notes are classified as long-term debt.</w:t>
      </w:r>
    </w:p>
    <w:p>
      <w:pPr>
        <w:spacing w:after="0" w:line="39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accounting for the issuance of the 2025 Notes, the Company separated the 2025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$98.7 million and was determined by deducting the fair value of the liability component from the par value of the 2025 Notes. The equity component is recorded in additional paid-in capital in the consolidated balance sheets and is not remeasured as long as it continues to meet the conditions for equity classification. The excess of the principal amount of the liability component over its carrying amount (the "Debt Discount") is amortized to interest expense at an effective interest rate of 5.71% over the contractual term of the 2025 Notes.</w:t>
      </w:r>
    </w:p>
    <w:p>
      <w:pPr>
        <w:spacing w:after="0" w:line="19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accounting for the debt issuance costs of $9.9 million related to the 2025 Notes, the Company allocated the total amount incurred to the liability and equity components of the 2025 Notes based on their relative values. Issuance costs attributable to the liability component were $7.8 million and will be amortized to interest expense using the effective interest method over the contractual terms of the 2025 Notes. Issuance costs attributable to the equity component were $2.1 million and are netted with the equity component of the 2025 Notes in stockholders’ equity.</w:t>
      </w:r>
    </w:p>
    <w:p>
      <w:pPr>
        <w:spacing w:after="0" w:line="17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difference in the book and tax allocation between the liability and equity components of the 2025 Notes resulted in a difference between the carrying amount and tax basis of the 2025 Notes. This taxable temporary difference resulted in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ind w:right="220"/>
        <w:spacing w:after="0" w:line="258" w:lineRule="auto"/>
        <w:rPr>
          <w:sz w:val="20"/>
          <w:szCs w:val="20"/>
          <w:color w:val="auto"/>
        </w:rPr>
      </w:pPr>
      <w:r>
        <w:rPr>
          <w:rFonts w:ascii="Arial" w:cs="Arial" w:eastAsia="Arial" w:hAnsi="Arial"/>
          <w:sz w:val="18"/>
          <w:szCs w:val="18"/>
          <w:color w:val="auto"/>
        </w:rPr>
        <w:t>recognizing a deferred tax liability and a corresponding reduction in the Company's valuation allowance on its US deferred tax assets, resulting in no net deferred tax impact.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carrying amount of the liability component of the 2025 Notes is as follows:</w:t>
      </w:r>
    </w:p>
    <w:tbl>
      <w:tblPr>
        <w:tblLayout w:type="fixed"/>
        <w:tblInd w:w="52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60" w:type="dxa"/>
            <w:vAlign w:val="bottom"/>
          </w:tcPr>
          <w:p>
            <w:pPr>
              <w:spacing w:after="0"/>
              <w:rPr>
                <w:sz w:val="12"/>
                <w:szCs w:val="12"/>
                <w:color w:val="auto"/>
              </w:rPr>
            </w:pPr>
          </w:p>
        </w:tc>
        <w:tc>
          <w:tcPr>
            <w:tcW w:w="142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67"/>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5"/>
          </w:tcPr>
          <w:p>
            <w:pPr>
              <w:ind w:left="58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(88,756)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(6,973)</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20"/>
              <w:spacing w:after="0"/>
              <w:rPr>
                <w:sz w:val="20"/>
                <w:szCs w:val="20"/>
                <w:color w:val="auto"/>
              </w:rPr>
            </w:pPr>
            <w:r>
              <w:rPr>
                <w:rFonts w:ascii="Arial" w:cs="Arial" w:eastAsia="Arial" w:hAnsi="Arial"/>
                <w:sz w:val="18"/>
                <w:szCs w:val="18"/>
                <w:color w:val="auto"/>
              </w:rPr>
              <w:t>Net carrying amount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364,271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spacing w:after="0"/>
              <w:rPr>
                <w:sz w:val="20"/>
                <w:szCs w:val="20"/>
                <w:color w:val="auto"/>
              </w:rPr>
            </w:pPr>
            <w:r>
              <w:rPr>
                <w:rFonts w:ascii="Arial" w:cs="Arial" w:eastAsia="Arial" w:hAnsi="Arial"/>
                <w:sz w:val="18"/>
                <w:szCs w:val="18"/>
                <w:color w:val="auto"/>
                <w:w w:val="92"/>
              </w:rPr>
              <w:t>The net carrying amount of the equity component of the 2025 Notes is as follows:</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c>
          <w:tcPr>
            <w:tcW w:w="60" w:type="dxa"/>
            <w:vAlign w:val="bottom"/>
          </w:tcPr>
          <w:p>
            <w:pPr>
              <w:spacing w:after="0"/>
              <w:rPr>
                <w:sz w:val="24"/>
                <w:szCs w:val="24"/>
                <w:color w:val="auto"/>
              </w:rPr>
            </w:pPr>
          </w:p>
        </w:tc>
        <w:tc>
          <w:tcPr>
            <w:tcW w:w="1420" w:type="dxa"/>
            <w:vAlign w:val="bottom"/>
            <w:gridSpan w:val="4"/>
          </w:tcPr>
          <w:p>
            <w:pPr>
              <w:jc w:val="center"/>
              <w:ind w:left="119"/>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67"/>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5"/>
          </w:tcPr>
          <w:p>
            <w:pPr>
              <w:ind w:left="58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Issuance costs</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related to the 2025 Notes is as follows:</w:t>
            </w: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6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142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10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w w:val="79"/>
              </w:rPr>
              <w:t>$</w:t>
            </w:r>
          </w:p>
        </w:tc>
        <w:tc>
          <w:tcPr>
            <w:tcW w:w="3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9,974</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20"/>
              <w:spacing w:after="0"/>
              <w:rPr>
                <w:sz w:val="20"/>
                <w:szCs w:val="20"/>
                <w:color w:val="auto"/>
              </w:rPr>
            </w:pPr>
            <w:r>
              <w:rPr>
                <w:rFonts w:ascii="Arial" w:cs="Arial" w:eastAsia="Arial" w:hAnsi="Arial"/>
                <w:sz w:val="18"/>
                <w:szCs w:val="18"/>
                <w:color w:val="auto"/>
              </w:rPr>
              <w:t>Total interest expense</w:t>
            </w: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87"/>
              </w:rPr>
              <w:t>11,745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83"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automatically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 Capped Call Options is recorded in stockholders’ equity as a reduction in additional paid-in capital and are not accounted for as separate derivative financial instruments.</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10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May 2017, the Company issued $350 million aggregate principal amount of 0.25% convertible senior notes due June 1, 2022 (the “2022 Notes”) in a private offering and an additional $50 million aggregate principal amount of such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18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Each $1,000 principal amount of the 2022 Notes are currently convertible into 10.5519 shares of the Company’s common stock (the “Conversion Option of the 2022 Notes”), which is equivalent to an initial conversion price of approximately $94.77 per share, subject to adjustment upon the occurrence of specified events. On or after February 1, 2022 until the close of business on the second scheduled trading day immediately preceding the maturity date, holders may convert their notes at any time. The 2022 Notes are convertible at the option of the holders prior to the close of business on the business day immediately preceding February 1, 2022 under certain circumstances. Upon conversion, the Company will pay or deliver, as the case may be, cash, shares of the Company’s common stock or a combination of cash and shares of the Company’s common stock, at the Company’s election. The Company expects to settle the principal amount of the 2022 Notes in cash. Because the last reported sale price of the Company’s common stock for at least 20 trading days during the period of 30 consecutive trading days ending on the last trading day of the calendar quarter ended December 31, 2020 was equal to or greater than 130% of the applicable conversion price on each applicable trading day, the 2022 Notes are convertible at the option of the holders thereof during the calendar quarter ending March 31, 2021. In the fourth quarter of 2020, the Company settled $2 million of principal balance of the 2022 Notes in cash. Between the end of the most recently completed fiscal quarter and February 12, 2021, the Company additionally settled $8.3 million of principal balance of the 2022 Notes in cash in response to conversion notices received prior to December 31, 2020. As of February 12, 2021, the Company has received additional conversion notices subsequent to year-end for approximately $36.1 million of the principal balance of the 2022 Notes, which will be settled in cash during the quarter ended March 31, 2021.</w:t>
      </w:r>
    </w:p>
    <w:p>
      <w:pPr>
        <w:sectPr>
          <w:pgSz w:w="11900" w:h="16838" w:orient="portrait"/>
          <w:cols w:equalWidth="0" w:num="1">
            <w:col w:w="11220"/>
          </w:cols>
          <w:pgMar w:left="320" w:top="341" w:right="359"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83" w:name="page84"/>
    <w:bookmarkEnd w:id="83"/>
    <w:p>
      <w:pPr>
        <w:ind w:right="60" w:firstLine="510"/>
        <w:spacing w:after="0" w:line="301" w:lineRule="auto"/>
        <w:rPr>
          <w:sz w:val="20"/>
          <w:szCs w:val="20"/>
          <w:color w:val="auto"/>
        </w:rPr>
      </w:pPr>
      <w:r>
        <w:rPr>
          <w:rFonts w:ascii="Arial" w:cs="Arial" w:eastAsia="Arial" w:hAnsi="Arial"/>
          <w:sz w:val="16"/>
          <w:szCs w:val="16"/>
          <w:color w:val="auto"/>
        </w:rPr>
        <w:t>The 2022 Notes are classified as long-term debt, except for $7.8 million classified as current as of December 31, 2020 for conversion notices received prior to year-end, for which the principal amount is expected to be cash-settled within the next fiscal quarter. The equity component of the 2022 Notes will continue to be classified as additional paid-in capital because the Company has the option to settle the principal amount in shares and the maturity date of the 2022 Notes is more than 12 months away. However, it is the Company’s intent to settle the principal amount of the 2022 Notes in cash.</w:t>
      </w:r>
    </w:p>
    <w:p>
      <w:pPr>
        <w:spacing w:after="0" w:line="15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The total cost of the Convertible Note Hedges was $78.9 million.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 The Company received $58.9 million in cash proceeds, net of issuance costs of $200 thousand, from the sale of these Warrants. The purchase of the Convertible Note Hedges and the sale of Warrants is intended to effectively increase the overall conversion price from $94.77 to $115.83 per share. As these transactions meet certain accounting criteria, the net $20.0 million paid for the Convertible Note Hedges and Warrants is recorded in stockholders’ equity and are not accounted for as separate derivative financial instruments.</w:t>
      </w:r>
    </w:p>
    <w:p>
      <w:pPr>
        <w:spacing w:after="0" w:line="18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June 2020, the Company used part of the net proceeds from the issuance of the 2025 Notes for the partial repurchase of the 2022 Notes, which consisted of a repurchase of $272.1 million aggregate principal amount of the 2022 Notes for an aggregate purchase price of approximately $283.0 in cash and approximately 1.6 million shares of its common stock at $207.17 per share. Of the $613.5 million in aggregate consideration, $248.7 million was allocated to the fair value of the debt component of the repurchase, and $364.8 million was allocated to the equity component (the associated Conversion Option of the 2022 Notes) of the repurchases, utilizing a discount rate of 4.9% to determine the fair value of the liability component. This rate was based on the Company’s estimated borrowing rate for a similar liability with the same maturity, but without the associated conversion option. To derive this effective discount rate, the Company utilized observable market rates for liabilities with similar estimated credit characteristics. As of the partial repurchase date, the carrying value of the 2022 Notes subject to the 2022 Notes partial repurchase, net of unamortized debt discount and issuance costs, was $238.2 million. The 2022 Notes partial repurchase and issuance of the 2025 Notes were deemed to have substantially different terms due to the significant difference between the value of the conversion option immediately prior to and after the exchange, and accordingly, the 2022 Notes partial repurchase was accounted for as a debt extinguishment. The 2022 Notes partial repurchase resulted in a $10.5 million loss on early extinguishment of debt, which is recorded within interest expense on the Company’s statements of operations. The loss on extinguishment was determined by comparing the consideration attributed to the fair value of the debt component with the carrying value of the debt component, which includes the proportionate amounts of unamortized debt discount and the remaining unamortized debt issuance costs. In connection with the partial repurchase of the 2022 Notes, the consideration allocated to the equity component of $364.8 million was recorded as a reduction to additional paid-in capital on the Company’s consolidated balance sheet. The Company also reversed a corresponding portion of the associated deferred tax liability and increased the Company’s valuation allowance on its US deferred tax assets, resulting in no net deferred tax impact. As of December 31, 2020, $125.8 million of principal remains outstanding on the 2022 Notes.</w:t>
      </w:r>
    </w:p>
    <w:p>
      <w:pPr>
        <w:spacing w:after="0" w:line="17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In connection with the partial repurchase of the 2022 Notes, the Company terminated Convertible Note Hedges corresponding to approximately 2.9 million shares of the Company’s common stock in exchange for cash consideration of $362.5 million, and certain counterparties terminated Warrants corresponding to approximately 2.9 million shares of the Company’s common stock in exchange for cash consideration of $327.6 million. The net proceeds of $34.9 million received from these transactions were recorded as an increase to additional paid-in capital. As of December 31, 2020, Convertible Note Hedges giving the Company the option to purchase approximately 1.3 million shares of the Company’s common stock and Warrants giving certain counterparties the option to acquire up to 1.3 million shares of the Company’s common stock remain outstanding.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180" w:type="dxa"/>
            <w:vAlign w:val="bottom"/>
          </w:tcPr>
          <w:p>
            <w:pPr>
              <w:spacing w:after="0"/>
              <w:rPr>
                <w:sz w:val="14"/>
                <w:szCs w:val="14"/>
                <w:color w:val="auto"/>
              </w:rPr>
            </w:pPr>
          </w:p>
        </w:tc>
        <w:tc>
          <w:tcPr>
            <w:tcW w:w="1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center"/>
              <w:ind w:left="44"/>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5"/>
          </w:tcPr>
          <w:p>
            <w:pPr>
              <w:ind w:left="3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125,839</w:t>
            </w: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399,992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(10,397)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(55,299)</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20"/>
              <w:spacing w:after="0"/>
              <w:rPr>
                <w:sz w:val="20"/>
                <w:szCs w:val="20"/>
                <w:color w:val="auto"/>
              </w:rPr>
            </w:pPr>
            <w:r>
              <w:rPr>
                <w:rFonts w:ascii="Arial" w:cs="Arial" w:eastAsia="Arial" w:hAnsi="Arial"/>
                <w:sz w:val="18"/>
                <w:szCs w:val="18"/>
                <w:color w:val="auto"/>
              </w:rPr>
              <w:t>Net carrying amount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114,665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340,564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spacing w:after="0"/>
              <w:rPr>
                <w:sz w:val="20"/>
                <w:szCs w:val="20"/>
                <w:color w:val="auto"/>
              </w:rPr>
            </w:pPr>
            <w:r>
              <w:rPr>
                <w:rFonts w:ascii="Arial" w:cs="Arial" w:eastAsia="Arial" w:hAnsi="Arial"/>
                <w:sz w:val="18"/>
                <w:szCs w:val="18"/>
                <w:color w:val="auto"/>
                <w:w w:val="92"/>
              </w:rPr>
              <w:t>The net carrying amount of the equity component of the 2022 Notes is as follows:</w:t>
            </w: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180" w:type="dxa"/>
            <w:vAlign w:val="bottom"/>
          </w:tcPr>
          <w:p>
            <w:pPr>
              <w:spacing w:after="0"/>
              <w:rPr>
                <w:sz w:val="24"/>
                <w:szCs w:val="24"/>
                <w:color w:val="auto"/>
              </w:rPr>
            </w:pPr>
          </w:p>
        </w:tc>
        <w:tc>
          <w:tcPr>
            <w:tcW w:w="17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center"/>
              <w:ind w:left="44"/>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4"/>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5"/>
          </w:tcPr>
          <w:p>
            <w:pPr>
              <w:ind w:left="3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Issuance costs</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103,152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related to the 2022 Notes is as follows:</w:t>
            </w: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6"/>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142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46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13,150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20,277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6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1,513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ind w:left="620"/>
              <w:spacing w:after="0"/>
              <w:rPr>
                <w:sz w:val="20"/>
                <w:szCs w:val="20"/>
                <w:color w:val="auto"/>
              </w:rPr>
            </w:pPr>
            <w:r>
              <w:rPr>
                <w:rFonts w:ascii="Arial" w:cs="Arial" w:eastAsia="Arial" w:hAnsi="Arial"/>
                <w:sz w:val="18"/>
                <w:szCs w:val="18"/>
                <w:color w:val="auto"/>
              </w:rPr>
              <w:t>Total interest expense</w:t>
            </w: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14,746</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22,790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net equity impact, included in additional paid-in capital, of the above components of the 2022 Notes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Conversion Option</w:t>
            </w:r>
          </w:p>
        </w:tc>
        <w:tc>
          <w:tcPr>
            <w:tcW w:w="17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(364,835)</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Issuance of common stock for repayment of 2022 Notes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330,497</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settlements of Convertible Note Hedges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362,492</w:t>
            </w:r>
          </w:p>
        </w:tc>
        <w:tc>
          <w:tcPr>
            <w:tcW w:w="8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Payments for settlement of Warrants</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(327,543)</w:t>
            </w:r>
          </w:p>
        </w:tc>
      </w:tr>
      <w:tr>
        <w:trPr>
          <w:trHeight w:val="223"/>
        </w:trPr>
        <w:tc>
          <w:tcPr>
            <w:tcW w:w="54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 and Geographic Data</w:t>
      </w:r>
    </w:p>
    <w:p>
      <w:pPr>
        <w:spacing w:after="0" w:line="12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As more fully described in the Company’s Summary of Significant Accounting Policies, the Company operates in one operating segment. Revenue and long-lived assets by geographic region, based on physical location of the operations recording the sale or the assets are as follows: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geographical region:</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733"/>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4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r>
      <w:tr>
        <w:trPr>
          <w:trHeight w:val="155"/>
        </w:trPr>
        <w:tc>
          <w:tcPr>
            <w:tcW w:w="4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0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568,365</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456,568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361,136</w:t>
            </w:r>
          </w:p>
        </w:tc>
        <w:tc>
          <w:tcPr>
            <w:tcW w:w="18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Europe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243,811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168,452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117,670</w:t>
            </w:r>
          </w:p>
        </w:tc>
        <w:tc>
          <w:tcPr>
            <w:tcW w:w="18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70,850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34,174</w:t>
            </w:r>
          </w:p>
        </w:tc>
        <w:tc>
          <w:tcPr>
            <w:tcW w:w="180" w:type="dxa"/>
            <w:vAlign w:val="bottom"/>
            <w:shd w:val="clear" w:color="auto" w:fill="CFF0FC"/>
          </w:tcPr>
          <w:p>
            <w:pPr>
              <w:spacing w:after="0"/>
              <w:rPr>
                <w:sz w:val="19"/>
                <w:szCs w:val="19"/>
                <w:color w:val="auto"/>
              </w:rPr>
            </w:pPr>
          </w:p>
        </w:tc>
      </w:tr>
      <w:tr>
        <w:trPr>
          <w:trHeight w:val="263"/>
        </w:trPr>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883,026</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674,860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512,980</w:t>
            </w:r>
          </w:p>
        </w:tc>
        <w:tc>
          <w:tcPr>
            <w:tcW w:w="180" w:type="dxa"/>
            <w:vAlign w:val="bottom"/>
            <w:tcBorders>
              <w:bottom w:val="single" w:sz="8" w:color="CFF0FC"/>
            </w:tcBorders>
          </w:tcPr>
          <w:p>
            <w:pPr>
              <w:spacing w:after="0"/>
              <w:rPr>
                <w:sz w:val="22"/>
                <w:szCs w:val="22"/>
                <w:color w:val="auto"/>
              </w:rPr>
            </w:pPr>
          </w:p>
        </w:tc>
      </w:tr>
      <w:tr>
        <w:trPr>
          <w:trHeight w:val="196"/>
        </w:trPr>
        <w:tc>
          <w:tcPr>
            <w:tcW w:w="42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revenues generated outside of the</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4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Revenue derived from customers outside the United States (international) was approximately 43% of total revenue in 2020, 40% of total revenue in 2019 and 37% of total revenue in 2018.</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85" w:name="page86"/>
    <w:bookmarkEnd w:id="85"/>
    <w:p>
      <w:pPr>
        <w:ind w:left="520"/>
        <w:spacing w:after="0"/>
        <w:rPr>
          <w:sz w:val="20"/>
          <w:szCs w:val="20"/>
          <w:color w:val="auto"/>
        </w:rPr>
      </w:pPr>
      <w:r>
        <w:rPr>
          <w:rFonts w:ascii="Arial" w:cs="Arial" w:eastAsia="Arial" w:hAnsi="Arial"/>
          <w:sz w:val="18"/>
          <w:szCs w:val="18"/>
          <w:color w:val="auto"/>
        </w:rPr>
        <w:t>Total long-lived assets by geographical region:</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jc w:val="right"/>
              <w:ind w:right="797"/>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206,789</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175,821</w:t>
            </w:r>
          </w:p>
        </w:tc>
        <w:tc>
          <w:tcPr>
            <w:tcW w:w="18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Europe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159,338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127,395</w:t>
            </w:r>
          </w:p>
        </w:tc>
        <w:tc>
          <w:tcPr>
            <w:tcW w:w="18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14,823</w:t>
            </w:r>
          </w:p>
        </w:tc>
        <w:tc>
          <w:tcPr>
            <w:tcW w:w="180" w:type="dxa"/>
            <w:vAlign w:val="bottom"/>
            <w:shd w:val="clear" w:color="auto" w:fill="CFF0FC"/>
          </w:tcPr>
          <w:p>
            <w:pPr>
              <w:spacing w:after="0"/>
              <w:rPr>
                <w:sz w:val="19"/>
                <w:szCs w:val="19"/>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 lived assets</w:t>
            </w:r>
          </w:p>
        </w:tc>
        <w:tc>
          <w:tcPr>
            <w:tcW w:w="7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377,016</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318,039</w:t>
            </w:r>
          </w:p>
        </w:tc>
        <w:tc>
          <w:tcPr>
            <w:tcW w:w="180" w:type="dxa"/>
            <w:vAlign w:val="bottom"/>
            <w:tcBorders>
              <w:bottom w:val="single" w:sz="8" w:color="CFF0FC"/>
            </w:tcBorders>
          </w:tcPr>
          <w:p>
            <w:pPr>
              <w:spacing w:after="0"/>
              <w:rPr>
                <w:sz w:val="22"/>
                <w:szCs w:val="22"/>
                <w:color w:val="auto"/>
              </w:rPr>
            </w:pPr>
          </w:p>
        </w:tc>
      </w:tr>
      <w:tr>
        <w:trPr>
          <w:trHeight w:val="196"/>
        </w:trPr>
        <w:tc>
          <w:tcPr>
            <w:tcW w:w="4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Percentage of long lived assets held outside of the</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leases its office facilities under non-cancelable operating leases that expire at various dates through May 2031. Rent expense for non-cancellable operating leases with free rental periods or scheduled rent increases is recognized on a straight-line basis over the terms of the leases. Improvement reimbursements from landlords of $21.8 million are being amortized on a straight-line basis into rent expense over the terms of the corresponding leases. Certain leases contain optional termination dates. The table below only includes payments up to the optional termination date. If the Company were to extended leases beyond the optional termination date the future commitments would increase by approximately $90.8 million.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operating lease agreements as of December 31, 2020, are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Operating</w:t>
            </w:r>
          </w:p>
        </w:tc>
      </w:tr>
      <w:tr>
        <w:trPr>
          <w:trHeight w:val="155"/>
        </w:trPr>
        <w:tc>
          <w:tcPr>
            <w:tcW w:w="6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3"/>
                <w:szCs w:val="13"/>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51,933</w:t>
            </w:r>
          </w:p>
        </w:tc>
        <w:tc>
          <w:tcPr>
            <w:tcW w:w="8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50,449</w:t>
            </w:r>
          </w:p>
        </w:tc>
        <w:tc>
          <w:tcPr>
            <w:tcW w:w="8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49,994</w:t>
            </w:r>
          </w:p>
        </w:tc>
        <w:tc>
          <w:tcPr>
            <w:tcW w:w="8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48,617</w:t>
            </w:r>
          </w:p>
        </w:tc>
        <w:tc>
          <w:tcPr>
            <w:tcW w:w="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48,686</w:t>
            </w:r>
          </w:p>
        </w:tc>
        <w:tc>
          <w:tcPr>
            <w:tcW w:w="80" w:type="dxa"/>
            <w:vAlign w:val="bottom"/>
            <w:shd w:val="clear" w:color="auto" w:fill="CFF0FC"/>
          </w:tcPr>
          <w:p>
            <w:pPr>
              <w:spacing w:after="0"/>
              <w:rPr>
                <w:sz w:val="19"/>
                <w:szCs w:val="19"/>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139,283</w:t>
            </w:r>
          </w:p>
        </w:tc>
        <w:tc>
          <w:tcPr>
            <w:tcW w:w="80" w:type="dxa"/>
            <w:vAlign w:val="bottom"/>
            <w:tcBorders>
              <w:bottom w:val="single" w:sz="8" w:color="CFF0FC"/>
            </w:tcBorders>
          </w:tcPr>
          <w:p>
            <w:pPr>
              <w:spacing w:after="0"/>
              <w:rPr>
                <w:sz w:val="19"/>
                <w:szCs w:val="19"/>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388,962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has entered into certain non-cancelable arrangements (“Vendor Commitments”), which require the future purchase of goods or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payments under all Vendor Commitments as of December 31, 2020, are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Product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INBOUND</w:t>
            </w:r>
          </w:p>
        </w:tc>
      </w:tr>
      <w:tr>
        <w:trPr>
          <w:trHeight w:val="148"/>
        </w:trPr>
        <w:tc>
          <w:tcPr>
            <w:tcW w:w="28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event</w:t>
            </w:r>
          </w:p>
        </w:tc>
      </w:tr>
      <w:tr>
        <w:trPr>
          <w:trHeight w:val="171"/>
        </w:trPr>
        <w:tc>
          <w:tcPr>
            <w:tcW w:w="28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obligations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obligations</w:t>
            </w:r>
          </w:p>
        </w:tc>
      </w:tr>
      <w:tr>
        <w:trPr>
          <w:trHeight w:val="155"/>
        </w:trPr>
        <w:tc>
          <w:tcPr>
            <w:tcW w:w="28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5"/>
          </w:tcPr>
          <w:p>
            <w:pPr>
              <w:jc w:val="right"/>
              <w:ind w:right="696"/>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31,138</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FF0FC"/>
          </w:tcPr>
          <w:p>
            <w:pPr>
              <w:spacing w:after="0"/>
              <w:rPr>
                <w:sz w:val="19"/>
                <w:szCs w:val="19"/>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2024</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101,428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749"/>
        <w:spacing w:after="0" w:line="308" w:lineRule="auto"/>
        <w:rPr>
          <w:sz w:val="20"/>
          <w:szCs w:val="20"/>
          <w:color w:val="auto"/>
        </w:rPr>
      </w:pPr>
      <w:r>
        <w:rPr>
          <w:rFonts w:ascii="Arial" w:cs="Arial" w:eastAsia="Arial" w:hAnsi="Arial"/>
          <w:sz w:val="17"/>
          <w:szCs w:val="17"/>
          <w:color w:val="auto"/>
        </w:rPr>
        <w:t>In December 2020, the Company committed to invest $12.5 million in the Black Economic Development Fund managed by the Local Initiatives Support Corporation to support Black-led financial institutions, community centers, anchor institutions, and business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Although the results of litigation and claims cannot be predicted with certainty, the Company currently believes that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86" w:name="page87"/>
    <w:bookmarkEnd w:id="86"/>
    <w:p>
      <w:pPr>
        <w:ind w:right="20"/>
        <w:spacing w:after="0" w:line="263" w:lineRule="auto"/>
        <w:rPr>
          <w:sz w:val="20"/>
          <w:szCs w:val="20"/>
          <w:color w:val="auto"/>
        </w:rPr>
      </w:pPr>
      <w:r>
        <w:rPr>
          <w:rFonts w:ascii="Arial" w:cs="Arial" w:eastAsia="Arial" w:hAnsi="Arial"/>
          <w:sz w:val="18"/>
          <w:szCs w:val="18"/>
          <w:color w:val="auto"/>
        </w:rPr>
        <w:t>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Changes in Accumulated Other Comprehensive Loss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years ended December 31, 2020 and 2019:</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Cumulative</w:t>
            </w:r>
          </w:p>
        </w:tc>
        <w:tc>
          <w:tcPr>
            <w:tcW w:w="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Gain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(Loss) 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Adjustment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at January 1, 2019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(326)</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(723</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Amounts reclassified from accumulated other comprehensive loss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Ending balance at December 31, 2019</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3"/>
              </w:rPr>
              <w:t>Amounts reclassified from accumulated other comprehensive loss</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Ending balance at December 31, 2020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7"/>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and Stock-Based Compensation</w:t>
      </w:r>
    </w:p>
    <w:p>
      <w:pPr>
        <w:spacing w:after="0" w:line="117" w:lineRule="exact"/>
        <w:rPr>
          <w:sz w:val="20"/>
          <w:szCs w:val="20"/>
          <w:color w:val="auto"/>
        </w:rPr>
      </w:pPr>
    </w:p>
    <w:p>
      <w:pPr>
        <w:ind w:right="60" w:firstLine="510"/>
        <w:spacing w:after="0" w:line="347" w:lineRule="auto"/>
        <w:rPr>
          <w:sz w:val="20"/>
          <w:szCs w:val="20"/>
          <w:color w:val="auto"/>
        </w:rPr>
      </w:pPr>
      <w:r>
        <w:rPr>
          <w:rFonts w:ascii="Arial" w:cs="Arial" w:eastAsia="Arial" w:hAnsi="Arial"/>
          <w:sz w:val="16"/>
          <w:szCs w:val="16"/>
          <w:b w:val="1"/>
          <w:bCs w:val="1"/>
          <w:color w:val="auto"/>
        </w:rPr>
        <w:t xml:space="preserve">Common Stock Reserved </w:t>
      </w:r>
      <w:r>
        <w:rPr>
          <w:rFonts w:ascii="Arial" w:cs="Arial" w:eastAsia="Arial" w:hAnsi="Arial"/>
          <w:sz w:val="16"/>
          <w:szCs w:val="16"/>
          <w:color w:val="auto"/>
        </w:rPr>
        <w:t>— As of December 31, 2020 and 2019, the Company has authorized 500 million shares of common stock.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common stock reserved for the vesting of restricted stock units (“RSUs”), and exercise of common stock options are as follows (in thousands):</w:t>
      </w:r>
    </w:p>
    <w:p>
      <w:pPr>
        <w:spacing w:after="0" w:line="11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6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8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80" w:type="dxa"/>
            <w:vAlign w:val="bottom"/>
            <w:shd w:val="clear" w:color="auto" w:fill="CFF0FC"/>
          </w:tcPr>
          <w:p>
            <w:pPr>
              <w:spacing w:after="0"/>
              <w:rPr>
                <w:sz w:val="19"/>
                <w:szCs w:val="19"/>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options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w:t>
            </w:r>
          </w:p>
        </w:tc>
        <w:tc>
          <w:tcPr>
            <w:tcW w:w="2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shares reserved for issuance for the Conversion Options, Warrants and Capped Call Options of the Notes, see Note 9.</w:t>
      </w:r>
    </w:p>
    <w:p>
      <w:pPr>
        <w:spacing w:after="0" w:line="248"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—The Company’s 2007 Equity Incentive Plan (the “2007 Plan”) was terminated in connection with the IPO, and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no shares are available for issuance under the 2007 Plan. The 2007 Plan will continue to govern outstanding awards granted thereunder, the 2007 Plan provided for the grant of qualified incentive stock options and nonqualified stock options or other awards such as RSUs to the Company’s employees, officers, directors and outside consultants. The term of each option is fixed by the Company’s compensation committee and may not exceed 10 years from the date of grant. As of December 31, 2020, 472 thousand options to purchase common stock and no RSUs remained outstanding under the 2007 Plan.</w:t>
      </w:r>
    </w:p>
    <w:p>
      <w:pPr>
        <w:spacing w:after="0" w:line="191"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On September 25, 2014, the Company’s board of directors adopted and the Company’s stockholders approved the 2014 Stock Option and Incentive Plan (the “2014 Plan”). The 2014 Plan became effective upon the closing of the Company’s IPO in the fourth quarter of 2014. The Company initially reserved 1,973,551 shares of its common stock, or the Initial Limit, for the issuance of awards under the 2014 Plan. The 2014 Plan provides that the number of shares reserved and available for issuance under the plan automatically increases each January 1, by 5% of the outstanding number of shares of the Company’s common stock on the immediately preceding December 31 or such lesser number of shares as determined by the compensation committee. This number is subject to adjustment in the event of a stock split, stock dividend or other change in the Company’s capitalization. The term of each option is fixed by the Company’s compensation committee and may not exceed 10 years from the date of grant. As of December 31, 2020, 549 thousand options to purchase common stock and 1.6 million RSUs remained outstanding under the 2014 Plan.</w:t>
      </w:r>
    </w:p>
    <w:p>
      <w:pPr>
        <w:spacing w:after="0" w:line="161" w:lineRule="exact"/>
        <w:rPr>
          <w:sz w:val="20"/>
          <w:szCs w:val="20"/>
          <w:color w:val="auto"/>
        </w:rPr>
      </w:pPr>
    </w:p>
    <w:p>
      <w:pPr>
        <w:ind w:right="340" w:firstLine="510"/>
        <w:spacing w:after="0" w:line="282" w:lineRule="auto"/>
        <w:rPr>
          <w:sz w:val="20"/>
          <w:szCs w:val="20"/>
          <w:color w:val="auto"/>
        </w:rPr>
      </w:pPr>
      <w:r>
        <w:rPr>
          <w:rFonts w:ascii="Arial" w:cs="Arial" w:eastAsia="Arial" w:hAnsi="Arial"/>
          <w:sz w:val="18"/>
          <w:szCs w:val="18"/>
          <w:b w:val="1"/>
          <w:bCs w:val="1"/>
          <w:color w:val="auto"/>
        </w:rPr>
        <w:t xml:space="preserve">Equity Compensation Expense </w:t>
      </w:r>
      <w:r>
        <w:rPr>
          <w:rFonts w:ascii="Arial" w:cs="Arial" w:eastAsia="Arial" w:hAnsi="Arial"/>
          <w:sz w:val="18"/>
          <w:szCs w:val="18"/>
          <w:color w:val="auto"/>
        </w:rPr>
        <w:t>—The Company’s equity compensation expense is comprised of awards of options to purchase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RSUs, and stock issued under the Company’s employee stock purchase plan (“ESPP”).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ind w:right="40" w:firstLine="510"/>
        <w:spacing w:after="0" w:line="277" w:lineRule="auto"/>
        <w:rPr>
          <w:sz w:val="20"/>
          <w:szCs w:val="20"/>
          <w:color w:val="auto"/>
        </w:rPr>
      </w:pPr>
      <w:r>
        <w:rPr>
          <w:rFonts w:ascii="Arial" w:cs="Arial" w:eastAsia="Arial" w:hAnsi="Arial"/>
          <w:sz w:val="18"/>
          <w:szCs w:val="18"/>
          <w:color w:val="auto"/>
        </w:rPr>
        <w:t>The following two tables show stock compensation expense by award type and where the stock compensation expense is recorded in the Company’s consolidated statements of operations: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Options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ESPP</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RSUs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Total stock-based compensation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Cost of revenue, subscription</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 of revenue, service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Total stock-based compensation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 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30"/>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5,078</w:t>
            </w:r>
          </w:p>
        </w:tc>
        <w:tc>
          <w:tcPr>
            <w:tcW w:w="42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108,261</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68,320</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121,488</w:t>
            </w:r>
          </w:p>
        </w:tc>
        <w:tc>
          <w:tcPr>
            <w:tcW w:w="1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9"/>
        </w:trPr>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3,127</w:t>
            </w:r>
          </w:p>
        </w:tc>
        <w:tc>
          <w:tcPr>
            <w:tcW w:w="420" w:type="dxa"/>
            <w:vAlign w:val="bottom"/>
            <w:gridSpan w:val="3"/>
          </w:tcPr>
          <w:p>
            <w:pPr>
              <w:jc w:val="right"/>
              <w:ind w:right="8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23,328</w:t>
            </w: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31,099</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24,626</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17,434</w:t>
            </w:r>
          </w:p>
        </w:tc>
      </w:tr>
      <w:tr>
        <w:trPr>
          <w:trHeight w:val="223"/>
        </w:trPr>
        <w:tc>
          <w:tcPr>
            <w:tcW w:w="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121,488</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97,754</w:t>
            </w:r>
          </w:p>
        </w:tc>
        <w:tc>
          <w:tcPr>
            <w:tcW w:w="220" w:type="dxa"/>
            <w:vAlign w:val="bottom"/>
            <w:gridSpan w:val="2"/>
          </w:tcPr>
          <w:p>
            <w:pPr>
              <w:spacing w:after="0"/>
              <w:rPr>
                <w:sz w:val="19"/>
                <w:szCs w:val="19"/>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76,261</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-1919605</wp:posOffset>
            </wp:positionV>
            <wp:extent cx="570039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-1628140</wp:posOffset>
            </wp:positionV>
            <wp:extent cx="5700395"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-908050</wp:posOffset>
            </wp:positionV>
            <wp:extent cx="570039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-616585</wp:posOffset>
            </wp:positionV>
            <wp:extent cx="570039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-3363595</wp:posOffset>
            </wp:positionH>
            <wp:positionV relativeFrom="paragraph">
              <wp:posOffset>-325120</wp:posOffset>
            </wp:positionV>
            <wp:extent cx="5700395"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341" w:right="339" w:bottom="1440" w:gutter="0" w:footer="0" w:header="0"/>
          <w:type w:val="continuous"/>
        </w:sectPr>
      </w:pPr>
    </w:p>
    <w:p>
      <w:pPr>
        <w:spacing w:after="0" w:line="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Excluded from stock-based compensation expense is $3.6 million of capitalized software development costs in 2020, $2.4 million in 2019, and $2.4 million in 2018.</w:t>
      </w:r>
    </w:p>
    <w:p>
      <w:pPr>
        <w:spacing w:after="0" w:line="166" w:lineRule="exact"/>
        <w:rPr>
          <w:sz w:val="20"/>
          <w:szCs w:val="20"/>
          <w:color w:val="auto"/>
        </w:rPr>
      </w:pPr>
    </w:p>
    <w:p>
      <w:pPr>
        <w:ind w:right="180" w:firstLine="510"/>
        <w:spacing w:after="0" w:line="282"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fair value of employee options is estimated on the date of each grant using the Black-Scholes option-pricing model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assumptions: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60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4"/>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3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0.47-1.66</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1.95-2.55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2.62-2.85</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5.50-6.24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5.50-6.02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5.06-6.42</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Volatility (%)</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38.15-40.63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39.46-41.41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41.34-43.55</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Expected dividends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weighted-average grant-date fair value of options granted was $70.98 per share in 2020, $69.44 per share in 2019, and $51.48 per share in 2018.</w:t>
      </w:r>
    </w:p>
    <w:p>
      <w:pPr>
        <w:spacing w:after="0" w:line="248" w:lineRule="exact"/>
        <w:rPr>
          <w:sz w:val="20"/>
          <w:szCs w:val="20"/>
          <w:color w:val="auto"/>
        </w:rPr>
      </w:pPr>
    </w:p>
    <w:p>
      <w:pPr>
        <w:ind w:right="320" w:firstLine="510"/>
        <w:spacing w:after="0" w:line="293" w:lineRule="auto"/>
        <w:rPr>
          <w:sz w:val="20"/>
          <w:szCs w:val="20"/>
          <w:color w:val="auto"/>
        </w:rPr>
      </w:pPr>
      <w:r>
        <w:rPr>
          <w:rFonts w:ascii="Arial" w:cs="Arial" w:eastAsia="Arial" w:hAnsi="Arial"/>
          <w:sz w:val="16"/>
          <w:szCs w:val="16"/>
          <w:color w:val="auto"/>
        </w:rPr>
        <w:t>The interest rate was based on the U.S. Treasury bond rate at the date of grant with a maturity approximately equal to the expected term. The expected term of options granted to employees was calculated using the simplified method, which represents the average of the contractual term of the option and the weighted-average vesting period of the option. The expected volatility for the Company’s common stock was based on an average of the historical volatility of a peer group of similar public companies. The assumed dividend yield is based upon the Company’s expectation of not paying dividends in the foreseeable future. Forfeitures of share-based awards prior to vesting results in a reversal of previously recorded stock-compensation expense associated with such forfeited awards. The fair value of the Company’s common stock is the closing price of the stock on the date of grant.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stock option activity for the year ended December 31, 2020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Options (in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thousands)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Life (in years)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Outstanding—January 1, 2020</w:t>
            </w:r>
          </w:p>
        </w:tc>
        <w:tc>
          <w:tcPr>
            <w:tcW w:w="7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187,398</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183.25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Forfeited/expired</w:t>
            </w:r>
          </w:p>
        </w:tc>
        <w:tc>
          <w:tcPr>
            <w:tcW w:w="192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2020</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345,144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vMerge w:val="restart"/>
          </w:tcPr>
          <w:p>
            <w:pPr>
              <w:spacing w:after="0"/>
              <w:rPr>
                <w:sz w:val="20"/>
                <w:szCs w:val="20"/>
                <w:color w:val="auto"/>
              </w:rPr>
            </w:pPr>
            <w:r>
              <w:rPr>
                <w:rFonts w:ascii="Arial" w:cs="Arial" w:eastAsia="Arial" w:hAnsi="Arial"/>
                <w:sz w:val="18"/>
                <w:szCs w:val="18"/>
                <w:color w:val="auto"/>
                <w:w w:val="98"/>
              </w:rPr>
              <w:t>Options vested or expected to vest—December 31, 2020</w:t>
            </w: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345,144</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exercisable—December 31, 2020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299,266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88" w:name="page89"/>
    <w:bookmarkEnd w:id="88"/>
    <w:p>
      <w:pPr>
        <w:ind w:right="740" w:firstLine="510"/>
        <w:spacing w:after="0" w:line="277" w:lineRule="auto"/>
        <w:rPr>
          <w:sz w:val="20"/>
          <w:szCs w:val="20"/>
          <w:color w:val="auto"/>
        </w:rPr>
      </w:pPr>
      <w:r>
        <w:rPr>
          <w:rFonts w:ascii="Arial" w:cs="Arial" w:eastAsia="Arial" w:hAnsi="Arial"/>
          <w:sz w:val="18"/>
          <w:szCs w:val="18"/>
          <w:color w:val="auto"/>
        </w:rPr>
        <w:t>Total unrecognized compensation cost related to the nonvested options was $9.8 million at December 31, 2020. That cost is expected to be recognized over a weighted-average period of 2.4 years as of December 31, 2020.</w:t>
      </w:r>
    </w:p>
    <w:p>
      <w:pPr>
        <w:spacing w:after="0" w:line="16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—RSUs vest upon achievement of a service condition. The service condition is a time-based condition met over a period of</w:t>
      </w:r>
      <w:r>
        <w:rPr>
          <w:rFonts w:ascii="Arial" w:cs="Arial" w:eastAsia="Arial" w:hAnsi="Arial"/>
          <w:sz w:val="17"/>
          <w:szCs w:val="17"/>
          <w:b w:val="1"/>
          <w:bCs w:val="1"/>
          <w:color w:val="auto"/>
        </w:rPr>
        <w:t xml:space="preserve"> </w:t>
      </w:r>
      <w:r>
        <w:rPr>
          <w:rFonts w:ascii="Arial" w:cs="Arial" w:eastAsia="Arial" w:hAnsi="Arial"/>
          <w:sz w:val="17"/>
          <w:szCs w:val="17"/>
          <w:color w:val="auto"/>
        </w:rPr>
        <w:t>four years, with 25% met after one year, and then in equal monthly or quarterly installments over the succeeding three years, or over a period of four years, with equal quarterly installments over those four years. As soon as practicable following each vesting date, the Company will issue to the holder of the RSUs the number of shares of common stock equal to the aggregate number of RSUs that have vested. Notwithstanding the foregoing, the Company may, in its sole discretion, in lieu of issuing shares of common stock to the holder of the RSUs, pay the holder an amount in cash equal to the fair market value of such shares of common stock. . The total stock-based compensation expense expected to be recorded over the remaining life of outstanding RSUs is approximately $213.4 million at December 31, 2020. That cost is expected to be recognized over a weighted-average period of 2.6 years. As of December 31, 2020, there are 1.6 million RSUs expected to vest with an aggregate intrinsic value of $618.5 million. The total fair value of RSUs vested was approximately $101.2 million in 2020, $85.2 million in 2019, and $65.0 million in 2018.</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for the year ended December 31, 2020:</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740" w:type="dxa"/>
            <w:vAlign w:val="bottom"/>
            <w:gridSpan w:val="6"/>
          </w:tcPr>
          <w:p>
            <w:pPr>
              <w:ind w:left="740"/>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59"/>
              <w:spacing w:after="0" w:line="133" w:lineRule="exact"/>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and outstanding at December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firstLine="510"/>
        <w:spacing w:after="0" w:line="314" w:lineRule="auto"/>
        <w:rPr>
          <w:sz w:val="20"/>
          <w:szCs w:val="20"/>
          <w:color w:val="auto"/>
        </w:rPr>
      </w:pPr>
      <w:r>
        <w:rPr>
          <w:rFonts w:ascii="Arial" w:cs="Arial" w:eastAsia="Arial" w:hAnsi="Arial"/>
          <w:sz w:val="16"/>
          <w:szCs w:val="16"/>
          <w:b w:val="1"/>
          <w:bCs w:val="1"/>
          <w:color w:val="auto"/>
        </w:rPr>
        <w:t>Employee Stock Purchase Plan (“ESPP”)</w:t>
      </w:r>
      <w:r>
        <w:rPr>
          <w:rFonts w:ascii="Arial" w:cs="Arial" w:eastAsia="Arial" w:hAnsi="Arial"/>
          <w:sz w:val="16"/>
          <w:szCs w:val="16"/>
          <w:color w:val="auto"/>
        </w:rPr>
        <w:t>— The ESPP authorizes the issuance of up to a total of 2,005,274 shares of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employees and allows eligible employees to purchase shares of common stock at a 15% discount from the fair market value of the stock as determined on specific dates at six-month intervals. The offering periods for the ESPP commence on June 1 and December 1 of each year.</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employee options is estimated using the Black-Scholes option-pricing model with the following assumptions:</w:t>
      </w:r>
    </w:p>
    <w:p>
      <w:pPr>
        <w:spacing w:after="0" w:line="200" w:lineRule="exact"/>
        <w:rPr>
          <w:sz w:val="20"/>
          <w:szCs w:val="20"/>
          <w:color w:val="auto"/>
        </w:rPr>
      </w:pP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80" w:type="dxa"/>
            <w:vAlign w:val="bottom"/>
            <w:vMerge w:val="restart"/>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580" w:type="dxa"/>
            <w:vAlign w:val="bottom"/>
            <w:gridSpan w:val="2"/>
          </w:tcPr>
          <w:p>
            <w:pPr>
              <w:jc w:val="right"/>
              <w:ind w:right="47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400" w:type="dxa"/>
            <w:vAlign w:val="bottom"/>
          </w:tcPr>
          <w:p>
            <w:pPr>
              <w:jc w:val="right"/>
              <w:ind w:right="4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0.14-1.60</w:t>
            </w:r>
          </w:p>
        </w:tc>
        <w:tc>
          <w:tcPr>
            <w:tcW w:w="2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Volatility (%)</w:t>
            </w:r>
          </w:p>
        </w:tc>
        <w:tc>
          <w:tcPr>
            <w:tcW w:w="1380" w:type="dxa"/>
            <w:vAlign w:val="bottom"/>
          </w:tcPr>
          <w:p>
            <w:pPr>
              <w:jc w:val="right"/>
              <w:spacing w:after="0"/>
              <w:rPr>
                <w:sz w:val="20"/>
                <w:szCs w:val="20"/>
                <w:color w:val="auto"/>
              </w:rPr>
            </w:pPr>
            <w:r>
              <w:rPr>
                <w:rFonts w:ascii="Arial" w:cs="Arial" w:eastAsia="Arial" w:hAnsi="Arial"/>
                <w:sz w:val="18"/>
                <w:szCs w:val="18"/>
                <w:color w:val="auto"/>
              </w:rPr>
              <w:t>34.75-67.22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41.32-45.07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28.45-28.81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interest rate was based on the U.S. Treasury bond rate at the date of grant with a maturity approximately equal to the expected term. The expected term is based on the offering period. The expected volatility for the Company’s common stock was based on an average of the historical volatility of a peer group of similar public companies. The assumed dividend yield is based upon the Company’s expectation of not paying dividends in the foreseeable future. The fair value of the Company’s common stock is the closing price of the stock on the date the offering period starts.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ESPP: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Shares Issued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Total Cash</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Proceeds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Purchase Price</w:t>
            </w:r>
          </w:p>
        </w:tc>
        <w:tc>
          <w:tcPr>
            <w:tcW w:w="2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jc w:val="right"/>
              <w:ind w:right="3650"/>
              <w:spacing w:after="0"/>
              <w:rPr>
                <w:sz w:val="20"/>
                <w:szCs w:val="20"/>
                <w:color w:val="auto"/>
              </w:rPr>
            </w:pPr>
            <w:r>
              <w:rPr>
                <w:rFonts w:ascii="Arial" w:cs="Arial" w:eastAsia="Arial" w:hAnsi="Arial"/>
                <w:sz w:val="18"/>
                <w:szCs w:val="18"/>
                <w:color w:val="auto"/>
              </w:rPr>
              <w:t>2020</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149.23</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19,653</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40" w:type="dxa"/>
            <w:vAlign w:val="bottom"/>
          </w:tcPr>
          <w:p>
            <w:pPr>
              <w:jc w:val="right"/>
              <w:ind w:right="3650"/>
              <w:spacing w:after="0"/>
              <w:rPr>
                <w:sz w:val="20"/>
                <w:szCs w:val="20"/>
                <w:color w:val="auto"/>
              </w:rPr>
            </w:pPr>
            <w:r>
              <w:rPr>
                <w:rFonts w:ascii="Arial" w:cs="Arial" w:eastAsia="Arial" w:hAnsi="Arial"/>
                <w:sz w:val="18"/>
                <w:szCs w:val="18"/>
                <w:color w:val="auto"/>
              </w:rPr>
              <w:t>2019</w:t>
            </w:r>
          </w:p>
        </w:tc>
        <w:tc>
          <w:tcPr>
            <w:tcW w:w="140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123.69</w:t>
            </w: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14,383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40" w:type="dxa"/>
            <w:vAlign w:val="bottom"/>
            <w:shd w:val="clear" w:color="auto" w:fill="CFF0FC"/>
          </w:tcPr>
          <w:p>
            <w:pPr>
              <w:jc w:val="right"/>
              <w:ind w:right="3650"/>
              <w:spacing w:after="0"/>
              <w:rPr>
                <w:sz w:val="20"/>
                <w:szCs w:val="20"/>
                <w:color w:val="auto"/>
              </w:rPr>
            </w:pPr>
            <w:r>
              <w:rPr>
                <w:rFonts w:ascii="Arial" w:cs="Arial" w:eastAsia="Arial" w:hAnsi="Arial"/>
                <w:sz w:val="18"/>
                <w:szCs w:val="18"/>
                <w:color w:val="auto"/>
              </w:rPr>
              <w:t>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0" w:type="dxa"/>
            <w:vAlign w:val="bottom"/>
          </w:tcPr>
          <w:p>
            <w:pPr>
              <w:jc w:val="right"/>
              <w:ind w:right="1076"/>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provision for income taxes was as follows:</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(96,555)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(63,200)</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(69,769)</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(80,815)</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The (provision) benefit for income taxes consists of the following:</w:t>
            </w: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Federal</w:t>
            </w:r>
          </w:p>
        </w:tc>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Foreign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current income tax provision</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ind w:left="620"/>
              <w:spacing w:after="0"/>
              <w:rPr>
                <w:sz w:val="20"/>
                <w:szCs w:val="20"/>
                <w:color w:val="auto"/>
              </w:rPr>
            </w:pPr>
            <w:r>
              <w:rPr>
                <w:rFonts w:ascii="Arial" w:cs="Arial" w:eastAsia="Arial" w:hAnsi="Arial"/>
                <w:sz w:val="18"/>
                <w:szCs w:val="18"/>
                <w:color w:val="auto"/>
              </w:rPr>
              <w:t>Deferred income tax benefit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Federal</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Arial" w:cs="Arial" w:eastAsia="Arial" w:hAnsi="Arial"/>
                <w:sz w:val="18"/>
                <w:szCs w:val="18"/>
                <w:color w:val="auto"/>
              </w:rPr>
              <w:t>State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deferred income tax benefit (expense)</w:t>
            </w:r>
          </w:p>
        </w:tc>
        <w:tc>
          <w:tcPr>
            <w:tcW w:w="5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provision</w:t>
            </w: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reconciles the differences between income taxes computed at the federal statutory rate of 21% for 2020, 2019 and 2018 and the provision for income taxes: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center"/>
              <w:ind w:left="493"/>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5"/>
        </w:trPr>
        <w:tc>
          <w:tcPr>
            <w:tcW w:w="4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16,899</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17,575</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Executive compensation limitation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Difference in foreign tax rates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U.S. tax credits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GILTI inclusion</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(1,177)</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(1,411)</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(62,182)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(47,523)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(37,059)</w:t>
            </w: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December 22, 2017, the United States of America signed tax legislation (the “2017 Act”) which enacted a wide range of changes to the U.S. corporate income tax system. The 2017 Act reduced the U.S. corporate tax rate from 35% to 21% effective January 1, 2018, broadened the tax base and changes rules for expensing and capitalizing business expenditures, established a territorial tax system for foreign earnings as well as a minimum tax on certain foreign earnings, provided for a one-time transition tax on previously undistributed foreign earnings, and introduced new rules for the treatment of certain export sales.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2020, the Company reversed the 2019 recognized tax benefit under the item-by-item method and recorded a tax expense of $116 thousand.</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02" w:right="499" w:bottom="1440" w:gutter="0" w:footer="0" w:header="0"/>
        </w:sectPr>
      </w:pPr>
    </w:p>
    <w:bookmarkStart w:id="90" w:name="page91"/>
    <w:bookmarkEnd w:id="90"/>
    <w:p>
      <w:pPr>
        <w:ind w:right="60" w:firstLine="510"/>
        <w:spacing w:after="0" w:line="266" w:lineRule="auto"/>
        <w:rPr>
          <w:sz w:val="20"/>
          <w:szCs w:val="20"/>
          <w:color w:val="auto"/>
        </w:rPr>
      </w:pPr>
      <w:r>
        <w:rPr>
          <w:rFonts w:ascii="Arial" w:cs="Arial" w:eastAsia="Arial" w:hAnsi="Arial"/>
          <w:sz w:val="18"/>
          <w:szCs w:val="18"/>
          <w:b w:val="1"/>
          <w:bCs w:val="1"/>
          <w:color w:val="auto"/>
        </w:rPr>
        <w:t xml:space="preserve">Deferred Tax Assets and Liabilities </w:t>
      </w:r>
      <w:r>
        <w:rPr>
          <w:rFonts w:ascii="Arial" w:cs="Arial" w:eastAsia="Arial" w:hAnsi="Arial"/>
          <w:sz w:val="18"/>
          <w:szCs w:val="18"/>
          <w:color w:val="auto"/>
        </w:rPr>
        <w:t>—Deferred income taxes reflect the net effects of temporary differences between the carrying amounts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financial reporting purposes and the amounts used for income tax purposes. Significant components of the Company’s deferred tax assets and liabilities were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right"/>
              <w:ind w:right="7"/>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0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190,555</w:t>
            </w:r>
          </w:p>
        </w:tc>
        <w:tc>
          <w:tcPr>
            <w:tcW w:w="120" w:type="dxa"/>
            <w:vAlign w:val="bottom"/>
          </w:tcPr>
          <w:p>
            <w:pPr>
              <w:spacing w:after="0"/>
              <w:rPr>
                <w:sz w:val="19"/>
                <w:szCs w:val="19"/>
                <w:color w:val="auto"/>
              </w:rPr>
            </w:pPr>
          </w:p>
        </w:tc>
        <w:tc>
          <w:tcPr>
            <w:tcW w:w="4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142,512</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investment credits</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35,285</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Accruals and reserves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9,239</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expense</w:t>
            </w:r>
          </w:p>
        </w:tc>
        <w:tc>
          <w:tcPr>
            <w:tcW w:w="1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deferred tax assets</w:t>
            </w:r>
          </w:p>
        </w:tc>
        <w:tc>
          <w:tcPr>
            <w:tcW w:w="1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197,440</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(2,546)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(2,678)</w:t>
            </w: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Convertible debt</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(21,873)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(3,550)</w:t>
            </w: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costs</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(17,009)</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(11,351)</w:t>
            </w: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r>
      <w:tr>
        <w:trPr>
          <w:trHeight w:val="223"/>
        </w:trPr>
        <w:tc>
          <w:tcPr>
            <w:tcW w:w="44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7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(227,062)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(180,092)</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spacing w:after="0" w:line="18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valuation allowance increased by $47.0 million in 2020, $47.3 million in 2019 and $36.1 million in 2018, primarily due to the increase in the U.S. net operating loss deferred tax asset. The Company does not expect any significant changes in its valuation allowance positions within the next 12 months.</w:t>
      </w:r>
    </w:p>
    <w:p>
      <w:pPr>
        <w:spacing w:after="0" w:line="184"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Prior to the 2017 Act, the Company had asserted that the earnings of its foreign subsidiaries were indefinitely reinvested in the operations of those subsidiaries. In 2018, the Company completed its accounting for the impact of the 2017 Act and determined that it would no longer assert indefinite reinvestment of its foreign earnings. Earnings through December 31, 2017 have been subject to U.S. federal income tax via the one-time transition tax on previously undistributed foreign earnings. The 2017 Act eliminated the U.S. federal income tax cost for qualified repatriation beginning in 2018. The Company has determined that any incremental tax incurred upon ultimate distribution of these earnings to the U.S. would not be material.</w:t>
      </w:r>
    </w:p>
    <w:p>
      <w:pPr>
        <w:spacing w:after="0" w:line="16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had federal and state net operating loss carryforwards of $760 million and $508 million at December 31, 2020 and $568 million and $379 million at December 31, 2019. The Company also had international net operating loss carryforwards of $8 million at December 31, 2020 and $6 million at December 31, 2019. As a result of the 2017 Act all federal net operating losses, created after January 1, 2018, have an indefinite carryforward period. All federal net operating losses, created before January 1, 2018, are subject to a 20 year carryforward period and will expire at various dates through 2037. State net operating losses will expire at various dates through 2040. The Company has a federal interest expense carryforward of $35.2 million at December 31, 2020, and $13.0 million at December 31, 2019, which have an indefinite carryforward period.</w:t>
      </w:r>
    </w:p>
    <w:p>
      <w:pPr>
        <w:spacing w:after="0" w:line="178"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The Company had federal research and development credit carryforwards of $31.0 million at December 31, 2020 that expire at various dates through 2040. The Company also has state research and investment tax credit carryforwards of $15.7 million, that expire at various dates through 2035.</w:t>
      </w:r>
    </w:p>
    <w:p>
      <w:pPr>
        <w:spacing w:after="0" w:line="12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1" w:name="page92"/>
    <w:bookmarkEnd w:id="91"/>
    <w:p>
      <w:pPr>
        <w:ind w:right="180" w:firstLine="510"/>
        <w:spacing w:after="0" w:line="258"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—The Company accounts for uncertainty in income taxes using a two-step process. The Company first determines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activity related to unrecognized tax benefits: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49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Unrecognized benefit—beginning of the year</w:t>
            </w: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Gross increases—current period positions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Gross decrease—prior period positions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Unrecognized benefit—end of period</w:t>
            </w:r>
          </w:p>
        </w:tc>
        <w:tc>
          <w:tcPr>
            <w:tcW w:w="10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8,448</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All of the gross unrecognized tax benefits represent a reduction to the research and development tax credit carryforward. The gross decrease to prior period positions is a result of the Company completing its documentation of credits generated between 2015 and 2018.</w:t>
      </w:r>
    </w:p>
    <w:p>
      <w:pPr>
        <w:spacing w:after="0" w:line="170" w:lineRule="exact"/>
        <w:rPr>
          <w:sz w:val="20"/>
          <w:szCs w:val="20"/>
          <w:color w:val="auto"/>
        </w:rPr>
      </w:pPr>
    </w:p>
    <w:p>
      <w:pPr>
        <w:ind w:right="980" w:firstLine="510"/>
        <w:spacing w:after="0" w:line="277" w:lineRule="auto"/>
        <w:rPr>
          <w:sz w:val="20"/>
          <w:szCs w:val="20"/>
          <w:color w:val="auto"/>
        </w:rPr>
      </w:pPr>
      <w:r>
        <w:rPr>
          <w:rFonts w:ascii="Arial" w:cs="Arial" w:eastAsia="Arial" w:hAnsi="Arial"/>
          <w:sz w:val="18"/>
          <w:szCs w:val="18"/>
          <w:color w:val="auto"/>
        </w:rPr>
        <w:t>All of the unrecognized tax benefits decrease deferred tax assets with a corresponding decrease to the valuation allowance. None of the unrecognized tax benefits would affect the Company’s effective tax rate if recognized in the future.</w:t>
      </w:r>
    </w:p>
    <w:p>
      <w:pPr>
        <w:spacing w:after="0" w:line="170"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has elected to recognize interest and penalties related to uncertain tax positions as a component of income tax expense. No interest or penalties have been recorded through December 31, 2020 because the Company has no tax due because of significant NOL carryforwards.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Company files tax returns in the United States and various jurisdictions throughout the world where the Company has operations or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remains open to examination for varying periods in the other foreign jurisdictions and is routinely examined by various taxing authorities.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12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$5.9 million in 2020, $4.8 million in 2019, and $4.0 million in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On February 8, 2021, the Company acquired 100% of the outstanding equity securities of Hustle Con Media, Inc. (the “Hustle”) for approximately $20 million. The Hustle is a media company that produces a newsletter, podcast, and premium research content for innovative professionals.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17. Quarterly Financial Results (unaudited)</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Fourth</w:t>
            </w:r>
          </w:p>
        </w:tc>
        <w:tc>
          <w:tcPr>
            <w:tcW w:w="300" w:type="dxa"/>
            <w:vAlign w:val="bottom"/>
          </w:tcPr>
          <w:p>
            <w:pPr>
              <w:spacing w:after="0"/>
              <w:rPr>
                <w:sz w:val="14"/>
                <w:szCs w:val="14"/>
                <w:color w:val="auto"/>
              </w:rPr>
            </w:pPr>
          </w:p>
        </w:tc>
        <w:tc>
          <w:tcPr>
            <w:tcW w:w="1000" w:type="dxa"/>
            <w:vAlign w:val="bottom"/>
          </w:tcPr>
          <w:p>
            <w:pPr>
              <w:jc w:val="right"/>
              <w:ind w:right="393"/>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w:t>
            </w:r>
          </w:p>
        </w:tc>
      </w:tr>
      <w:tr>
        <w:trPr>
          <w:trHeight w:val="17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r>
      <w:tr>
        <w:trPr>
          <w:trHeight w:val="155"/>
        </w:trPr>
        <w:tc>
          <w:tcPr>
            <w:tcW w:w="5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252,065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228,385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203,608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198,968</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47,294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42,603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38,777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38,285</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204,771</w:t>
            </w:r>
          </w:p>
        </w:tc>
        <w:tc>
          <w:tcPr>
            <w:tcW w:w="3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185,782</w:t>
            </w:r>
          </w:p>
        </w:tc>
        <w:tc>
          <w:tcPr>
            <w:tcW w:w="24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164,831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160,683</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(15,416)</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(22,498)</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(29,401)</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(17,716)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186,186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173,621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163,255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151,798</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35,975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33,263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31,142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29,578</w:t>
            </w:r>
          </w:p>
        </w:tc>
        <w:tc>
          <w:tcPr>
            <w:tcW w:w="12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150,211</w:t>
            </w:r>
          </w:p>
        </w:tc>
        <w:tc>
          <w:tcPr>
            <w:tcW w:w="3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140,358</w:t>
            </w:r>
          </w:p>
        </w:tc>
        <w:tc>
          <w:tcPr>
            <w:tcW w:w="24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132,113</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122,220</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(10,302)</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(17,357)</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(11,100)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(0.41)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93" w:name="page94"/>
    <w:bookmarkEnd w:id="93"/>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2020 , our disclosure controls and procedures were effective at the reasonable assurance level.</w:t>
      </w:r>
    </w:p>
    <w:p>
      <w:pPr>
        <w:spacing w:after="0" w:line="302"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13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1" w:lineRule="exact"/>
        <w:rPr>
          <w:sz w:val="20"/>
          <w:szCs w:val="20"/>
          <w:color w:val="auto"/>
        </w:rPr>
      </w:pPr>
    </w:p>
    <w:p>
      <w:pPr>
        <w:ind w:left="1520" w:right="420" w:hanging="500"/>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520" w:right="180" w:hanging="500"/>
        <w:spacing w:after="0" w:line="263"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9"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Our management assessed the effectiveness of the Company’s internal control over financial reporting as of December 31, 2020. In making this assessment, our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w:t>
      </w:r>
    </w:p>
    <w:p>
      <w:pPr>
        <w:spacing w:after="0" w:line="21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Based on our assessment, management, with the participation of our Chief Executive Officer and Chief Financial Officer, concluded that, as of December 31, 2020, our internal control over financial reporting was effective based on those criteria.</w:t>
      </w:r>
    </w:p>
    <w:p>
      <w:pPr>
        <w:spacing w:after="0" w:line="19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effectiveness of the Company’s internal control over financial reporting as of December 31, 2020 has been audited by PricewaterhouseCoopers LLP, an independent registered public accounting firm, as stated in its report, which is included under Item 8 of this annual report on Form 10-K.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ind w:left="1000" w:hanging="493"/>
        <w:spacing w:after="0"/>
        <w:tabs>
          <w:tab w:leader="none" w:pos="10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of Internal Controls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spacing w:after="0" w:line="330"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quarter ended December 31, 2020 that has materially affected, or is reasonably likely to materially affect, our internal control over financial reporting.</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95" w:name="page96"/>
    <w:bookmarkEnd w:id="95"/>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The complete response to this Item regarding the backgrounds of our executive officers and directors and other information required by Items 401, 405 and 407 of Regulation S-K will be contained in our definitive proxy statement for our 2021 Annual Meeting of Stockholders.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2021 Annual Meeting of Stockholders.</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2021 Annual Meeting of Stockholders.</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2021 Annual Meeting of Stockholders.</w:t>
      </w:r>
    </w:p>
    <w:p>
      <w:pPr>
        <w:spacing w:after="0" w:line="35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to our definitive proxy statement for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jc w:val="center"/>
        <w:ind w:right="-4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Documents Filed as Part of this Annual Report on Form 10-K</w:t>
      </w:r>
    </w:p>
    <w:p>
      <w:pPr>
        <w:spacing w:after="0" w:line="11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Statements (included in Item 8 of this Annual Report on Form 10-K):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Balance Sheets as of December 31, 2020 and 2019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2020, 2019 and 2018</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the years ended December 31, 2020, 2019 and 2018</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2019 and 2018</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2020, 2019 and 2018</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Financial statements schedules are omitted as they are either not required or the information is otherwise included in the consolidated financial statements.</w:t>
      </w:r>
    </w:p>
    <w:p>
      <w:pPr>
        <w:spacing w:after="0" w:line="6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exhibits required by Item 601 of Regulation S-K are listed in the Exhibit List on the following page and are incorporated herein.</w:t>
      </w:r>
    </w:p>
    <w:p>
      <w:pPr>
        <w:spacing w:after="0" w:line="3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10-K Summary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40" w:type="dxa"/>
            <w:vAlign w:val="bottom"/>
            <w:gridSpan w:val="2"/>
          </w:tcPr>
          <w:p>
            <w:pPr>
              <w:ind w:left="3420"/>
              <w:spacing w:after="0"/>
              <w:rPr>
                <w:sz w:val="20"/>
                <w:szCs w:val="20"/>
                <w:color w:val="auto"/>
              </w:rPr>
            </w:pPr>
            <w:r>
              <w:rPr>
                <w:rFonts w:ascii="Arial" w:cs="Arial" w:eastAsia="Arial" w:hAnsi="Arial"/>
                <w:sz w:val="18"/>
                <w:szCs w:val="18"/>
                <w:b w:val="1"/>
                <w:bCs w:val="1"/>
                <w:color w:val="auto"/>
              </w:rPr>
              <w:t>EXHIBIT LIST</w:t>
            </w:r>
          </w:p>
        </w:tc>
      </w:tr>
      <w:tr>
        <w:trPr>
          <w:trHeight w:val="369"/>
        </w:trPr>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1"/>
        </w:trPr>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9640" w:type="dxa"/>
            <w:vAlign w:val="bottom"/>
            <w:gridSpan w:val="2"/>
          </w:tcPr>
          <w:p>
            <w:pPr>
              <w:ind w:left="3980"/>
              <w:spacing w:after="0"/>
              <w:rPr>
                <w:sz w:val="20"/>
                <w:szCs w:val="20"/>
                <w:color w:val="auto"/>
              </w:rPr>
            </w:pPr>
            <w:r>
              <w:rPr>
                <w:rFonts w:ascii="Arial" w:cs="Arial" w:eastAsia="Arial" w:hAnsi="Arial"/>
                <w:sz w:val="14"/>
                <w:szCs w:val="14"/>
                <w:b w:val="1"/>
                <w:bCs w:val="1"/>
                <w:color w:val="auto"/>
              </w:rPr>
              <w:t>Description of exhibit</w:t>
            </w:r>
          </w:p>
        </w:tc>
      </w:tr>
      <w:tr>
        <w:trPr>
          <w:trHeight w:val="224"/>
        </w:trPr>
        <w:tc>
          <w:tcPr>
            <w:tcW w:w="114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0000" w:type="dxa"/>
            <w:vAlign w:val="bottom"/>
            <w:tcBorders>
              <w:top w:val="single" w:sz="8" w:color="auto"/>
            </w:tcBorders>
            <w:gridSpan w:val="3"/>
          </w:tcPr>
          <w:p>
            <w:pPr>
              <w:ind w:left="20"/>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Seventh Amended and Restated Certificate of Incorporation (as amended and currently in effect)</w:t>
              </w:r>
            </w:hyperlink>
          </w:p>
        </w:tc>
      </w:tr>
      <w:tr>
        <w:trPr>
          <w:trHeight w:val="364"/>
        </w:trPr>
        <w:tc>
          <w:tcPr>
            <w:tcW w:w="1140" w:type="dxa"/>
            <w:vAlign w:val="bottom"/>
          </w:tcPr>
          <w:p>
            <w:pPr>
              <w:jc w:val="right"/>
              <w:ind w:right="436"/>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00" w:type="dxa"/>
            <w:vAlign w:val="bottom"/>
            <w:gridSpan w:val="3"/>
          </w:tcPr>
          <w:p>
            <w:pPr>
              <w:ind w:left="20"/>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Third Amended and Restated Bylaws (as currently in effect)</w:t>
              </w:r>
            </w:hyperlink>
          </w:p>
        </w:tc>
      </w:tr>
      <w:tr>
        <w:trPr>
          <w:trHeight w:val="364"/>
        </w:trPr>
        <w:tc>
          <w:tcPr>
            <w:tcW w:w="1140" w:type="dxa"/>
            <w:vAlign w:val="bottom"/>
          </w:tcPr>
          <w:p>
            <w:pPr>
              <w:jc w:val="right"/>
              <w:ind w:right="436"/>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0000" w:type="dxa"/>
            <w:vAlign w:val="bottom"/>
            <w:gridSpan w:val="3"/>
          </w:tcPr>
          <w:p>
            <w:pPr>
              <w:ind w:left="20"/>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Form of Common Stock Certificate</w:t>
              </w:r>
            </w:hyperlink>
          </w:p>
        </w:tc>
      </w:tr>
      <w:tr>
        <w:trPr>
          <w:trHeight w:val="324"/>
        </w:trPr>
        <w:tc>
          <w:tcPr>
            <w:tcW w:w="1140" w:type="dxa"/>
            <w:vAlign w:val="bottom"/>
          </w:tcPr>
          <w:p>
            <w:pPr>
              <w:jc w:val="right"/>
              <w:ind w:right="436"/>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10000" w:type="dxa"/>
            <w:vAlign w:val="bottom"/>
            <w:gridSpan w:val="3"/>
          </w:tcPr>
          <w:p>
            <w:pPr>
              <w:ind w:left="20"/>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Fourth Amended and Restated Investors’ Rights Agreement between the Registrant and the investors named therein dated October 25,</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79"/>
              </w:rPr>
            </w:pPr>
            <w:hyperlink r:id="rId153">
              <w:r>
                <w:rPr>
                  <w:rFonts w:ascii="Arial" w:cs="Arial" w:eastAsia="Arial" w:hAnsi="Arial"/>
                  <w:sz w:val="18"/>
                  <w:szCs w:val="18"/>
                  <w:color w:val="0000EE"/>
                  <w:w w:val="79"/>
                </w:rPr>
                <w:t>2012</w:t>
              </w:r>
            </w:hyperlink>
          </w:p>
        </w:tc>
        <w:tc>
          <w:tcPr>
            <w:tcW w:w="93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r>
    </w:tbl>
    <w:p>
      <w:pPr>
        <w:spacing w:after="0" w:line="161" w:lineRule="exact"/>
        <w:rPr>
          <w:sz w:val="20"/>
          <w:szCs w:val="20"/>
          <w:color w:val="auto"/>
        </w:rPr>
      </w:pPr>
    </w:p>
    <w:p>
      <w:pPr>
        <w:sectPr>
          <w:pgSz w:w="11900" w:h="16838" w:orient="portrait"/>
          <w:cols w:equalWidth="0" w:num="1">
            <w:col w:w="11240"/>
          </w:cols>
          <w:pgMar w:left="320" w:top="337" w:right="339" w:bottom="1440" w:gutter="0" w:footer="0" w:header="0"/>
        </w:sectPr>
      </w:pPr>
    </w:p>
    <w:p>
      <w:pPr>
        <w:jc w:val="right"/>
        <w:spacing w:after="0"/>
        <w:rPr>
          <w:sz w:val="20"/>
          <w:szCs w:val="20"/>
          <w:color w:val="auto"/>
        </w:rPr>
      </w:pPr>
      <w:r>
        <w:rPr>
          <w:rFonts w:ascii="Arial" w:cs="Arial" w:eastAsia="Arial" w:hAnsi="Arial"/>
          <w:sz w:val="18"/>
          <w:szCs w:val="18"/>
          <w:color w:val="auto"/>
        </w:rPr>
        <w:t>4.3(5)</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4.4(5)</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4.6(6)</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4.7(7)</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10.1(8)</w:t>
      </w:r>
    </w:p>
    <w:p>
      <w:pPr>
        <w:spacing w:after="0" w:line="20" w:lineRule="exact"/>
        <w:rPr>
          <w:sz w:val="20"/>
          <w:szCs w:val="20"/>
          <w:color w:val="auto"/>
        </w:rPr>
      </w:pPr>
      <w:r>
        <w:rPr>
          <w:sz w:val="20"/>
          <w:szCs w:val="20"/>
          <w:color w:val="auto"/>
        </w:rPr>
        <w:br w:type="column"/>
      </w:r>
    </w:p>
    <w:p>
      <w:pPr>
        <w:ind w:right="1600"/>
        <w:spacing w:after="0" w:line="449" w:lineRule="auto"/>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Indenture, dated as of May 10, 2017, between HubSpot, Inc., and Wilmington Trust, National Association, as trustee</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Form of 0.25% Convertible Senior Notes due 2022 (included in Exhibit 4.3)</w:t>
        </w:r>
      </w:hyperlink>
    </w:p>
    <w:p>
      <w:pPr>
        <w:spacing w:after="0" w:line="49" w:lineRule="exact"/>
        <w:rPr>
          <w:sz w:val="20"/>
          <w:szCs w:val="20"/>
          <w:color w:val="auto"/>
        </w:rPr>
      </w:pPr>
    </w:p>
    <w:p>
      <w:pPr>
        <w:ind w:right="1680"/>
        <w:spacing w:after="0" w:line="320" w:lineRule="auto"/>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Indenture, dated as of June 4, 2020, between the Registrant, and Wilmington Trust, National Association, as trustee</w:t>
        </w:r>
      </w:hyperlink>
      <w:r>
        <w:rPr>
          <w:rFonts w:ascii="Arial" w:cs="Arial" w:eastAsia="Arial" w:hAnsi="Arial"/>
          <w:sz w:val="18"/>
          <w:szCs w:val="18"/>
          <w:u w:val="single" w:color="auto"/>
          <w:color w:val="0000EE"/>
        </w:rPr>
        <w:t xml:space="preserve"> </w:t>
      </w:r>
      <w:hyperlink r:id="rId155">
        <w:r>
          <w:rPr>
            <w:rFonts w:ascii="Arial" w:cs="Arial" w:eastAsia="Arial" w:hAnsi="Arial"/>
            <w:sz w:val="18"/>
            <w:szCs w:val="18"/>
            <w:u w:val="single" w:color="auto"/>
            <w:color w:val="0000EE"/>
          </w:rPr>
          <w:t>Form of 0.375% Convertible Senior Notes due 2025 (included in Exhibit 4.5)</w:t>
        </w:r>
      </w:hyperlink>
    </w:p>
    <w:p>
      <w:pPr>
        <w:spacing w:after="0" w:line="2" w:lineRule="exact"/>
        <w:rPr>
          <w:sz w:val="20"/>
          <w:szCs w:val="20"/>
          <w:color w:val="auto"/>
        </w:rPr>
      </w:pPr>
    </w:p>
    <w:p>
      <w:pPr>
        <w:spacing w:after="0"/>
        <w:rPr>
          <w:rFonts w:ascii="Arial" w:cs="Arial" w:eastAsia="Arial" w:hAnsi="Arial"/>
          <w:sz w:val="17"/>
          <w:szCs w:val="17"/>
          <w:u w:val="single" w:color="auto"/>
          <w:color w:val="0000EE"/>
        </w:rPr>
      </w:pPr>
      <w:hyperlink r:id="rId156">
        <w:r>
          <w:rPr>
            <w:rFonts w:ascii="Arial" w:cs="Arial" w:eastAsia="Arial" w:hAnsi="Arial"/>
            <w:sz w:val="17"/>
            <w:szCs w:val="17"/>
            <w:u w:val="single" w:color="auto"/>
            <w:color w:val="0000EE"/>
          </w:rPr>
          <w:t>Description of the Registrant's Securities Registered Pursuant to Section 12 of the Securities Exchange Act of 1934, as amended</w:t>
        </w:r>
      </w:hyperlink>
    </w:p>
    <w:p>
      <w:pPr>
        <w:spacing w:after="0" w:line="169" w:lineRule="exact"/>
        <w:rPr>
          <w:sz w:val="20"/>
          <w:szCs w:val="20"/>
          <w:color w:val="auto"/>
        </w:rPr>
      </w:pPr>
    </w:p>
    <w:p>
      <w:pPr>
        <w:ind w:right="60"/>
        <w:spacing w:after="0" w:line="259" w:lineRule="auto"/>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Amended and Restated Lease between Jamestown Premier Davenport, LLC and HubSpot, Inc., executed December 14, 2015 and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effective as of November 1, 2015; First Amendment to Amended and Restated Lease between Davenport Owner (DE) LLC and HubSpot,</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Inc., effective as of March 23, 2017; Second Amendment to Amended and Restated Lease between Davenport Owner (DE) LLC and</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HubSpot, Inc., effective as of August 31, 2018</w:t>
        </w:r>
      </w:hyperlink>
    </w:p>
    <w:p>
      <w:pPr>
        <w:spacing w:after="0" w:line="102" w:lineRule="exact"/>
        <w:rPr>
          <w:rFonts w:ascii="Arial" w:cs="Arial" w:eastAsia="Arial" w:hAnsi="Arial"/>
          <w:sz w:val="18"/>
          <w:szCs w:val="18"/>
          <w:u w:val="single" w:color="auto"/>
          <w:color w:val="0000EE"/>
        </w:rPr>
      </w:pPr>
    </w:p>
    <w:p>
      <w:pPr>
        <w:sectPr>
          <w:pgSz w:w="11900" w:h="16838" w:orient="portrait"/>
          <w:cols w:equalWidth="0" w:num="2">
            <w:col w:w="620" w:space="640"/>
            <w:col w:w="99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40" w:type="dxa"/>
            <w:vAlign w:val="bottom"/>
          </w:tcPr>
          <w:p>
            <w:pPr>
              <w:ind w:left="100"/>
              <w:spacing w:after="0"/>
              <w:rPr>
                <w:sz w:val="20"/>
                <w:szCs w:val="20"/>
                <w:color w:val="auto"/>
              </w:rPr>
            </w:pPr>
            <w:r>
              <w:rPr>
                <w:rFonts w:ascii="Arial" w:cs="Arial" w:eastAsia="Arial" w:hAnsi="Arial"/>
                <w:sz w:val="18"/>
                <w:szCs w:val="18"/>
                <w:color w:val="auto"/>
              </w:rPr>
              <w:t>10.2(9)</w:t>
            </w:r>
          </w:p>
        </w:tc>
        <w:tc>
          <w:tcPr>
            <w:tcW w:w="10000" w:type="dxa"/>
            <w:vAlign w:val="bottom"/>
            <w:gridSpan w:val="12"/>
          </w:tcPr>
          <w:p>
            <w:pPr>
              <w:ind w:left="20"/>
              <w:spacing w:after="0"/>
              <w:rPr>
                <w:rFonts w:ascii="Arial" w:cs="Arial" w:eastAsia="Arial" w:hAnsi="Arial"/>
                <w:sz w:val="18"/>
                <w:szCs w:val="18"/>
                <w:color w:val="0000EE"/>
                <w:w w:val="94"/>
              </w:rPr>
            </w:pPr>
            <w:hyperlink r:id="rId158">
              <w:r>
                <w:rPr>
                  <w:rFonts w:ascii="Arial" w:cs="Arial" w:eastAsia="Arial" w:hAnsi="Arial"/>
                  <w:sz w:val="18"/>
                  <w:szCs w:val="18"/>
                  <w:color w:val="0000EE"/>
                  <w:w w:val="94"/>
                </w:rPr>
                <w:t>Lease, dated February 22, 2016, among HubSpot Ireland Limited, HubSpot, Inc. and Hibermia REIT PLC and Agreement for Lease,</w:t>
              </w:r>
            </w:hyperlink>
          </w:p>
        </w:tc>
      </w:tr>
      <w:tr>
        <w:trPr>
          <w:trHeight w:val="196"/>
        </w:trPr>
        <w:tc>
          <w:tcPr>
            <w:tcW w:w="1240" w:type="dxa"/>
            <w:vAlign w:val="bottom"/>
          </w:tcPr>
          <w:p>
            <w:pPr>
              <w:spacing w:after="0"/>
              <w:rPr>
                <w:sz w:val="17"/>
                <w:szCs w:val="17"/>
                <w:color w:val="auto"/>
              </w:rPr>
            </w:pPr>
          </w:p>
        </w:tc>
        <w:tc>
          <w:tcPr>
            <w:tcW w:w="956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dated November 6, 2015, among HubSpot Ireland Limited, HubSpot, Inc. and Hibermia REIT PLC</w:t>
              </w:r>
            </w:hyperlink>
          </w:p>
        </w:tc>
        <w:tc>
          <w:tcPr>
            <w:tcW w:w="44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4"/>
        </w:trPr>
        <w:tc>
          <w:tcPr>
            <w:tcW w:w="1240" w:type="dxa"/>
            <w:vAlign w:val="bottom"/>
          </w:tcPr>
          <w:p>
            <w:pPr>
              <w:ind w:left="100"/>
              <w:spacing w:after="0"/>
              <w:rPr>
                <w:sz w:val="20"/>
                <w:szCs w:val="20"/>
                <w:color w:val="auto"/>
              </w:rPr>
            </w:pPr>
            <w:r>
              <w:rPr>
                <w:rFonts w:ascii="Arial" w:cs="Arial" w:eastAsia="Arial" w:hAnsi="Arial"/>
                <w:sz w:val="18"/>
                <w:szCs w:val="18"/>
                <w:color w:val="auto"/>
              </w:rPr>
              <w:t>10.3(10)</w:t>
            </w:r>
          </w:p>
        </w:tc>
        <w:tc>
          <w:tcPr>
            <w:tcW w:w="10000" w:type="dxa"/>
            <w:vAlign w:val="bottom"/>
            <w:gridSpan w:val="12"/>
          </w:tcPr>
          <w:p>
            <w:pPr>
              <w:ind w:left="20"/>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Lease dated April 23, 2015 between Two Canal Park Massachusetts LLC (formerly BCSP Cambridge Two Property LLC) and HubSpot,</w:t>
              </w:r>
            </w:hyperlink>
          </w:p>
        </w:tc>
      </w:tr>
      <w:tr>
        <w:trPr>
          <w:trHeight w:val="20"/>
        </w:trPr>
        <w:tc>
          <w:tcPr>
            <w:tcW w:w="12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8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Inc.; First Amendment to Lease dated August 10, 2016; Second Amendment to Lease dated March 12, 2018; Third Amendment to Lease</w:t>
              </w:r>
            </w:hyperlink>
          </w:p>
        </w:tc>
        <w:tc>
          <w:tcPr>
            <w:tcW w:w="1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5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dated December 2, 2019; Fourth Amendment to Lease dated January 6, 2020</w:t>
              </w:r>
            </w:hyperlink>
          </w:p>
        </w:tc>
        <w:tc>
          <w:tcPr>
            <w:tcW w:w="4440" w:type="dxa"/>
            <w:vAlign w:val="bottom"/>
            <w:gridSpan w:val="9"/>
          </w:tcPr>
          <w:p>
            <w:pPr>
              <w:spacing w:after="0"/>
              <w:rPr>
                <w:sz w:val="17"/>
                <w:szCs w:val="17"/>
                <w:color w:val="auto"/>
              </w:rPr>
            </w:pPr>
          </w:p>
        </w:tc>
      </w:tr>
      <w:tr>
        <w:trPr>
          <w:trHeight w:val="345"/>
        </w:trPr>
        <w:tc>
          <w:tcPr>
            <w:tcW w:w="1240" w:type="dxa"/>
            <w:vAlign w:val="bottom"/>
          </w:tcPr>
          <w:p>
            <w:pPr>
              <w:ind w:left="100"/>
              <w:spacing w:after="0"/>
              <w:rPr>
                <w:sz w:val="20"/>
                <w:szCs w:val="20"/>
                <w:color w:val="auto"/>
              </w:rPr>
            </w:pPr>
            <w:r>
              <w:rPr>
                <w:rFonts w:ascii="Arial" w:cs="Arial" w:eastAsia="Arial" w:hAnsi="Arial"/>
                <w:sz w:val="18"/>
                <w:szCs w:val="18"/>
                <w:color w:val="auto"/>
              </w:rPr>
              <w:t>10.4(11)</w:t>
            </w:r>
          </w:p>
        </w:tc>
        <w:tc>
          <w:tcPr>
            <w:tcW w:w="10000" w:type="dxa"/>
            <w:vAlign w:val="bottom"/>
            <w:gridSpan w:val="12"/>
          </w:tcPr>
          <w:p>
            <w:pPr>
              <w:ind w:left="20"/>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Lease dated October 7, 2016 between One Canal Park Massachusetts LLC and HubSpot, Inc.; First Amendment to Lease dated February</w:t>
              </w:r>
            </w:hyperlink>
          </w:p>
        </w:tc>
      </w:tr>
      <w:tr>
        <w:trPr>
          <w:trHeight w:val="196"/>
        </w:trPr>
        <w:tc>
          <w:tcPr>
            <w:tcW w:w="1240" w:type="dxa"/>
            <w:vAlign w:val="bottom"/>
          </w:tcPr>
          <w:p>
            <w:pPr>
              <w:spacing w:after="0"/>
              <w:rPr>
                <w:sz w:val="17"/>
                <w:szCs w:val="17"/>
                <w:color w:val="auto"/>
              </w:rPr>
            </w:pPr>
          </w:p>
        </w:tc>
        <w:tc>
          <w:tcPr>
            <w:tcW w:w="9860" w:type="dxa"/>
            <w:vAlign w:val="bottom"/>
            <w:tcBorders>
              <w:top w:val="single" w:sz="8" w:color="0000EE"/>
            </w:tcBorders>
            <w:gridSpan w:val="10"/>
          </w:tcPr>
          <w:p>
            <w:pPr>
              <w:ind w:left="20"/>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14, 2017; Second Amendment to Lease dated March 12, 2018.; Third Amendment to Lease dated May 2, 2018; Fourth Amendment to</w:t>
              </w:r>
            </w:hyperlink>
          </w:p>
        </w:tc>
        <w:tc>
          <w:tcPr>
            <w:tcW w:w="1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8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Lease dated April 19, 2019</w:t>
              </w:r>
            </w:hyperlink>
          </w:p>
        </w:tc>
        <w:tc>
          <w:tcPr>
            <w:tcW w:w="320" w:type="dxa"/>
            <w:vAlign w:val="bottom"/>
            <w:gridSpan w:val="4"/>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345"/>
        </w:trPr>
        <w:tc>
          <w:tcPr>
            <w:tcW w:w="1240" w:type="dxa"/>
            <w:vAlign w:val="bottom"/>
          </w:tcPr>
          <w:p>
            <w:pPr>
              <w:ind w:left="100"/>
              <w:spacing w:after="0"/>
              <w:rPr>
                <w:sz w:val="20"/>
                <w:szCs w:val="20"/>
                <w:color w:val="auto"/>
              </w:rPr>
            </w:pPr>
            <w:r>
              <w:rPr>
                <w:rFonts w:ascii="Arial" w:cs="Arial" w:eastAsia="Arial" w:hAnsi="Arial"/>
                <w:sz w:val="18"/>
                <w:szCs w:val="18"/>
                <w:color w:val="auto"/>
              </w:rPr>
              <w:t>10.5(12)</w:t>
            </w:r>
          </w:p>
        </w:tc>
        <w:tc>
          <w:tcPr>
            <w:tcW w:w="9580" w:type="dxa"/>
            <w:vAlign w:val="bottom"/>
            <w:tcBorders>
              <w:bottom w:val="single" w:sz="8" w:color="0000EE"/>
            </w:tcBorders>
            <w:gridSpan w:val="7"/>
          </w:tcPr>
          <w:p>
            <w:pPr>
              <w:ind w:left="20"/>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Lease of 1 – 6 Sir John Rogerson's Quay, Windmill Quarter, Dublin 2, dated August 1, 2019, between Hibernia REIT Public Limited</w:t>
              </w:r>
            </w:hyperlink>
          </w:p>
        </w:tc>
        <w:tc>
          <w:tcPr>
            <w:tcW w:w="42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46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Company, as Landlord, HubSpot Ireland Limited, as Tenant, SOBO Management Company Limited by Guarantee, as Management</w:t>
              </w:r>
            </w:hyperlink>
          </w:p>
        </w:tc>
        <w:tc>
          <w:tcPr>
            <w:tcW w:w="54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1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Company, and HubSpot, Inc., as Guarantor</w:t>
              </w:r>
            </w:hyperlink>
          </w:p>
        </w:tc>
        <w:tc>
          <w:tcPr>
            <w:tcW w:w="6880" w:type="dxa"/>
            <w:vAlign w:val="bottom"/>
            <w:gridSpan w:val="10"/>
          </w:tcPr>
          <w:p>
            <w:pPr>
              <w:spacing w:after="0"/>
              <w:rPr>
                <w:sz w:val="17"/>
                <w:szCs w:val="17"/>
                <w:color w:val="auto"/>
              </w:rPr>
            </w:pPr>
          </w:p>
        </w:tc>
      </w:tr>
      <w:tr>
        <w:trPr>
          <w:trHeight w:val="385"/>
        </w:trPr>
        <w:tc>
          <w:tcPr>
            <w:tcW w:w="1240" w:type="dxa"/>
            <w:vAlign w:val="bottom"/>
          </w:tcPr>
          <w:p>
            <w:pPr>
              <w:ind w:left="100"/>
              <w:spacing w:after="0"/>
              <w:rPr>
                <w:sz w:val="20"/>
                <w:szCs w:val="20"/>
                <w:color w:val="auto"/>
              </w:rPr>
            </w:pPr>
            <w:r>
              <w:rPr>
                <w:rFonts w:ascii="Arial" w:cs="Arial" w:eastAsia="Arial" w:hAnsi="Arial"/>
                <w:sz w:val="18"/>
                <w:szCs w:val="18"/>
                <w:color w:val="auto"/>
              </w:rPr>
              <w:t>10.6(13)#</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Form of Indemnification Agreement between the Registrant and each of its Executive Officers and Directors</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10.7(14)#</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2007 Equity Incentive Plan and forms of restricted stock agreement and option agreements thereunder</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10.8**#</w:t>
            </w:r>
          </w:p>
        </w:tc>
        <w:tc>
          <w:tcPr>
            <w:tcW w:w="10000" w:type="dxa"/>
            <w:vAlign w:val="bottom"/>
            <w:gridSpan w:val="12"/>
          </w:tcPr>
          <w:p>
            <w:pPr>
              <w:ind w:left="2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2014 Stock Option and Grant Plan and forms of restricted stock and option agreements thereunder</w:t>
              </w:r>
            </w:hyperlink>
          </w:p>
        </w:tc>
      </w:tr>
      <w:tr>
        <w:trPr>
          <w:trHeight w:val="364"/>
        </w:trPr>
        <w:tc>
          <w:tcPr>
            <w:tcW w:w="1240" w:type="dxa"/>
            <w:vAlign w:val="bottom"/>
          </w:tcPr>
          <w:p>
            <w:pPr>
              <w:ind w:left="100"/>
              <w:spacing w:after="0"/>
              <w:rPr>
                <w:sz w:val="20"/>
                <w:szCs w:val="20"/>
                <w:color w:val="auto"/>
              </w:rPr>
            </w:pPr>
            <w:r>
              <w:rPr>
                <w:rFonts w:ascii="Arial" w:cs="Arial" w:eastAsia="Arial" w:hAnsi="Arial"/>
                <w:sz w:val="18"/>
                <w:szCs w:val="18"/>
                <w:color w:val="auto"/>
              </w:rPr>
              <w:t>10.9(15)#</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2014 Employee Stock Purchase Plan</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10.10(16)#</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Senior Executive Cash Incentive Bonus Plan</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10.11(17)</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6">
              <w:r>
                <w:rPr>
                  <w:rFonts w:ascii="Arial" w:cs="Arial" w:eastAsia="Arial" w:hAnsi="Arial"/>
                  <w:sz w:val="18"/>
                  <w:szCs w:val="18"/>
                  <w:u w:val="single" w:color="auto"/>
                  <w:color w:val="0000EE"/>
                </w:rPr>
                <w:t>Form of Call Option Transaction Confirmation</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10.12(18)</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Form of Warrant Confirmation</w:t>
              </w:r>
            </w:hyperlink>
          </w:p>
        </w:tc>
      </w:tr>
      <w:tr>
        <w:trPr>
          <w:trHeight w:val="364"/>
        </w:trPr>
        <w:tc>
          <w:tcPr>
            <w:tcW w:w="1240" w:type="dxa"/>
            <w:vAlign w:val="bottom"/>
          </w:tcPr>
          <w:p>
            <w:pPr>
              <w:ind w:left="100"/>
              <w:spacing w:after="0"/>
              <w:rPr>
                <w:sz w:val="20"/>
                <w:szCs w:val="20"/>
                <w:color w:val="auto"/>
              </w:rPr>
            </w:pPr>
            <w:r>
              <w:rPr>
                <w:rFonts w:ascii="Arial" w:cs="Arial" w:eastAsia="Arial" w:hAnsi="Arial"/>
                <w:sz w:val="18"/>
                <w:szCs w:val="18"/>
                <w:color w:val="auto"/>
              </w:rPr>
              <w:t>10.13(19)#</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Non-Employee Director Compensation Policy (as amended and currently in effect)</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10.14(20)</w:t>
            </w:r>
          </w:p>
        </w:tc>
        <w:tc>
          <w:tcPr>
            <w:tcW w:w="10000" w:type="dxa"/>
            <w:vAlign w:val="bottom"/>
            <w:gridSpan w:val="12"/>
          </w:tcPr>
          <w:p>
            <w:pPr>
              <w:ind w:left="20"/>
              <w:spacing w:after="0"/>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Form of Capped Call Transaction Confirmation</w:t>
              </w:r>
            </w:hyperlink>
          </w:p>
        </w:tc>
      </w:tr>
      <w:tr>
        <w:trPr>
          <w:trHeight w:val="459"/>
        </w:trPr>
        <w:tc>
          <w:tcPr>
            <w:tcW w:w="1240" w:type="dxa"/>
            <w:vAlign w:val="bottom"/>
          </w:tcPr>
          <w:p>
            <w:pPr>
              <w:ind w:left="100"/>
              <w:spacing w:after="0"/>
              <w:rPr>
                <w:sz w:val="20"/>
                <w:szCs w:val="20"/>
                <w:color w:val="auto"/>
              </w:rPr>
            </w:pPr>
            <w:r>
              <w:rPr>
                <w:rFonts w:ascii="Arial" w:cs="Arial" w:eastAsia="Arial" w:hAnsi="Arial"/>
                <w:sz w:val="18"/>
                <w:szCs w:val="18"/>
                <w:color w:val="auto"/>
              </w:rPr>
              <w:t>21.1**</w:t>
            </w:r>
          </w:p>
        </w:tc>
        <w:tc>
          <w:tcPr>
            <w:tcW w:w="10000" w:type="dxa"/>
            <w:vAlign w:val="bottom"/>
            <w:gridSpan w:val="12"/>
          </w:tcPr>
          <w:p>
            <w:pPr>
              <w:ind w:left="20"/>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List of Subsidiaries</w:t>
              </w:r>
            </w:hyperlink>
          </w:p>
        </w:tc>
      </w:tr>
      <w:tr>
        <w:trPr>
          <w:trHeight w:val="365"/>
        </w:trPr>
        <w:tc>
          <w:tcPr>
            <w:tcW w:w="1240" w:type="dxa"/>
            <w:vAlign w:val="bottom"/>
          </w:tcPr>
          <w:p>
            <w:pPr>
              <w:ind w:left="100"/>
              <w:spacing w:after="0"/>
              <w:rPr>
                <w:sz w:val="20"/>
                <w:szCs w:val="20"/>
                <w:color w:val="auto"/>
              </w:rPr>
            </w:pPr>
            <w:r>
              <w:rPr>
                <w:rFonts w:ascii="Arial" w:cs="Arial" w:eastAsia="Arial" w:hAnsi="Arial"/>
                <w:sz w:val="18"/>
                <w:szCs w:val="18"/>
                <w:color w:val="auto"/>
              </w:rPr>
              <w:t>23.1**</w:t>
            </w:r>
          </w:p>
        </w:tc>
        <w:tc>
          <w:tcPr>
            <w:tcW w:w="10000" w:type="dxa"/>
            <w:vAlign w:val="bottom"/>
            <w:gridSpan w:val="12"/>
          </w:tcPr>
          <w:p>
            <w:pPr>
              <w:ind w:left="2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Consent of PricewaterhouseCoopers LLP, Independent Registered Public Accounting Firm</w:t>
              </w:r>
            </w:hyperlink>
          </w:p>
        </w:tc>
      </w:tr>
      <w:tr>
        <w:trPr>
          <w:trHeight w:val="567"/>
        </w:trPr>
        <w:tc>
          <w:tcPr>
            <w:tcW w:w="1240" w:type="dxa"/>
            <w:vAlign w:val="bottom"/>
          </w:tcPr>
          <w:p>
            <w:pPr>
              <w:spacing w:after="0"/>
              <w:rPr>
                <w:sz w:val="24"/>
                <w:szCs w:val="24"/>
                <w:color w:val="auto"/>
              </w:rPr>
            </w:pPr>
          </w:p>
        </w:tc>
        <w:tc>
          <w:tcPr>
            <w:tcW w:w="5560" w:type="dxa"/>
            <w:vAlign w:val="bottom"/>
            <w:gridSpan w:val="3"/>
          </w:tcPr>
          <w:p>
            <w:pPr>
              <w:ind w:left="4300"/>
              <w:spacing w:after="0"/>
              <w:rPr>
                <w:sz w:val="20"/>
                <w:szCs w:val="20"/>
                <w:color w:val="auto"/>
              </w:rPr>
            </w:pPr>
            <w:r>
              <w:rPr>
                <w:rFonts w:ascii="Arial" w:cs="Arial" w:eastAsia="Arial" w:hAnsi="Arial"/>
                <w:sz w:val="18"/>
                <w:szCs w:val="18"/>
                <w:color w:val="auto"/>
              </w:rPr>
              <w:t>96</w:t>
            </w:r>
          </w:p>
        </w:tc>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8" w:name="page99"/>
    <w:bookmarkEnd w:id="98"/>
    <w:p>
      <w:pPr>
        <w:ind w:left="100"/>
        <w:spacing w:after="0"/>
        <w:rPr>
          <w:sz w:val="20"/>
          <w:szCs w:val="20"/>
          <w:color w:val="auto"/>
        </w:rPr>
      </w:pPr>
      <w:r>
        <w:rPr>
          <w:rFonts w:ascii="Arial" w:cs="Arial" w:eastAsia="Arial" w:hAnsi="Arial"/>
          <w:sz w:val="18"/>
          <w:szCs w:val="18"/>
          <w:color w:val="auto"/>
        </w:rPr>
        <w:t>24.1**</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31.1**</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31.2**</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32.1**Ÿ</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Power of Attorney (included on signature page)</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Certification of Chief Executive Officer Pursuant to Section 302 of the Sarbanes-Oxley Act of 2002</w:t>
        </w:r>
      </w:hyperlink>
    </w:p>
    <w:p>
      <w:pPr>
        <w:spacing w:after="0" w:line="158" w:lineRule="exact"/>
        <w:rPr>
          <w:sz w:val="20"/>
          <w:szCs w:val="20"/>
          <w:color w:val="auto"/>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Certification of Chief Financial Officer Pursuant to Section 302 of the Sarbanes-Oxley Act of 2002</w:t>
        </w:r>
      </w:hyperlink>
    </w:p>
    <w:p>
      <w:pPr>
        <w:spacing w:after="0" w:line="158" w:lineRule="exact"/>
        <w:rPr>
          <w:sz w:val="20"/>
          <w:szCs w:val="20"/>
          <w:color w:val="auto"/>
        </w:rPr>
      </w:pPr>
    </w:p>
    <w:p>
      <w:pPr>
        <w:spacing w:after="0"/>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Certification of Chief Executive Officer and Chief Financial Officer Pursuant to Section 906 of the Sarbanes-Oxley Act of 2002</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XBRL tags are embedded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within the Inline XBRL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860" w:space="400"/>
            <w:col w:w="9960"/>
          </w:cols>
          <w:pgMar w:left="320" w:top="139" w:right="35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ectPr>
          <w:pgSz w:w="11900" w:h="16838" w:orient="portrait"/>
          <w:cols w:equalWidth="0" w:num="2">
            <w:col w:w="540" w:space="720"/>
            <w:col w:w="9960"/>
          </w:cols>
          <w:pgMar w:left="320" w:top="139" w:right="359" w:bottom="1440" w:gutter="0" w:footer="0" w:header="0"/>
          <w:type w:val="continuous"/>
        </w:sectPr>
      </w:pPr>
    </w:p>
    <w:p>
      <w:pPr>
        <w:spacing w:after="0" w:line="89" w:lineRule="exact"/>
        <w:rPr>
          <w:sz w:val="20"/>
          <w:szCs w:val="20"/>
          <w:color w:val="auto"/>
        </w:rPr>
      </w:pPr>
    </w:p>
    <w:p>
      <w:pPr>
        <w:ind w:right="6700" w:firstLine="8"/>
        <w:spacing w:after="0" w:line="375" w:lineRule="auto"/>
        <w:tabs>
          <w:tab w:leader="none" w:pos="499"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 Filed herewith.</w:t>
      </w:r>
    </w:p>
    <w:p>
      <w:pPr>
        <w:spacing w:after="0" w:line="1" w:lineRule="exact"/>
        <w:rPr>
          <w:sz w:val="20"/>
          <w:szCs w:val="20"/>
          <w:color w:val="auto"/>
        </w:rPr>
      </w:pPr>
    </w:p>
    <w:p>
      <w:pPr>
        <w:ind w:left="500" w:right="120" w:hanging="49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spacing w:after="0" w:line="7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11, 2020.</w:t>
      </w:r>
    </w:p>
    <w:p>
      <w:pPr>
        <w:spacing w:after="0" w:line="117" w:lineRule="exact"/>
        <w:rPr>
          <w:rFonts w:ascii="Arial" w:cs="Arial" w:eastAsia="Arial" w:hAnsi="Arial"/>
          <w:sz w:val="18"/>
          <w:szCs w:val="18"/>
          <w:color w:val="auto"/>
        </w:rPr>
      </w:pPr>
    </w:p>
    <w:p>
      <w:pPr>
        <w:ind w:left="500" w:right="22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Amendment No. 1 to Registration Statement on Form S-1 (SEC File No. 333-198333) filed on September 26, 2014.</w:t>
      </w:r>
    </w:p>
    <w:p>
      <w:pPr>
        <w:spacing w:after="0" w:line="62" w:lineRule="exact"/>
        <w:rPr>
          <w:rFonts w:ascii="Arial" w:cs="Arial" w:eastAsia="Arial" w:hAnsi="Arial"/>
          <w:sz w:val="18"/>
          <w:szCs w:val="18"/>
          <w:color w:val="auto"/>
        </w:rPr>
      </w:pPr>
    </w:p>
    <w:p>
      <w:pPr>
        <w:ind w:left="500" w:right="34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4.2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4.1 to HubSpot, Inc.’s Form 8-K filed on May 10, 2017.</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4.2 to HubSpot, Inc.’s Current Report on Form 8-K filed on June 5, 2020.</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4.5 to HubSpot, Inc.’s Annual Report on Form 10-K filed on February 12, 2020.</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Annual Report on Form 10-K filed on February 12, 2019.</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Quarterly Report on Form 10-Q filed May 4, 2016.</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10.3 to HubSpot, Inc.’s Annual Report on Form 10-K filed on February 12, 2020.</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Annual Report on Form 10-K filed on February 12, 2020.</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Annual Report on Form 10-K filed on February 12, 2020.</w:t>
      </w:r>
    </w:p>
    <w:p>
      <w:pPr>
        <w:spacing w:after="0" w:line="117"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10.4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10.5 to HubSpot, Inc.’s Registration Statement on Form S-1 (SEC File No. 333-198333) filed on August 25, 2014.</w:t>
      </w:r>
    </w:p>
    <w:p>
      <w:pPr>
        <w:spacing w:after="0" w:line="62"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10.8 to HubSpot, Inc.’s Amendment No. 2 to Registration Statement on Form S-1 (SEC File No. 333-198333) filed on October 6, 2014.</w:t>
      </w:r>
    </w:p>
    <w:p>
      <w:pPr>
        <w:spacing w:after="0" w:line="62"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to Exhibit 10.10 to HubSpot, Inc.’s Amendment No. 1 to Registration Statement on Form S-1 (SEC File No. 333-198333) filed on September 26,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99" w:name="page100"/>
    <w:bookmarkEnd w:id="99"/>
    <w:p>
      <w:pPr>
        <w:ind w:left="492" w:hanging="492"/>
        <w:spacing w:after="0"/>
        <w:tabs>
          <w:tab w:leader="none" w:pos="4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10.1 to HubSpot, Inc.’s Form 8-K filed on May 10, 2017.</w:t>
      </w:r>
    </w:p>
    <w:p>
      <w:pPr>
        <w:spacing w:after="0" w:line="117" w:lineRule="exact"/>
        <w:rPr>
          <w:rFonts w:ascii="Arial" w:cs="Arial" w:eastAsia="Arial" w:hAnsi="Arial"/>
          <w:sz w:val="18"/>
          <w:szCs w:val="18"/>
          <w:color w:val="auto"/>
        </w:rPr>
      </w:pPr>
    </w:p>
    <w:p>
      <w:pPr>
        <w:ind w:left="492" w:hanging="492"/>
        <w:spacing w:after="0"/>
        <w:tabs>
          <w:tab w:leader="none" w:pos="4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10.2 to HubSpot, Inc.’s Form 8-K filed on May 10, 2017.</w:t>
      </w:r>
    </w:p>
    <w:p>
      <w:pPr>
        <w:spacing w:after="0" w:line="117" w:lineRule="exact"/>
        <w:rPr>
          <w:rFonts w:ascii="Arial" w:cs="Arial" w:eastAsia="Arial" w:hAnsi="Arial"/>
          <w:sz w:val="18"/>
          <w:szCs w:val="18"/>
          <w:color w:val="auto"/>
        </w:rPr>
      </w:pPr>
    </w:p>
    <w:p>
      <w:pPr>
        <w:ind w:left="492" w:hanging="492"/>
        <w:spacing w:after="0"/>
        <w:tabs>
          <w:tab w:leader="none" w:pos="49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10.13 to HubSpot, Inc.’s Annual Report on Form 10-K filed on February 12, 2020.</w:t>
      </w:r>
    </w:p>
    <w:p>
      <w:pPr>
        <w:spacing w:after="0" w:line="140" w:lineRule="exact"/>
        <w:rPr>
          <w:rFonts w:ascii="Arial" w:cs="Arial" w:eastAsia="Arial" w:hAnsi="Arial"/>
          <w:sz w:val="16"/>
          <w:szCs w:val="16"/>
          <w:color w:val="auto"/>
        </w:rPr>
      </w:pPr>
    </w:p>
    <w:p>
      <w:pPr>
        <w:ind w:left="492" w:hanging="492"/>
        <w:spacing w:after="0"/>
        <w:tabs>
          <w:tab w:leader="none" w:pos="4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Incorporated by reference to Exhibit 10.1 to HubSpot, Inc.’s Current Report on Form 8-K filed on June 5, 2020.</w:t>
      </w:r>
    </w:p>
    <w:p>
      <w:pPr>
        <w:spacing w:after="0" w:line="200" w:lineRule="exact"/>
        <w:rPr>
          <w:sz w:val="20"/>
          <w:szCs w:val="20"/>
          <w:color w:val="auto"/>
        </w:rPr>
      </w:pPr>
    </w:p>
    <w:p>
      <w:pPr>
        <w:spacing w:after="0" w:line="361"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25"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Cambridge, Commonwealth of Massachusetts, on the 16th day of February 2021 .</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HUBSPOT,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Halligan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Brian Halligan</w:t>
            </w:r>
          </w:p>
        </w:tc>
      </w:tr>
      <w:tr>
        <w:trPr>
          <w:trHeight w:val="445"/>
        </w:trPr>
        <w:tc>
          <w:tcPr>
            <w:tcW w:w="5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the undersigned directors and officers of HubSpot, Inc. (the “Company”), hereby and severally constitute and appoint Brian Halligan, Kate Bueker, and John Kelleher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spacing w:after="0" w:line="17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Halligan</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Brian Halligan</w:t>
            </w:r>
          </w:p>
        </w:tc>
        <w:tc>
          <w:tcPr>
            <w:tcW w:w="1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680" w:type="dxa"/>
            <w:vAlign w:val="bottom"/>
          </w:tcPr>
          <w:p>
            <w:pPr>
              <w:spacing w:after="0"/>
              <w:rPr>
                <w:sz w:val="19"/>
                <w:szCs w:val="19"/>
                <w:color w:val="auto"/>
              </w:rPr>
            </w:pPr>
          </w:p>
        </w:tc>
      </w:tr>
      <w:tr>
        <w:trPr>
          <w:trHeight w:val="44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Kate Bueker</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Kate Bueker</w:t>
            </w:r>
          </w:p>
        </w:tc>
        <w:tc>
          <w:tcPr>
            <w:tcW w:w="1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680" w:type="dxa"/>
            <w:vAlign w:val="bottom"/>
          </w:tcPr>
          <w:p>
            <w:pPr>
              <w:spacing w:after="0"/>
              <w:rPr>
                <w:sz w:val="19"/>
                <w:szCs w:val="19"/>
                <w:color w:val="auto"/>
              </w:rPr>
            </w:pPr>
          </w:p>
        </w:tc>
      </w:tr>
      <w:tr>
        <w:trPr>
          <w:trHeight w:val="44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Dharmesh Shah</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 and Chief Technology Officer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Dharmesh Shah</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Nick Caldwell</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Nick Caldwell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Gill</w:t>
            </w:r>
          </w:p>
        </w:tc>
        <w:tc>
          <w:tcPr>
            <w:tcW w:w="120" w:type="dxa"/>
            <w:vAlign w:val="bottom"/>
            <w:tcBorders>
              <w:bottom w:val="single" w:sz="8" w:color="auto"/>
            </w:tcBorders>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Ron Gill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Herendeen</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Julie Herendeen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Lorrie Norrington</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Lorrie Norrington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Avanish Sahai</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Avanish Sahai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4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Simons</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Jay Simons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Ward</w:t>
            </w:r>
          </w:p>
        </w:tc>
        <w:tc>
          <w:tcPr>
            <w:tcW w:w="1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February 16, 2021</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Jill Ward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34"/>
        </w:trPr>
        <w:tc>
          <w:tcPr>
            <w:tcW w:w="4500" w:type="dxa"/>
            <w:vAlign w:val="bottom"/>
          </w:tcPr>
          <w:p>
            <w:pPr>
              <w:spacing w:after="0"/>
              <w:rPr>
                <w:sz w:val="24"/>
                <w:szCs w:val="24"/>
                <w:color w:val="auto"/>
              </w:rPr>
            </w:pPr>
          </w:p>
        </w:tc>
        <w:tc>
          <w:tcPr>
            <w:tcW w:w="4960" w:type="dxa"/>
            <w:vAlign w:val="bottom"/>
            <w:gridSpan w:val="2"/>
          </w:tcPr>
          <w:p>
            <w:pPr>
              <w:jc w:val="right"/>
              <w:ind w:right="36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GENERAL PURPOSE OF THE PLAN; DEFINITIONS</w:t>
      </w:r>
    </w:p>
    <w:p>
      <w:pPr>
        <w:spacing w:after="0" w:line="206" w:lineRule="exact"/>
        <w:rPr>
          <w:sz w:val="20"/>
          <w:szCs w:val="20"/>
          <w:color w:val="auto"/>
        </w:rPr>
      </w:pPr>
    </w:p>
    <w:p>
      <w:pPr>
        <w:ind w:right="40" w:firstLine="864"/>
        <w:spacing w:after="0" w:line="279" w:lineRule="auto"/>
        <w:rPr>
          <w:sz w:val="20"/>
          <w:szCs w:val="20"/>
          <w:color w:val="auto"/>
        </w:rPr>
      </w:pPr>
      <w:r>
        <w:rPr>
          <w:rFonts w:ascii="Arial" w:cs="Arial" w:eastAsia="Arial" w:hAnsi="Arial"/>
          <w:sz w:val="19"/>
          <w:szCs w:val="19"/>
          <w:color w:val="auto"/>
        </w:rPr>
        <w:t>The name of the plan is the HubSpot, Inc. 2014 Stock Option and Incentive Plan (the “Plan”). The purpose of the Plan is to encourage and enable the officers, employees, Non-Employee Directors and Consultants of HubSpot,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terms shall be defined as set forth below:</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means the Securities Act of 1933, as amended, and the rules and regulations thereunder.</w:t>
      </w:r>
    </w:p>
    <w:p>
      <w:pPr>
        <w:spacing w:after="0" w:line="206" w:lineRule="exact"/>
        <w:rPr>
          <w:sz w:val="20"/>
          <w:szCs w:val="20"/>
          <w:color w:val="auto"/>
        </w:rPr>
      </w:pPr>
    </w:p>
    <w:p>
      <w:pPr>
        <w:ind w:right="240" w:firstLine="864"/>
        <w:spacing w:after="0" w:line="253" w:lineRule="exact"/>
        <w:rPr>
          <w:sz w:val="20"/>
          <w:szCs w:val="20"/>
          <w:color w:val="auto"/>
        </w:rPr>
      </w:pPr>
      <w:r>
        <w:rPr>
          <w:rFonts w:ascii="Arial" w:cs="Arial" w:eastAsia="Arial" w:hAnsi="Arial"/>
          <w:sz w:val="22"/>
          <w:szCs w:val="22"/>
          <w:i w:val="1"/>
          <w:iCs w:val="1"/>
          <w:color w:val="auto"/>
        </w:rPr>
        <w:t xml:space="preserve">“Administrator” </w:t>
      </w:r>
      <w:r>
        <w:rPr>
          <w:rFonts w:ascii="Arial" w:cs="Arial" w:eastAsia="Arial" w:hAnsi="Arial"/>
          <w:sz w:val="22"/>
          <w:szCs w:val="22"/>
          <w:color w:val="auto"/>
        </w:rPr>
        <w:t>means either the Board or the compensation committee of the Board or a similar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performing the functions of the compensation committee and which is comprised of not less than two Non</w:t>
      </w:r>
      <w:r>
        <w:rPr>
          <w:rFonts w:ascii="MS PGothic" w:cs="MS PGothic" w:eastAsia="MS PGothic" w:hAnsi="MS PGothic"/>
          <w:sz w:val="22"/>
          <w:szCs w:val="22"/>
          <w:color w:val="auto"/>
        </w:rPr>
        <w:t>‑</w:t>
      </w:r>
      <w:r>
        <w:rPr>
          <w:rFonts w:ascii="Arial" w:cs="Arial" w:eastAsia="Arial" w:hAnsi="Arial"/>
          <w:sz w:val="22"/>
          <w:szCs w:val="22"/>
          <w:color w:val="auto"/>
        </w:rPr>
        <w:t>Employee Directors who are independent.</w:t>
      </w:r>
    </w:p>
    <w:p>
      <w:pPr>
        <w:spacing w:after="0" w:line="186" w:lineRule="exact"/>
        <w:rPr>
          <w:sz w:val="20"/>
          <w:szCs w:val="20"/>
          <w:color w:val="auto"/>
        </w:rPr>
      </w:pPr>
    </w:p>
    <w:p>
      <w:pPr>
        <w:ind w:right="200" w:firstLine="864"/>
        <w:spacing w:after="0" w:line="297" w:lineRule="auto"/>
        <w:rPr>
          <w:sz w:val="20"/>
          <w:szCs w:val="20"/>
          <w:color w:val="auto"/>
        </w:rPr>
      </w:pPr>
      <w:r>
        <w:rPr>
          <w:rFonts w:ascii="Arial" w:cs="Arial" w:eastAsia="Arial" w:hAnsi="Arial"/>
          <w:sz w:val="19"/>
          <w:szCs w:val="19"/>
          <w:i w:val="1"/>
          <w:iCs w:val="1"/>
          <w:color w:val="auto"/>
        </w:rPr>
        <w:t xml:space="preserve">“Award” </w:t>
      </w:r>
      <w:r>
        <w:rPr>
          <w:rFonts w:ascii="Arial" w:cs="Arial" w:eastAsia="Arial" w:hAnsi="Arial"/>
          <w:sz w:val="19"/>
          <w:szCs w:val="19"/>
          <w:color w:val="auto"/>
        </w:rPr>
        <w:t>or</w:t>
      </w:r>
      <w:r>
        <w:rPr>
          <w:rFonts w:ascii="Arial" w:cs="Arial" w:eastAsia="Arial" w:hAnsi="Arial"/>
          <w:sz w:val="19"/>
          <w:szCs w:val="19"/>
          <w:i w:val="1"/>
          <w:iCs w:val="1"/>
          <w:color w:val="auto"/>
        </w:rPr>
        <w:t xml:space="preserve"> “Awards,” </w:t>
      </w:r>
      <w:r>
        <w:rPr>
          <w:rFonts w:ascii="Arial" w:cs="Arial" w:eastAsia="Arial" w:hAnsi="Arial"/>
          <w:sz w:val="19"/>
          <w:szCs w:val="19"/>
          <w:color w:val="auto"/>
        </w:rPr>
        <w:t>except where referring to a particular category of grant under the Plan, shall include Incentive</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Non-Qualified Stock Options, Stock Appreciation Rights, Restricted Stock Units, Restricted Stock Awards, Unrestricted Stock Awards, Cash-Based Awards, Performance Share Awards and Dividend Equivalent Rights.</w:t>
      </w:r>
    </w:p>
    <w:p>
      <w:pPr>
        <w:spacing w:after="0" w:line="134" w:lineRule="exact"/>
        <w:rPr>
          <w:sz w:val="20"/>
          <w:szCs w:val="20"/>
          <w:color w:val="auto"/>
        </w:rPr>
      </w:pPr>
    </w:p>
    <w:p>
      <w:pPr>
        <w:ind w:right="420" w:firstLine="864"/>
        <w:spacing w:after="0" w:line="328" w:lineRule="auto"/>
        <w:rPr>
          <w:sz w:val="20"/>
          <w:szCs w:val="20"/>
          <w:color w:val="auto"/>
        </w:rPr>
      </w:pPr>
      <w:r>
        <w:rPr>
          <w:rFonts w:ascii="Arial" w:cs="Arial" w:eastAsia="Arial" w:hAnsi="Arial"/>
          <w:sz w:val="19"/>
          <w:szCs w:val="19"/>
          <w:i w:val="1"/>
          <w:iCs w:val="1"/>
          <w:color w:val="auto"/>
        </w:rPr>
        <w:t xml:space="preserve">“Award Certificate” </w:t>
      </w:r>
      <w:r>
        <w:rPr>
          <w:rFonts w:ascii="Arial" w:cs="Arial" w:eastAsia="Arial" w:hAnsi="Arial"/>
          <w:sz w:val="19"/>
          <w:szCs w:val="19"/>
          <w:color w:val="auto"/>
        </w:rPr>
        <w:t>means a written or electronic document setting forth the terms and provisions applicable to an</w:t>
      </w:r>
      <w:r>
        <w:rPr>
          <w:rFonts w:ascii="Arial" w:cs="Arial" w:eastAsia="Arial" w:hAnsi="Arial"/>
          <w:sz w:val="19"/>
          <w:szCs w:val="19"/>
          <w:i w:val="1"/>
          <w:iCs w:val="1"/>
          <w:color w:val="auto"/>
        </w:rPr>
        <w:t xml:space="preserve"> </w:t>
      </w:r>
      <w:r>
        <w:rPr>
          <w:rFonts w:ascii="Arial" w:cs="Arial" w:eastAsia="Arial" w:hAnsi="Arial"/>
          <w:sz w:val="19"/>
          <w:szCs w:val="19"/>
          <w:color w:val="auto"/>
        </w:rPr>
        <w:t>Award granted under the Plan. Each Award Certificate is subject to the terms and conditions of the Plan.</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“Board”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“Cash-Based Award” </w:t>
      </w:r>
      <w:r>
        <w:rPr>
          <w:rFonts w:ascii="Arial" w:cs="Arial" w:eastAsia="Arial" w:hAnsi="Arial"/>
          <w:sz w:val="22"/>
          <w:szCs w:val="22"/>
          <w:color w:val="auto"/>
        </w:rPr>
        <w:t>means an Award entitling the recipient to receive a cash-denominated payment.</w:t>
      </w:r>
    </w:p>
    <w:p>
      <w:pPr>
        <w:spacing w:after="0" w:line="206" w:lineRule="exact"/>
        <w:rPr>
          <w:sz w:val="20"/>
          <w:szCs w:val="20"/>
          <w:color w:val="auto"/>
        </w:rPr>
      </w:pPr>
    </w:p>
    <w:p>
      <w:pPr>
        <w:ind w:right="80" w:firstLine="864"/>
        <w:spacing w:after="0" w:line="250" w:lineRule="auto"/>
        <w:rPr>
          <w:sz w:val="20"/>
          <w:szCs w:val="20"/>
          <w:color w:val="auto"/>
        </w:rPr>
      </w:pPr>
      <w:r>
        <w:rPr>
          <w:rFonts w:ascii="Arial" w:cs="Arial" w:eastAsia="Arial" w:hAnsi="Arial"/>
          <w:sz w:val="22"/>
          <w:szCs w:val="22"/>
          <w:i w:val="1"/>
          <w:iCs w:val="1"/>
          <w:color w:val="auto"/>
        </w:rPr>
        <w:t xml:space="preserve">“Code” </w:t>
      </w:r>
      <w:r>
        <w:rPr>
          <w:rFonts w:ascii="Arial" w:cs="Arial" w:eastAsia="Arial" w:hAnsi="Arial"/>
          <w:sz w:val="22"/>
          <w:szCs w:val="22"/>
          <w:color w:val="auto"/>
        </w:rPr>
        <w:t>means the Internal Revenue Code of 1986, as amended, and any successor Code, and related rules, regulations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interpretations.</w:t>
      </w:r>
    </w:p>
    <w:p>
      <w:pPr>
        <w:spacing w:after="0" w:line="175" w:lineRule="exact"/>
        <w:rPr>
          <w:sz w:val="20"/>
          <w:szCs w:val="20"/>
          <w:color w:val="auto"/>
        </w:rPr>
      </w:pPr>
    </w:p>
    <w:p>
      <w:pPr>
        <w:ind w:right="60" w:firstLine="864"/>
        <w:spacing w:after="0"/>
        <w:rPr>
          <w:sz w:val="20"/>
          <w:szCs w:val="20"/>
          <w:color w:val="auto"/>
        </w:rPr>
      </w:pPr>
      <w:r>
        <w:rPr>
          <w:rFonts w:ascii="Arial" w:cs="Arial" w:eastAsia="Arial" w:hAnsi="Arial"/>
          <w:sz w:val="22"/>
          <w:szCs w:val="22"/>
          <w:i w:val="1"/>
          <w:iCs w:val="1"/>
          <w:color w:val="auto"/>
        </w:rPr>
        <w:t xml:space="preserve">“Consultant” </w:t>
      </w:r>
      <w:r>
        <w:rPr>
          <w:rFonts w:ascii="Arial" w:cs="Arial" w:eastAsia="Arial" w:hAnsi="Arial"/>
          <w:sz w:val="22"/>
          <w:szCs w:val="22"/>
          <w:color w:val="auto"/>
        </w:rPr>
        <w:t>means any natural person that provides bona fide services to the Company, and such services are not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offer or sale of securities in a capital-raising transaction and do not directly or indirectly promote or maintain a market for the Company’s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ind w:left="880"/>
        <w:spacing w:after="0"/>
        <w:rPr>
          <w:sz w:val="20"/>
          <w:szCs w:val="20"/>
          <w:color w:val="auto"/>
        </w:rPr>
      </w:pPr>
      <w:r>
        <w:rPr>
          <w:rFonts w:ascii="Arial" w:cs="Arial" w:eastAsia="Arial" w:hAnsi="Arial"/>
          <w:sz w:val="19"/>
          <w:szCs w:val="19"/>
          <w:i w:val="1"/>
          <w:iCs w:val="1"/>
          <w:color w:val="auto"/>
        </w:rPr>
        <w:t xml:space="preserve">“Covered Employee” </w:t>
      </w:r>
      <w:r>
        <w:rPr>
          <w:rFonts w:ascii="Arial" w:cs="Arial" w:eastAsia="Arial" w:hAnsi="Arial"/>
          <w:sz w:val="19"/>
          <w:szCs w:val="19"/>
          <w:color w:val="auto"/>
        </w:rPr>
        <w:t>means an employee who is a “Covered Employee” within the meaning of Section 162(m)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ind w:right="360" w:firstLine="864"/>
        <w:spacing w:after="0"/>
        <w:rPr>
          <w:sz w:val="20"/>
          <w:szCs w:val="20"/>
          <w:color w:val="auto"/>
        </w:rPr>
      </w:pPr>
      <w:r>
        <w:rPr>
          <w:rFonts w:ascii="Arial" w:cs="Arial" w:eastAsia="Arial" w:hAnsi="Arial"/>
          <w:sz w:val="22"/>
          <w:szCs w:val="22"/>
          <w:i w:val="1"/>
          <w:iCs w:val="1"/>
          <w:color w:val="auto"/>
        </w:rPr>
        <w:t xml:space="preserve">“Dividend Equivalent Right” </w:t>
      </w:r>
      <w:r>
        <w:rPr>
          <w:rFonts w:ascii="Arial" w:cs="Arial" w:eastAsia="Arial" w:hAnsi="Arial"/>
          <w:sz w:val="22"/>
          <w:szCs w:val="22"/>
          <w:color w:val="auto"/>
        </w:rPr>
        <w:t>means an Award entitling the grantee to receive credits based on cash dividends that</w:t>
      </w:r>
      <w:r>
        <w:rPr>
          <w:rFonts w:ascii="Arial" w:cs="Arial" w:eastAsia="Arial" w:hAnsi="Arial"/>
          <w:sz w:val="22"/>
          <w:szCs w:val="22"/>
          <w:i w:val="1"/>
          <w:iCs w:val="1"/>
          <w:color w:val="auto"/>
        </w:rPr>
        <w:t xml:space="preserve"> </w:t>
      </w:r>
      <w:r>
        <w:rPr>
          <w:rFonts w:ascii="Arial" w:cs="Arial" w:eastAsia="Arial" w:hAnsi="Arial"/>
          <w:sz w:val="22"/>
          <w:szCs w:val="22"/>
          <w:color w:val="auto"/>
        </w:rPr>
        <w:t>would have been paid on the shares of Stock specified in the Dividend Equivalent Right (or other award to which it relates) if such shares had been issued to and held by the grantee.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means the date on which the Plan is approved by stockholders as set forth in Section 21.</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 xml:space="preserve">“Exchange Act” </w:t>
      </w:r>
      <w:r>
        <w:rPr>
          <w:rFonts w:ascii="Arial" w:cs="Arial" w:eastAsia="Arial" w:hAnsi="Arial"/>
          <w:sz w:val="19"/>
          <w:szCs w:val="19"/>
          <w:color w:val="auto"/>
        </w:rPr>
        <w:t>means the Securities Exchange Act of 1934, as amended, and the rules and regulations thereunder.</w:t>
      </w:r>
    </w:p>
    <w:p>
      <w:pPr>
        <w:spacing w:after="0" w:line="241" w:lineRule="exact"/>
        <w:rPr>
          <w:sz w:val="20"/>
          <w:szCs w:val="20"/>
          <w:color w:val="auto"/>
        </w:rPr>
      </w:pPr>
    </w:p>
    <w:p>
      <w:pPr>
        <w:ind w:firstLine="864"/>
        <w:spacing w:after="0" w:line="246" w:lineRule="auto"/>
        <w:rPr>
          <w:sz w:val="20"/>
          <w:szCs w:val="20"/>
          <w:color w:val="auto"/>
        </w:rPr>
      </w:pPr>
      <w:r>
        <w:rPr>
          <w:rFonts w:ascii="Arial" w:cs="Arial" w:eastAsia="Arial" w:hAnsi="Arial"/>
          <w:sz w:val="21"/>
          <w:szCs w:val="21"/>
          <w:i w:val="1"/>
          <w:iCs w:val="1"/>
          <w:color w:val="auto"/>
        </w:rPr>
        <w:t xml:space="preserve">“Fair Market Value” </w:t>
      </w:r>
      <w:r>
        <w:rPr>
          <w:rFonts w:ascii="Arial" w:cs="Arial" w:eastAsia="Arial" w:hAnsi="Arial"/>
          <w:sz w:val="21"/>
          <w:szCs w:val="21"/>
          <w:color w:val="auto"/>
        </w:rPr>
        <w:t>of the Stock on any given date means the fair market value of the Stock determined in good faith</w:t>
      </w:r>
      <w:r>
        <w:rPr>
          <w:rFonts w:ascii="Arial" w:cs="Arial" w:eastAsia="Arial" w:hAnsi="Arial"/>
          <w:sz w:val="21"/>
          <w:szCs w:val="21"/>
          <w:i w:val="1"/>
          <w:iCs w:val="1"/>
          <w:color w:val="auto"/>
        </w:rPr>
        <w:t xml:space="preserve"> </w:t>
      </w:r>
      <w:r>
        <w:rPr>
          <w:rFonts w:ascii="Arial" w:cs="Arial" w:eastAsia="Arial" w:hAnsi="Arial"/>
          <w:sz w:val="21"/>
          <w:szCs w:val="21"/>
          <w:color w:val="auto"/>
        </w:rPr>
        <w:t>by the Administrator; provided, however, that if the Stock is admitted to quotation on the National Association of Securities Dealers Automated Quotation System (“NASDAQ”), NASDAQ Global Market or another national securities exchange, the determination shall be made by reference to the closing price. If there is no closing price for such date, the determination shall be made by reference to the last date preceding such date for which there was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0"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i w:val="1"/>
          <w:iCs w:val="1"/>
          <w:color w:val="auto"/>
        </w:rPr>
        <w:t xml:space="preserve">“Incentive Stock Option” </w:t>
      </w:r>
      <w:r>
        <w:rPr>
          <w:rFonts w:ascii="Arial" w:cs="Arial" w:eastAsia="Arial" w:hAnsi="Arial"/>
          <w:sz w:val="22"/>
          <w:szCs w:val="22"/>
          <w:color w:val="auto"/>
        </w:rPr>
        <w:t>means any Stock Option designated and qualified as an “incentive stock option” as defined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422 of the Code.</w:t>
      </w:r>
    </w:p>
    <w:p>
      <w:pPr>
        <w:spacing w:after="0" w:line="175" w:lineRule="exact"/>
        <w:rPr>
          <w:sz w:val="20"/>
          <w:szCs w:val="20"/>
          <w:color w:val="auto"/>
        </w:rPr>
      </w:pPr>
    </w:p>
    <w:p>
      <w:pPr>
        <w:ind w:right="60" w:firstLine="864"/>
        <w:spacing w:after="0"/>
        <w:rPr>
          <w:sz w:val="20"/>
          <w:szCs w:val="20"/>
          <w:color w:val="auto"/>
        </w:rPr>
      </w:pPr>
      <w:r>
        <w:rPr>
          <w:rFonts w:ascii="Arial" w:cs="Arial" w:eastAsia="Arial" w:hAnsi="Arial"/>
          <w:sz w:val="22"/>
          <w:szCs w:val="22"/>
          <w:i w:val="1"/>
          <w:iCs w:val="1"/>
          <w:color w:val="auto"/>
        </w:rPr>
        <w:t xml:space="preserve">“Initial Public Offering” </w:t>
      </w:r>
      <w:r>
        <w:rPr>
          <w:rFonts w:ascii="Arial" w:cs="Arial" w:eastAsia="Arial" w:hAnsi="Arial"/>
          <w:sz w:val="22"/>
          <w:szCs w:val="22"/>
          <w:color w:val="auto"/>
        </w:rPr>
        <w:t>means the consummation of the first underwritten, firm commitment public offering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an effective registration statement under the Act covering the offer and sale by the Company of its equity securities, or such other event as a result of or following which the Stock shall be publicly held.</w:t>
      </w:r>
    </w:p>
    <w:p>
      <w:pPr>
        <w:spacing w:after="0" w:line="186" w:lineRule="exact"/>
        <w:rPr>
          <w:sz w:val="20"/>
          <w:szCs w:val="20"/>
          <w:color w:val="auto"/>
        </w:rPr>
      </w:pPr>
    </w:p>
    <w:p>
      <w:pPr>
        <w:ind w:right="820" w:firstLine="864"/>
        <w:spacing w:after="0" w:line="250" w:lineRule="auto"/>
        <w:rPr>
          <w:sz w:val="20"/>
          <w:szCs w:val="20"/>
          <w:color w:val="auto"/>
        </w:rPr>
      </w:pPr>
      <w:r>
        <w:rPr>
          <w:rFonts w:ascii="Arial" w:cs="Arial" w:eastAsia="Arial" w:hAnsi="Arial"/>
          <w:sz w:val="22"/>
          <w:szCs w:val="22"/>
          <w:i w:val="1"/>
          <w:iCs w:val="1"/>
          <w:color w:val="auto"/>
        </w:rPr>
        <w:t xml:space="preserve">“Non-Employee Director” </w:t>
      </w:r>
      <w:r>
        <w:rPr>
          <w:rFonts w:ascii="Arial" w:cs="Arial" w:eastAsia="Arial" w:hAnsi="Arial"/>
          <w:sz w:val="22"/>
          <w:szCs w:val="22"/>
          <w:color w:val="auto"/>
        </w:rPr>
        <w:t>means a member of the Board who is not also an employee of the Company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“Non-Qualified Stock Option” </w:t>
      </w:r>
      <w:r>
        <w:rPr>
          <w:rFonts w:ascii="Arial" w:cs="Arial" w:eastAsia="Arial" w:hAnsi="Arial"/>
          <w:sz w:val="22"/>
          <w:szCs w:val="22"/>
          <w:color w:val="auto"/>
        </w:rPr>
        <w:t>means any Stock Option that is not an Incentive Stock Option.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“Option” </w:t>
      </w:r>
      <w:r>
        <w:rPr>
          <w:rFonts w:ascii="Arial" w:cs="Arial" w:eastAsia="Arial" w:hAnsi="Arial"/>
          <w:sz w:val="22"/>
          <w:szCs w:val="22"/>
          <w:color w:val="auto"/>
        </w:rPr>
        <w:t>or</w:t>
      </w:r>
      <w:r>
        <w:rPr>
          <w:rFonts w:ascii="Arial" w:cs="Arial" w:eastAsia="Arial" w:hAnsi="Arial"/>
          <w:sz w:val="22"/>
          <w:szCs w:val="22"/>
          <w:i w:val="1"/>
          <w:iCs w:val="1"/>
          <w:color w:val="auto"/>
        </w:rPr>
        <w:t xml:space="preserve"> “Stock Option” </w:t>
      </w:r>
      <w:r>
        <w:rPr>
          <w:rFonts w:ascii="Arial" w:cs="Arial" w:eastAsia="Arial" w:hAnsi="Arial"/>
          <w:sz w:val="22"/>
          <w:szCs w:val="22"/>
          <w:color w:val="auto"/>
        </w:rPr>
        <w:t>means any option to purchase shares of Stock granted pursuant to Section 5.</w:t>
      </w:r>
    </w:p>
    <w:p>
      <w:pPr>
        <w:spacing w:after="0" w:line="206" w:lineRule="exact"/>
        <w:rPr>
          <w:sz w:val="20"/>
          <w:szCs w:val="20"/>
          <w:color w:val="auto"/>
        </w:rPr>
      </w:pPr>
    </w:p>
    <w:p>
      <w:pPr>
        <w:ind w:right="40" w:firstLine="864"/>
        <w:spacing w:after="0"/>
        <w:rPr>
          <w:sz w:val="20"/>
          <w:szCs w:val="20"/>
          <w:color w:val="auto"/>
        </w:rPr>
      </w:pPr>
      <w:r>
        <w:rPr>
          <w:rFonts w:ascii="Arial" w:cs="Arial" w:eastAsia="Arial" w:hAnsi="Arial"/>
          <w:sz w:val="22"/>
          <w:szCs w:val="22"/>
          <w:i w:val="1"/>
          <w:iCs w:val="1"/>
          <w:color w:val="auto"/>
        </w:rPr>
        <w:t xml:space="preserve">“Performance-Based Award” </w:t>
      </w:r>
      <w:r>
        <w:rPr>
          <w:rFonts w:ascii="Arial" w:cs="Arial" w:eastAsia="Arial" w:hAnsi="Arial"/>
          <w:sz w:val="22"/>
          <w:szCs w:val="22"/>
          <w:color w:val="auto"/>
        </w:rPr>
        <w:t>means any Restricted Stock Award, Restricted Stock Units, Performance Share Award or</w:t>
      </w:r>
      <w:r>
        <w:rPr>
          <w:rFonts w:ascii="Arial" w:cs="Arial" w:eastAsia="Arial" w:hAnsi="Arial"/>
          <w:sz w:val="22"/>
          <w:szCs w:val="22"/>
          <w:i w:val="1"/>
          <w:iCs w:val="1"/>
          <w:color w:val="auto"/>
        </w:rPr>
        <w:t xml:space="preserve"> </w:t>
      </w:r>
      <w:r>
        <w:rPr>
          <w:rFonts w:ascii="Arial" w:cs="Arial" w:eastAsia="Arial" w:hAnsi="Arial"/>
          <w:sz w:val="22"/>
          <w:szCs w:val="22"/>
          <w:color w:val="auto"/>
        </w:rPr>
        <w:t>Cash-Based Award granted to a Covered Employee that is intended to qualify as “performance-based compensation” under Section 162(m) of the Code and the regulations promulgated thereunder.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4" w:name="page105"/>
    <w:bookmarkEnd w:id="104"/>
    <w:p>
      <w:pPr>
        <w:ind w:firstLine="864"/>
        <w:spacing w:after="0" w:line="270" w:lineRule="auto"/>
        <w:rPr>
          <w:sz w:val="20"/>
          <w:szCs w:val="20"/>
          <w:color w:val="auto"/>
        </w:rPr>
      </w:pPr>
      <w:r>
        <w:rPr>
          <w:rFonts w:ascii="Arial" w:cs="Arial" w:eastAsia="Arial" w:hAnsi="Arial"/>
          <w:sz w:val="19"/>
          <w:szCs w:val="19"/>
          <w:i w:val="1"/>
          <w:iCs w:val="1"/>
          <w:color w:val="auto"/>
        </w:rPr>
        <w:t xml:space="preserve">“Performance Criteria” </w:t>
      </w:r>
      <w:r>
        <w:rPr>
          <w:rFonts w:ascii="Arial" w:cs="Arial" w:eastAsia="Arial" w:hAnsi="Arial"/>
          <w:sz w:val="19"/>
          <w:szCs w:val="19"/>
          <w:color w:val="auto"/>
        </w:rPr>
        <w:t>means the criteria that the Administrator selects for purposes of establishing the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Administrator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extraordinary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extraordinary items adjusted from the Company U.S. GAAP results.</w:t>
      </w:r>
    </w:p>
    <w:p>
      <w:pPr>
        <w:spacing w:after="0" w:line="200" w:lineRule="exact"/>
        <w:rPr>
          <w:sz w:val="20"/>
          <w:szCs w:val="20"/>
          <w:color w:val="auto"/>
        </w:rPr>
      </w:pPr>
    </w:p>
    <w:p>
      <w:pPr>
        <w:spacing w:after="0" w:line="212" w:lineRule="exact"/>
        <w:rPr>
          <w:sz w:val="20"/>
          <w:szCs w:val="20"/>
          <w:color w:val="auto"/>
        </w:rPr>
      </w:pPr>
    </w:p>
    <w:p>
      <w:pPr>
        <w:ind w:right="60" w:firstLine="864"/>
        <w:spacing w:after="0" w:line="236" w:lineRule="auto"/>
        <w:rPr>
          <w:sz w:val="20"/>
          <w:szCs w:val="20"/>
          <w:color w:val="auto"/>
        </w:rPr>
      </w:pPr>
      <w:r>
        <w:rPr>
          <w:rFonts w:ascii="Arial" w:cs="Arial" w:eastAsia="Arial" w:hAnsi="Arial"/>
          <w:sz w:val="22"/>
          <w:szCs w:val="22"/>
          <w:i w:val="1"/>
          <w:iCs w:val="1"/>
          <w:color w:val="auto"/>
        </w:rPr>
        <w:t xml:space="preserve">“Performance Cycle” </w:t>
      </w:r>
      <w:r>
        <w:rPr>
          <w:rFonts w:ascii="Arial" w:cs="Arial" w:eastAsia="Arial" w:hAnsi="Arial"/>
          <w:sz w:val="22"/>
          <w:szCs w:val="22"/>
          <w:color w:val="auto"/>
        </w:rPr>
        <w:t>means one or more periods of time, which may be of varying and overlapping durations,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87"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i w:val="1"/>
          <w:iCs w:val="1"/>
          <w:color w:val="auto"/>
        </w:rPr>
        <w:t xml:space="preserve">“Performance Goals” </w:t>
      </w:r>
      <w:r>
        <w:rPr>
          <w:rFonts w:ascii="Arial" w:cs="Arial" w:eastAsia="Arial" w:hAnsi="Arial"/>
          <w:sz w:val="22"/>
          <w:szCs w:val="22"/>
          <w:color w:val="auto"/>
        </w:rPr>
        <w:t>means, for a Performance Cycle, the specific goals established in writing by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for a Performance Cycle based upon the Performance Criteria.</w:t>
      </w:r>
    </w:p>
    <w:p>
      <w:pPr>
        <w:spacing w:after="0" w:line="175" w:lineRule="exact"/>
        <w:rPr>
          <w:sz w:val="20"/>
          <w:szCs w:val="20"/>
          <w:color w:val="auto"/>
        </w:rPr>
      </w:pPr>
    </w:p>
    <w:p>
      <w:pPr>
        <w:ind w:right="160" w:firstLine="864"/>
        <w:spacing w:after="0" w:line="250" w:lineRule="auto"/>
        <w:rPr>
          <w:sz w:val="20"/>
          <w:szCs w:val="20"/>
          <w:color w:val="auto"/>
        </w:rPr>
      </w:pPr>
      <w:r>
        <w:rPr>
          <w:rFonts w:ascii="Arial" w:cs="Arial" w:eastAsia="Arial" w:hAnsi="Arial"/>
          <w:sz w:val="22"/>
          <w:szCs w:val="22"/>
          <w:i w:val="1"/>
          <w:iCs w:val="1"/>
          <w:color w:val="auto"/>
        </w:rPr>
        <w:t xml:space="preserve">“Performance Share Award” </w:t>
      </w:r>
      <w:r>
        <w:rPr>
          <w:rFonts w:ascii="Arial" w:cs="Arial" w:eastAsia="Arial" w:hAnsi="Arial"/>
          <w:sz w:val="22"/>
          <w:szCs w:val="22"/>
          <w:color w:val="auto"/>
        </w:rPr>
        <w:t>means an Award entitling the recipient to acquire shares of Stock upon the attainment of</w:t>
      </w:r>
      <w:r>
        <w:rPr>
          <w:rFonts w:ascii="Arial" w:cs="Arial" w:eastAsia="Arial" w:hAnsi="Arial"/>
          <w:sz w:val="22"/>
          <w:szCs w:val="22"/>
          <w:i w:val="1"/>
          <w:iCs w:val="1"/>
          <w:color w:val="auto"/>
        </w:rPr>
        <w:t xml:space="preserve"> </w:t>
      </w:r>
      <w:r>
        <w:rPr>
          <w:rFonts w:ascii="Arial" w:cs="Arial" w:eastAsia="Arial" w:hAnsi="Arial"/>
          <w:sz w:val="22"/>
          <w:szCs w:val="22"/>
          <w:color w:val="auto"/>
        </w:rPr>
        <w:t>specified Performance Goals.</w:t>
      </w:r>
    </w:p>
    <w:p>
      <w:pPr>
        <w:spacing w:after="0" w:line="175" w:lineRule="exact"/>
        <w:rPr>
          <w:sz w:val="20"/>
          <w:szCs w:val="20"/>
          <w:color w:val="auto"/>
        </w:rPr>
      </w:pPr>
    </w:p>
    <w:p>
      <w:pPr>
        <w:ind w:right="46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Shares</w:t>
      </w:r>
      <w:r>
        <w:rPr>
          <w:rFonts w:ascii="Arial" w:cs="Arial" w:eastAsia="Arial" w:hAnsi="Arial"/>
          <w:sz w:val="22"/>
          <w:szCs w:val="22"/>
          <w:color w:val="auto"/>
        </w:rPr>
        <w:t>” means the shares of Stock underlying a Restricted Stock Award that remain subject to a risk of forfeiture or the Company’s right of repurchase.</w:t>
      </w:r>
    </w:p>
    <w:p>
      <w:pPr>
        <w:spacing w:after="0" w:line="175" w:lineRule="exact"/>
        <w:rPr>
          <w:sz w:val="20"/>
          <w:szCs w:val="20"/>
          <w:color w:val="auto"/>
        </w:rPr>
      </w:pPr>
    </w:p>
    <w:p>
      <w:pPr>
        <w:ind w:right="620" w:firstLine="864"/>
        <w:spacing w:after="0" w:line="250" w:lineRule="auto"/>
        <w:rPr>
          <w:sz w:val="20"/>
          <w:szCs w:val="20"/>
          <w:color w:val="auto"/>
        </w:rPr>
      </w:pPr>
      <w:r>
        <w:rPr>
          <w:rFonts w:ascii="Arial" w:cs="Arial" w:eastAsia="Arial" w:hAnsi="Arial"/>
          <w:sz w:val="22"/>
          <w:szCs w:val="22"/>
          <w:i w:val="1"/>
          <w:iCs w:val="1"/>
          <w:color w:val="auto"/>
        </w:rPr>
        <w:t xml:space="preserve">“Restricted Stock Award” </w:t>
      </w:r>
      <w:r>
        <w:rPr>
          <w:rFonts w:ascii="Arial" w:cs="Arial" w:eastAsia="Arial" w:hAnsi="Arial"/>
          <w:sz w:val="22"/>
          <w:szCs w:val="22"/>
          <w:color w:val="auto"/>
        </w:rPr>
        <w:t>means an Award of Restricted Shares subject to such restrictions and conditions as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Administrator may determine at the time of grant.</w:t>
      </w:r>
    </w:p>
    <w:p>
      <w:pPr>
        <w:spacing w:after="0" w:line="175"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i w:val="1"/>
          <w:iCs w:val="1"/>
          <w:color w:val="auto"/>
        </w:rPr>
        <w:t xml:space="preserve">“Restricted Stock Units” </w:t>
      </w:r>
      <w:r>
        <w:rPr>
          <w:rFonts w:ascii="Arial" w:cs="Arial" w:eastAsia="Arial" w:hAnsi="Arial"/>
          <w:sz w:val="22"/>
          <w:szCs w:val="22"/>
          <w:color w:val="auto"/>
        </w:rPr>
        <w:t>means an Award of stock units subject to such restrictions and conditions as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may determine at the time of grant.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ind w:firstLine="864"/>
        <w:spacing w:after="0" w:line="245" w:lineRule="auto"/>
        <w:rPr>
          <w:sz w:val="20"/>
          <w:szCs w:val="20"/>
          <w:color w:val="auto"/>
        </w:rPr>
      </w:pPr>
      <w:r>
        <w:rPr>
          <w:rFonts w:ascii="Arial" w:cs="Arial" w:eastAsia="Arial" w:hAnsi="Arial"/>
          <w:sz w:val="21"/>
          <w:szCs w:val="21"/>
          <w:i w:val="1"/>
          <w:iCs w:val="1"/>
          <w:color w:val="auto"/>
        </w:rPr>
        <w:t xml:space="preserve">“Sale Event” </w:t>
      </w:r>
      <w:r>
        <w:rPr>
          <w:rFonts w:ascii="Arial" w:cs="Arial" w:eastAsia="Arial" w:hAnsi="Arial"/>
          <w:sz w:val="21"/>
          <w:szCs w:val="21"/>
          <w:color w:val="auto"/>
        </w:rPr>
        <w:t>shall mean (i) the sale of all or substantially all of the assets of the Company on a consolidated basis to an</w:t>
      </w:r>
      <w:r>
        <w:rPr>
          <w:rFonts w:ascii="Arial" w:cs="Arial" w:eastAsia="Arial" w:hAnsi="Arial"/>
          <w:sz w:val="21"/>
          <w:szCs w:val="21"/>
          <w:i w:val="1"/>
          <w:iCs w:val="1"/>
          <w:color w:val="auto"/>
        </w:rPr>
        <w:t xml:space="preserve"> </w:t>
      </w:r>
      <w:r>
        <w:rPr>
          <w:rFonts w:ascii="Arial" w:cs="Arial" w:eastAsia="Arial" w:hAnsi="Arial"/>
          <w:sz w:val="21"/>
          <w:szCs w:val="21"/>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5"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Price</w:t>
      </w:r>
      <w:r>
        <w:rPr>
          <w:rFonts w:ascii="Arial" w:cs="Arial" w:eastAsia="Arial" w:hAnsi="Arial"/>
          <w:sz w:val="22"/>
          <w:szCs w:val="22"/>
          <w:color w:val="auto"/>
        </w:rPr>
        <w:t>” means the value as determined by the Administrator of the consideration payable, or otherwise to be received by stockholders, per share of Stock pursuant to a Sale Event.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means Section 409A of the Code and the regulations and other guidance promulgated thereunder.</w:t>
      </w:r>
    </w:p>
    <w:p>
      <w:pPr>
        <w:spacing w:after="0" w:line="241" w:lineRule="exact"/>
        <w:rPr>
          <w:sz w:val="20"/>
          <w:szCs w:val="20"/>
          <w:color w:val="auto"/>
        </w:rPr>
      </w:pPr>
    </w:p>
    <w:p>
      <w:pPr>
        <w:ind w:right="380" w:firstLine="864"/>
        <w:spacing w:after="0" w:line="250" w:lineRule="auto"/>
        <w:rPr>
          <w:sz w:val="20"/>
          <w:szCs w:val="20"/>
          <w:color w:val="auto"/>
        </w:rPr>
      </w:pPr>
      <w:r>
        <w:rPr>
          <w:rFonts w:ascii="Arial" w:cs="Arial" w:eastAsia="Arial" w:hAnsi="Arial"/>
          <w:sz w:val="22"/>
          <w:szCs w:val="22"/>
          <w:i w:val="1"/>
          <w:iCs w:val="1"/>
          <w:color w:val="auto"/>
        </w:rPr>
        <w:t xml:space="preserve">“Stock” </w:t>
      </w:r>
      <w:r>
        <w:rPr>
          <w:rFonts w:ascii="Arial" w:cs="Arial" w:eastAsia="Arial" w:hAnsi="Arial"/>
          <w:sz w:val="22"/>
          <w:szCs w:val="22"/>
          <w:color w:val="auto"/>
        </w:rPr>
        <w:t>means the Common Stock, par value $0.001 per share, of the Company, subject to adjustments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3.</w:t>
      </w:r>
    </w:p>
    <w:p>
      <w:pPr>
        <w:spacing w:after="0" w:line="175" w:lineRule="exact"/>
        <w:rPr>
          <w:sz w:val="20"/>
          <w:szCs w:val="20"/>
          <w:color w:val="auto"/>
        </w:rPr>
      </w:pPr>
    </w:p>
    <w:p>
      <w:pPr>
        <w:jc w:val="both"/>
        <w:ind w:right="220" w:firstLine="864"/>
        <w:spacing w:after="0" w:line="297" w:lineRule="auto"/>
        <w:rPr>
          <w:sz w:val="20"/>
          <w:szCs w:val="20"/>
          <w:color w:val="auto"/>
        </w:rPr>
      </w:pPr>
      <w:r>
        <w:rPr>
          <w:rFonts w:ascii="Arial" w:cs="Arial" w:eastAsia="Arial" w:hAnsi="Arial"/>
          <w:sz w:val="19"/>
          <w:szCs w:val="19"/>
          <w:i w:val="1"/>
          <w:iCs w:val="1"/>
          <w:color w:val="auto"/>
        </w:rPr>
        <w:t xml:space="preserve">“Stock Appreciation Right” </w:t>
      </w:r>
      <w:r>
        <w:rPr>
          <w:rFonts w:ascii="Arial" w:cs="Arial" w:eastAsia="Arial" w:hAnsi="Arial"/>
          <w:sz w:val="19"/>
          <w:szCs w:val="19"/>
          <w:color w:val="auto"/>
        </w:rPr>
        <w:t>means an Award entitling the recipient to receive shares of Stock having a value equal to</w:t>
      </w:r>
      <w:r>
        <w:rPr>
          <w:rFonts w:ascii="Arial" w:cs="Arial" w:eastAsia="Arial" w:hAnsi="Arial"/>
          <w:sz w:val="19"/>
          <w:szCs w:val="19"/>
          <w:i w:val="1"/>
          <w:iCs w:val="1"/>
          <w:color w:val="auto"/>
        </w:rPr>
        <w:t xml:space="preserve"> </w:t>
      </w:r>
      <w:r>
        <w:rPr>
          <w:rFonts w:ascii="Arial" w:cs="Arial" w:eastAsia="Arial" w:hAnsi="Arial"/>
          <w:sz w:val="19"/>
          <w:szCs w:val="19"/>
          <w:color w:val="auto"/>
        </w:rPr>
        <w:t>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34" w:lineRule="exact"/>
        <w:rPr>
          <w:sz w:val="20"/>
          <w:szCs w:val="20"/>
          <w:color w:val="auto"/>
        </w:rPr>
      </w:pPr>
    </w:p>
    <w:p>
      <w:pPr>
        <w:ind w:right="160" w:firstLine="864"/>
        <w:spacing w:after="0" w:line="250" w:lineRule="auto"/>
        <w:rPr>
          <w:sz w:val="20"/>
          <w:szCs w:val="20"/>
          <w:color w:val="auto"/>
        </w:rPr>
      </w:pPr>
      <w:r>
        <w:rPr>
          <w:rFonts w:ascii="Arial" w:cs="Arial" w:eastAsia="Arial" w:hAnsi="Arial"/>
          <w:sz w:val="22"/>
          <w:szCs w:val="22"/>
          <w:i w:val="1"/>
          <w:iCs w:val="1"/>
          <w:color w:val="auto"/>
        </w:rPr>
        <w:t xml:space="preserve">“Subsidiary” </w:t>
      </w:r>
      <w:r>
        <w:rPr>
          <w:rFonts w:ascii="Arial" w:cs="Arial" w:eastAsia="Arial" w:hAnsi="Arial"/>
          <w:sz w:val="22"/>
          <w:szCs w:val="22"/>
          <w:color w:val="auto"/>
        </w:rPr>
        <w:t>means any corporation or other entity (other than the Company) in which the Company has at least a 50</w:t>
      </w:r>
      <w:r>
        <w:rPr>
          <w:rFonts w:ascii="Arial" w:cs="Arial" w:eastAsia="Arial" w:hAnsi="Arial"/>
          <w:sz w:val="22"/>
          <w:szCs w:val="22"/>
          <w:i w:val="1"/>
          <w:iCs w:val="1"/>
          <w:color w:val="auto"/>
        </w:rPr>
        <w:t xml:space="preserve"> </w:t>
      </w:r>
      <w:r>
        <w:rPr>
          <w:rFonts w:ascii="Arial" w:cs="Arial" w:eastAsia="Arial" w:hAnsi="Arial"/>
          <w:sz w:val="22"/>
          <w:szCs w:val="22"/>
          <w:color w:val="auto"/>
        </w:rPr>
        <w:t>percent interest, either directly or indirectly.</w:t>
      </w:r>
    </w:p>
    <w:p>
      <w:pPr>
        <w:spacing w:after="0" w:line="175" w:lineRule="exact"/>
        <w:rPr>
          <w:sz w:val="20"/>
          <w:szCs w:val="20"/>
          <w:color w:val="auto"/>
        </w:rPr>
      </w:pPr>
    </w:p>
    <w:p>
      <w:pPr>
        <w:ind w:right="60" w:firstLine="864"/>
        <w:spacing w:after="0"/>
        <w:rPr>
          <w:sz w:val="20"/>
          <w:szCs w:val="20"/>
          <w:color w:val="auto"/>
        </w:rPr>
      </w:pPr>
      <w:r>
        <w:rPr>
          <w:rFonts w:ascii="Arial" w:cs="Arial" w:eastAsia="Arial" w:hAnsi="Arial"/>
          <w:sz w:val="22"/>
          <w:szCs w:val="22"/>
          <w:i w:val="1"/>
          <w:iCs w:val="1"/>
          <w:color w:val="auto"/>
        </w:rPr>
        <w:t xml:space="preserve">“Ten Percent Owner” </w:t>
      </w:r>
      <w:r>
        <w:rPr>
          <w:rFonts w:ascii="Arial" w:cs="Arial" w:eastAsia="Arial" w:hAnsi="Arial"/>
          <w:sz w:val="22"/>
          <w:szCs w:val="22"/>
          <w:color w:val="auto"/>
        </w:rPr>
        <w:t>means an employee who owns or is deemed to own (by reason of the attribution rules of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424(d) of the Code) more than 10 percent of the combined voting power of all classes of stock of the Company or any parent or subsidiary corporation.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i w:val="1"/>
          <w:iCs w:val="1"/>
          <w:color w:val="auto"/>
        </w:rPr>
        <w:t xml:space="preserve">“Unrestricted Stock Award” </w:t>
      </w:r>
      <w:r>
        <w:rPr>
          <w:rFonts w:ascii="Arial" w:cs="Arial" w:eastAsia="Arial" w:hAnsi="Arial"/>
          <w:sz w:val="22"/>
          <w:szCs w:val="22"/>
          <w:color w:val="auto"/>
        </w:rPr>
        <w:t>means an Award of shares of Stock free of any restrictions.</w:t>
      </w:r>
    </w:p>
    <w:p>
      <w:pPr>
        <w:spacing w:after="0" w:line="206"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ADMINISTRATION OF PLAN; ADMINISTRATOR AUTHORITY TO SELECT GRANTEES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DETERMINE AWARDS</w:t>
      </w:r>
    </w:p>
    <w:p>
      <w:pPr>
        <w:spacing w:after="0" w:line="175" w:lineRule="exact"/>
        <w:rPr>
          <w:sz w:val="20"/>
          <w:szCs w:val="20"/>
          <w:color w:val="auto"/>
        </w:rPr>
      </w:pPr>
    </w:p>
    <w:p>
      <w:pPr>
        <w:ind w:left="1760" w:hanging="888"/>
        <w:spacing w:after="0"/>
        <w:tabs>
          <w:tab w:leader="none" w:pos="17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Administration of Plan</w:t>
      </w:r>
      <w:r>
        <w:rPr>
          <w:rFonts w:ascii="Arial" w:cs="Arial" w:eastAsia="Arial" w:hAnsi="Arial"/>
          <w:sz w:val="22"/>
          <w:szCs w:val="22"/>
          <w:color w:val="auto"/>
        </w:rPr>
        <w:t>. The Plan shall be administered by the Administrator.</w:t>
      </w:r>
    </w:p>
    <w:p>
      <w:pPr>
        <w:spacing w:after="0" w:line="206" w:lineRule="exact"/>
        <w:rPr>
          <w:rFonts w:ascii="Arial" w:cs="Arial" w:eastAsia="Arial" w:hAnsi="Arial"/>
          <w:sz w:val="22"/>
          <w:szCs w:val="22"/>
          <w:color w:val="auto"/>
        </w:rPr>
      </w:pPr>
    </w:p>
    <w:p>
      <w:pPr>
        <w:ind w:right="180" w:firstLine="872"/>
        <w:spacing w:after="0" w:line="250" w:lineRule="auto"/>
        <w:tabs>
          <w:tab w:leader="none" w:pos="176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Powers of Administrator</w:t>
      </w:r>
      <w:r>
        <w:rPr>
          <w:rFonts w:ascii="Arial" w:cs="Arial" w:eastAsia="Arial" w:hAnsi="Arial"/>
          <w:sz w:val="22"/>
          <w:szCs w:val="22"/>
          <w:color w:val="auto"/>
        </w:rPr>
        <w:t>. The Administrator shall have the power and authority to grant Awards consistent with the terms of the Plan, including the power and authority: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to select the individuals to whom Awards may from time to time be granted;</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6" w:name="page107"/>
    <w:bookmarkEnd w:id="106"/>
    <w:p>
      <w:pPr>
        <w:ind w:right="300"/>
        <w:spacing w:after="0" w:line="238" w:lineRule="auto"/>
        <w:rPr>
          <w:sz w:val="20"/>
          <w:szCs w:val="20"/>
          <w:color w:val="auto"/>
        </w:rPr>
      </w:pPr>
      <w:r>
        <w:rPr>
          <w:rFonts w:ascii="Arial" w:cs="Arial" w:eastAsia="Arial" w:hAnsi="Arial"/>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to determine the number of shares of Stock to be covered by any Award;</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6"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to accelerate at any time the exercisability or vesting of all or any portion of any Award in circumstances involving the grantee’s death, disability, retirement, or a change in control (including a Sale Event);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subject to the provisions of Section 5(b), to extend at any time the period in which Stock Options may be exercised; and</w:t>
      </w:r>
    </w:p>
    <w:p>
      <w:pPr>
        <w:spacing w:after="0" w:line="218"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All decisions and interpretations of the Administrator shall be binding on all persons, including the Company and Plan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grantees.</w:t>
      </w:r>
    </w:p>
    <w:p>
      <w:pPr>
        <w:spacing w:after="0" w:line="188" w:lineRule="exact"/>
        <w:rPr>
          <w:sz w:val="20"/>
          <w:szCs w:val="20"/>
          <w:color w:val="auto"/>
        </w:rPr>
      </w:pPr>
    </w:p>
    <w:p>
      <w:pPr>
        <w:ind w:firstLine="872"/>
        <w:spacing w:after="0" w:line="275" w:lineRule="auto"/>
        <w:tabs>
          <w:tab w:leader="none" w:pos="1751"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Delegation of Authority to Grant Options and Restricted Stock Units</w:t>
      </w:r>
      <w:r>
        <w:rPr>
          <w:rFonts w:ascii="Arial" w:cs="Arial" w:eastAsia="Arial" w:hAnsi="Arial"/>
          <w:sz w:val="19"/>
          <w:szCs w:val="19"/>
          <w:color w:val="auto"/>
        </w:rPr>
        <w:t>. Subject to applicable law, the Administrator, in its discretion, may delegate to the Chief Executive Officer or the Chief Financial Officer of the Company all or part of the Administrator’s authority and duties with respect to the granting of Options and Restricted Stock Units to individuals who are (i) not subject to the reporting and other provisions of Section 16 of the Exchange Act and (ii) not Covered Employees. Any such delegation by the Administrator shall include a limitation as to the amount of Options and Restricted Stock Units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57" w:lineRule="exact"/>
        <w:rPr>
          <w:rFonts w:ascii="Arial" w:cs="Arial" w:eastAsia="Arial" w:hAnsi="Arial"/>
          <w:sz w:val="19"/>
          <w:szCs w:val="19"/>
          <w:color w:val="auto"/>
        </w:rPr>
      </w:pPr>
    </w:p>
    <w:p>
      <w:pPr>
        <w:ind w:right="180" w:firstLine="872"/>
        <w:spacing w:after="0"/>
        <w:tabs>
          <w:tab w:leader="none" w:pos="176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Award Certificate</w:t>
      </w:r>
      <w:r>
        <w:rPr>
          <w:rFonts w:ascii="Arial" w:cs="Arial" w:eastAsia="Arial" w:hAnsi="Arial"/>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ind w:right="40" w:firstLine="872"/>
        <w:spacing w:after="0" w:line="277" w:lineRule="auto"/>
        <w:tabs>
          <w:tab w:leader="none" w:pos="175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2" w:lineRule="exact"/>
        <w:rPr>
          <w:rFonts w:ascii="Arial" w:cs="Arial" w:eastAsia="Arial" w:hAnsi="Arial"/>
          <w:sz w:val="19"/>
          <w:szCs w:val="19"/>
          <w:color w:val="auto"/>
        </w:rPr>
      </w:pPr>
    </w:p>
    <w:p>
      <w:pPr>
        <w:ind w:right="60" w:firstLine="872"/>
        <w:spacing w:after="0" w:line="268" w:lineRule="auto"/>
        <w:tabs>
          <w:tab w:leader="none" w:pos="1727"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Foreign Award Recipients</w:t>
      </w:r>
      <w:r>
        <w:rPr>
          <w:rFonts w:ascii="Arial" w:cs="Arial" w:eastAsia="Arial" w:hAnsi="Arial"/>
          <w:sz w:val="19"/>
          <w:szCs w:val="19"/>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w:t>
      </w:r>
    </w:p>
    <w:p>
      <w:pPr>
        <w:spacing w:after="0" w:line="8" w:lineRule="exact"/>
        <w:rPr>
          <w:rFonts w:ascii="Arial" w:cs="Arial" w:eastAsia="Arial" w:hAnsi="Arial"/>
          <w:sz w:val="19"/>
          <w:szCs w:val="19"/>
          <w:color w:val="auto"/>
        </w:rPr>
      </w:pPr>
    </w:p>
    <w:p>
      <w:pPr>
        <w:ind w:right="680"/>
        <w:spacing w:after="0" w:line="234" w:lineRule="auto"/>
        <w:rPr>
          <w:rFonts w:ascii="Arial" w:cs="Arial" w:eastAsia="Arial" w:hAnsi="Arial"/>
          <w:sz w:val="19"/>
          <w:szCs w:val="19"/>
          <w:color w:val="auto"/>
        </w:rPr>
      </w:pPr>
      <w:r>
        <w:rPr>
          <w:rFonts w:ascii="Arial" w:cs="Arial" w:eastAsia="Arial" w:hAnsi="Arial"/>
          <w:sz w:val="22"/>
          <w:szCs w:val="22"/>
          <w:color w:val="auto"/>
        </w:rPr>
        <w:t>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87"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STOCK ISSUABLE UNDER THE PLAN; MERGERS; SUBSTITUTION</w:t>
      </w:r>
    </w:p>
    <w:p>
      <w:pPr>
        <w:spacing w:after="0" w:line="206" w:lineRule="exact"/>
        <w:rPr>
          <w:sz w:val="20"/>
          <w:szCs w:val="20"/>
          <w:color w:val="auto"/>
        </w:rPr>
      </w:pPr>
    </w:p>
    <w:p>
      <w:pPr>
        <w:ind w:firstLine="872"/>
        <w:spacing w:after="0" w:line="272" w:lineRule="auto"/>
        <w:tabs>
          <w:tab w:leader="none" w:pos="175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Stock Issuable</w:t>
      </w:r>
      <w:r>
        <w:rPr>
          <w:rFonts w:ascii="Arial" w:cs="Arial" w:eastAsia="Arial" w:hAnsi="Arial"/>
          <w:sz w:val="19"/>
          <w:szCs w:val="19"/>
          <w:color w:val="auto"/>
        </w:rPr>
        <w:t>. The maximum number of shares of Stock reserved and available for issuance under the Plan shall be 1,973,551 shares (the “Initial Limit”), subject to adjustment as provided in Section 3(c), plus on January 1, 2015 and each January 1 thereafter,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2015 and on each January 1 thereafter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8" w:name="page109"/>
    <w:bookmarkEnd w:id="108"/>
    <w:p>
      <w:pPr>
        <w:ind w:right="20"/>
        <w:spacing w:after="0" w:line="273" w:lineRule="auto"/>
        <w:rPr>
          <w:sz w:val="20"/>
          <w:szCs w:val="20"/>
          <w:color w:val="auto"/>
        </w:rPr>
      </w:pPr>
      <w:r>
        <w:rPr>
          <w:rFonts w:ascii="Arial" w:cs="Arial" w:eastAsia="Arial" w:hAnsi="Arial"/>
          <w:sz w:val="19"/>
          <w:szCs w:val="19"/>
          <w:color w:val="auto"/>
        </w:rPr>
        <w:t>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w:t>
      </w:r>
    </w:p>
    <w:p>
      <w:pPr>
        <w:spacing w:after="0" w:line="2" w:lineRule="exact"/>
        <w:rPr>
          <w:sz w:val="20"/>
          <w:szCs w:val="20"/>
          <w:color w:val="auto"/>
        </w:rPr>
      </w:pPr>
    </w:p>
    <w:p>
      <w:pPr>
        <w:ind w:right="580"/>
        <w:spacing w:after="0" w:line="236" w:lineRule="auto"/>
        <w:rPr>
          <w:sz w:val="20"/>
          <w:szCs w:val="20"/>
          <w:color w:val="auto"/>
        </w:rPr>
      </w:pPr>
      <w:r>
        <w:rPr>
          <w:rFonts w:ascii="Arial" w:cs="Arial" w:eastAsia="Arial" w:hAnsi="Arial"/>
          <w:sz w:val="22"/>
          <w:szCs w:val="22"/>
          <w:color w:val="auto"/>
        </w:rPr>
        <w:t>period. The shares available for issuance under the Plan may be authorized but unissued shares of Stock or shares of Stock reacquired by the Company.</w:t>
      </w:r>
    </w:p>
    <w:p>
      <w:pPr>
        <w:spacing w:after="0" w:line="187" w:lineRule="exact"/>
        <w:rPr>
          <w:sz w:val="20"/>
          <w:szCs w:val="20"/>
          <w:color w:val="auto"/>
        </w:rPr>
      </w:pPr>
    </w:p>
    <w:p>
      <w:pPr>
        <w:ind w:left="1780" w:hanging="908"/>
        <w:spacing w:after="0"/>
        <w:tabs>
          <w:tab w:leader="none" w:pos="17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firstLine="872"/>
        <w:spacing w:after="0" w:line="270" w:lineRule="auto"/>
        <w:tabs>
          <w:tab w:leader="none" w:pos="1751"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right="20" w:firstLine="872"/>
        <w:spacing w:after="0" w:line="275" w:lineRule="auto"/>
        <w:tabs>
          <w:tab w:leader="none" w:pos="176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Mergers and Other Transactions</w:t>
      </w:r>
      <w:r>
        <w:rPr>
          <w:rFonts w:ascii="Arial" w:cs="Arial" w:eastAsia="Arial" w:hAnsi="Arial"/>
          <w:sz w:val="19"/>
          <w:szCs w:val="19"/>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9" w:name="page110"/>
    <w:bookmarkEnd w:id="109"/>
    <w:p>
      <w:pPr>
        <w:ind w:right="40"/>
        <w:spacing w:after="0" w:line="273" w:lineRule="auto"/>
        <w:rPr>
          <w:sz w:val="20"/>
          <w:szCs w:val="20"/>
          <w:color w:val="auto"/>
        </w:rPr>
      </w:pPr>
      <w:r>
        <w:rPr>
          <w:rFonts w:ascii="Arial" w:cs="Arial" w:eastAsia="Arial" w:hAnsi="Arial"/>
          <w:sz w:val="19"/>
          <w:szCs w:val="19"/>
          <w:color w:val="auto"/>
        </w:rPr>
        <w:t>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w:t>
      </w:r>
    </w:p>
    <w:p>
      <w:pPr>
        <w:spacing w:after="0" w:line="161" w:lineRule="exact"/>
        <w:rPr>
          <w:sz w:val="20"/>
          <w:szCs w:val="20"/>
          <w:color w:val="auto"/>
        </w:rPr>
      </w:pPr>
    </w:p>
    <w:p>
      <w:pPr>
        <w:ind w:firstLine="872"/>
        <w:spacing w:after="0" w:line="279" w:lineRule="auto"/>
        <w:tabs>
          <w:tab w:leader="none" w:pos="175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Substitute Awards</w:t>
      </w:r>
      <w:r>
        <w:rPr>
          <w:rFonts w:ascii="Arial" w:cs="Arial" w:eastAsia="Arial" w:hAnsi="Arial"/>
          <w:sz w:val="19"/>
          <w:szCs w:val="19"/>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50"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u w:val="single" w:color="auto"/>
          <w:color w:val="auto"/>
        </w:rPr>
        <w:t>ELIGIBILITY</w:t>
      </w:r>
    </w:p>
    <w:p>
      <w:pPr>
        <w:spacing w:after="0" w:line="206" w:lineRule="exact"/>
        <w:rPr>
          <w:sz w:val="20"/>
          <w:szCs w:val="20"/>
          <w:color w:val="auto"/>
        </w:rPr>
      </w:pPr>
    </w:p>
    <w:p>
      <w:pPr>
        <w:ind w:right="380" w:firstLine="864"/>
        <w:spacing w:after="0" w:line="328" w:lineRule="auto"/>
        <w:rPr>
          <w:sz w:val="20"/>
          <w:szCs w:val="20"/>
          <w:color w:val="auto"/>
        </w:rPr>
      </w:pPr>
      <w:r>
        <w:rPr>
          <w:rFonts w:ascii="Arial" w:cs="Arial" w:eastAsia="Arial" w:hAnsi="Arial"/>
          <w:sz w:val="19"/>
          <w:szCs w:val="19"/>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05"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STOCK OPTIONS</w:t>
      </w:r>
    </w:p>
    <w:p>
      <w:pPr>
        <w:spacing w:after="0" w:line="206" w:lineRule="exact"/>
        <w:rPr>
          <w:sz w:val="20"/>
          <w:szCs w:val="20"/>
          <w:color w:val="auto"/>
        </w:rPr>
      </w:pPr>
    </w:p>
    <w:p>
      <w:pPr>
        <w:ind w:right="320" w:firstLine="872"/>
        <w:spacing w:after="0" w:line="250" w:lineRule="auto"/>
        <w:tabs>
          <w:tab w:leader="none" w:pos="175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Award of Stock Options</w:t>
      </w:r>
      <w:r>
        <w:rPr>
          <w:rFonts w:ascii="Arial" w:cs="Arial" w:eastAsia="Arial" w:hAnsi="Arial"/>
          <w:sz w:val="22"/>
          <w:szCs w:val="22"/>
          <w:color w:val="auto"/>
        </w:rPr>
        <w:t>. The Administrator may grant Stock Options under the Plan. Any Stock Option granted under the Plan shall be in such form as the Administrator may from time to time approve.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Stock Options granted under the Plan may be either Incentive Stock Options or Non-Qualified Stock</w:t>
      </w:r>
    </w:p>
    <w:p>
      <w:pPr>
        <w:spacing w:after="0" w:line="8"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color w:val="auto"/>
        </w:rPr>
        <w:t>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7" w:lineRule="exact"/>
        <w:rPr>
          <w:sz w:val="20"/>
          <w:szCs w:val="20"/>
          <w:color w:val="auto"/>
        </w:rPr>
      </w:pPr>
    </w:p>
    <w:p>
      <w:pPr>
        <w:ind w:right="520" w:firstLine="864"/>
        <w:spacing w:after="0" w:line="287" w:lineRule="auto"/>
        <w:rPr>
          <w:sz w:val="20"/>
          <w:szCs w:val="20"/>
          <w:color w:val="auto"/>
        </w:rPr>
      </w:pPr>
      <w:r>
        <w:rPr>
          <w:rFonts w:ascii="Arial" w:cs="Arial" w:eastAsia="Arial" w:hAnsi="Arial"/>
          <w:sz w:val="19"/>
          <w:szCs w:val="19"/>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10" w:name="page111"/>
    <w:bookmarkEnd w:id="110"/>
    <w:p>
      <w:pPr>
        <w:ind w:right="40" w:firstLine="872"/>
        <w:spacing w:after="0" w:line="287" w:lineRule="auto"/>
        <w:tabs>
          <w:tab w:leader="none" w:pos="1763"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43" w:lineRule="exact"/>
        <w:rPr>
          <w:rFonts w:ascii="Arial" w:cs="Arial" w:eastAsia="Arial" w:hAnsi="Arial"/>
          <w:sz w:val="19"/>
          <w:szCs w:val="19"/>
          <w:color w:val="auto"/>
        </w:rPr>
      </w:pPr>
    </w:p>
    <w:p>
      <w:pPr>
        <w:ind w:right="160" w:firstLine="872"/>
        <w:spacing w:after="0" w:line="297" w:lineRule="auto"/>
        <w:tabs>
          <w:tab w:leader="none" w:pos="175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Option Term</w:t>
      </w:r>
      <w:r>
        <w:rPr>
          <w:rFonts w:ascii="Arial" w:cs="Arial" w:eastAsia="Arial" w:hAnsi="Arial"/>
          <w:sz w:val="19"/>
          <w:szCs w:val="19"/>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33" w:lineRule="exact"/>
        <w:rPr>
          <w:rFonts w:ascii="Arial" w:cs="Arial" w:eastAsia="Arial" w:hAnsi="Arial"/>
          <w:sz w:val="19"/>
          <w:szCs w:val="19"/>
          <w:color w:val="auto"/>
        </w:rPr>
      </w:pPr>
    </w:p>
    <w:p>
      <w:pPr>
        <w:ind w:firstLine="872"/>
        <w:spacing w:after="0" w:line="287" w:lineRule="auto"/>
        <w:tabs>
          <w:tab w:leader="none" w:pos="1763"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Exercisability; Rights of a Stockholder</w:t>
      </w:r>
      <w:r>
        <w:rPr>
          <w:rFonts w:ascii="Arial" w:cs="Arial" w:eastAsia="Arial" w:hAnsi="Arial"/>
          <w:sz w:val="19"/>
          <w:szCs w:val="19"/>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2" w:lineRule="exact"/>
        <w:rPr>
          <w:rFonts w:ascii="Arial" w:cs="Arial" w:eastAsia="Arial" w:hAnsi="Arial"/>
          <w:sz w:val="19"/>
          <w:szCs w:val="19"/>
          <w:color w:val="auto"/>
        </w:rPr>
      </w:pPr>
    </w:p>
    <w:p>
      <w:pPr>
        <w:ind w:right="20" w:firstLine="872"/>
        <w:spacing w:after="0" w:line="297" w:lineRule="auto"/>
        <w:tabs>
          <w:tab w:leader="none" w:pos="1751"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In cash, by certified or bank check or other instrument acceptable to the Administrator;</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7"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6" w:lineRule="exact"/>
        <w:rPr>
          <w:sz w:val="20"/>
          <w:szCs w:val="20"/>
          <w:color w:val="auto"/>
        </w:rPr>
      </w:pPr>
    </w:p>
    <w:p>
      <w:pPr>
        <w:ind w:right="60" w:firstLine="864"/>
        <w:spacing w:after="0" w:line="235" w:lineRule="auto"/>
        <w:rPr>
          <w:sz w:val="20"/>
          <w:szCs w:val="20"/>
          <w:color w:val="auto"/>
        </w:rPr>
      </w:pPr>
      <w:r>
        <w:rPr>
          <w:rFonts w:ascii="Arial" w:cs="Arial" w:eastAsia="Arial" w:hAnsi="Arial"/>
          <w:sz w:val="22"/>
          <w:szCs w:val="22"/>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line="282" w:lineRule="auto"/>
        <w:rPr>
          <w:sz w:val="20"/>
          <w:szCs w:val="20"/>
          <w:color w:val="auto"/>
        </w:rPr>
      </w:pPr>
      <w:r>
        <w:rPr>
          <w:rFonts w:ascii="Arial" w:cs="Arial" w:eastAsia="Arial" w:hAnsi="Arial"/>
          <w:sz w:val="19"/>
          <w:szCs w:val="19"/>
          <w:color w:val="auto"/>
        </w:rPr>
        <w:t>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8" w:lineRule="exact"/>
        <w:rPr>
          <w:sz w:val="20"/>
          <w:szCs w:val="20"/>
          <w:color w:val="auto"/>
        </w:rPr>
      </w:pPr>
    </w:p>
    <w:p>
      <w:pPr>
        <w:ind w:right="100" w:firstLine="872"/>
        <w:spacing w:after="0" w:line="282" w:lineRule="auto"/>
        <w:tabs>
          <w:tab w:leader="none" w:pos="1727"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Annual Limit on Incentive Stock Options</w:t>
      </w:r>
      <w:r>
        <w:rPr>
          <w:rFonts w:ascii="Arial" w:cs="Arial" w:eastAsia="Arial" w:hAnsi="Arial"/>
          <w:sz w:val="19"/>
          <w:szCs w:val="19"/>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7"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STOCK APPRECIATION RIGHTS</w:t>
      </w:r>
    </w:p>
    <w:p>
      <w:pPr>
        <w:spacing w:after="0" w:line="206" w:lineRule="exact"/>
        <w:rPr>
          <w:sz w:val="20"/>
          <w:szCs w:val="20"/>
          <w:color w:val="auto"/>
        </w:rPr>
      </w:pPr>
    </w:p>
    <w:p>
      <w:pPr>
        <w:ind w:right="120" w:firstLine="872"/>
        <w:spacing w:after="0" w:line="287" w:lineRule="auto"/>
        <w:tabs>
          <w:tab w:leader="none" w:pos="1751"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Award of Stock Appreciation Rights</w:t>
      </w:r>
      <w:r>
        <w:rPr>
          <w:rFonts w:ascii="Arial" w:cs="Arial" w:eastAsia="Arial" w:hAnsi="Arial"/>
          <w:sz w:val="19"/>
          <w:szCs w:val="19"/>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42" w:lineRule="exact"/>
        <w:rPr>
          <w:rFonts w:ascii="Arial" w:cs="Arial" w:eastAsia="Arial" w:hAnsi="Arial"/>
          <w:sz w:val="19"/>
          <w:szCs w:val="19"/>
          <w:color w:val="auto"/>
        </w:rPr>
      </w:pPr>
    </w:p>
    <w:p>
      <w:pPr>
        <w:ind w:right="200" w:firstLine="872"/>
        <w:spacing w:after="0" w:line="250" w:lineRule="auto"/>
        <w:tabs>
          <w:tab w:leader="none" w:pos="176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Exercise Price of Stock Appreciation Rights</w:t>
      </w:r>
      <w:r>
        <w:rPr>
          <w:rFonts w:ascii="Arial" w:cs="Arial" w:eastAsia="Arial" w:hAnsi="Arial"/>
          <w:sz w:val="22"/>
          <w:szCs w:val="22"/>
          <w:color w:val="auto"/>
        </w:rPr>
        <w:t>. The exercise price of a Stock Appreciation Right shall not be less than 100 percent of the Fair Market Value of the Stock on the date of grant.</w:t>
      </w:r>
    </w:p>
    <w:p>
      <w:pPr>
        <w:spacing w:after="0" w:line="174" w:lineRule="exact"/>
        <w:rPr>
          <w:rFonts w:ascii="Arial" w:cs="Arial" w:eastAsia="Arial" w:hAnsi="Arial"/>
          <w:sz w:val="22"/>
          <w:szCs w:val="22"/>
          <w:color w:val="auto"/>
        </w:rPr>
      </w:pPr>
    </w:p>
    <w:p>
      <w:pPr>
        <w:ind w:right="800" w:firstLine="872"/>
        <w:spacing w:after="0" w:line="250" w:lineRule="auto"/>
        <w:tabs>
          <w:tab w:leader="none" w:pos="175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Grant and Exercise of Stock Appreciation Rights</w:t>
      </w:r>
      <w:r>
        <w:rPr>
          <w:rFonts w:ascii="Arial" w:cs="Arial" w:eastAsia="Arial" w:hAnsi="Arial"/>
          <w:sz w:val="22"/>
          <w:szCs w:val="22"/>
          <w:color w:val="auto"/>
        </w:rPr>
        <w:t>. Stock Appreciation Rights may be granted by the Administrator independently of any Stock Option granted pursuant to Section 5 of the Plan.</w:t>
      </w:r>
    </w:p>
    <w:p>
      <w:pPr>
        <w:spacing w:after="0" w:line="174" w:lineRule="exact"/>
        <w:rPr>
          <w:rFonts w:ascii="Arial" w:cs="Arial" w:eastAsia="Arial" w:hAnsi="Arial"/>
          <w:sz w:val="22"/>
          <w:szCs w:val="22"/>
          <w:color w:val="auto"/>
        </w:rPr>
      </w:pPr>
    </w:p>
    <w:p>
      <w:pPr>
        <w:ind w:firstLine="872"/>
        <w:spacing w:after="0"/>
        <w:tabs>
          <w:tab w:leader="none" w:pos="176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Terms and Conditions of Stock Appreciation Rights</w:t>
      </w:r>
      <w:r>
        <w:rPr>
          <w:rFonts w:ascii="Arial" w:cs="Arial" w:eastAsia="Arial" w:hAnsi="Arial"/>
          <w:sz w:val="22"/>
          <w:szCs w:val="22"/>
          <w:color w:val="auto"/>
        </w:rPr>
        <w:t>. Stock Appreciation Rights shall be subject to such terms and conditions as shall be determined from time to time by the Administrator. The term of a Stock Appreciation Right may not exceed ten years.</w:t>
      </w:r>
    </w:p>
    <w:p>
      <w:pPr>
        <w:spacing w:after="0" w:line="186" w:lineRule="exact"/>
        <w:rPr>
          <w:sz w:val="20"/>
          <w:szCs w:val="20"/>
          <w:color w:val="auto"/>
        </w:rPr>
      </w:pPr>
    </w:p>
    <w:p>
      <w:pPr>
        <w:spacing w:after="0"/>
        <w:tabs>
          <w:tab w:leader="none" w:pos="18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RESTRICTED STOCK AWARDS</w:t>
      </w:r>
    </w:p>
    <w:p>
      <w:pPr>
        <w:spacing w:after="0" w:line="206" w:lineRule="exact"/>
        <w:rPr>
          <w:sz w:val="20"/>
          <w:szCs w:val="20"/>
          <w:color w:val="auto"/>
        </w:rPr>
      </w:pPr>
    </w:p>
    <w:p>
      <w:pPr>
        <w:ind w:right="40" w:firstLine="872"/>
        <w:spacing w:after="0" w:line="282" w:lineRule="auto"/>
        <w:tabs>
          <w:tab w:leader="none" w:pos="175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Awards</w:t>
      </w:r>
      <w:r>
        <w:rPr>
          <w:rFonts w:ascii="Arial" w:cs="Arial" w:eastAsia="Arial" w:hAnsi="Arial"/>
          <w:sz w:val="19"/>
          <w:szCs w:val="19"/>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ind w:firstLine="872"/>
        <w:spacing w:after="0" w:line="273" w:lineRule="auto"/>
        <w:tabs>
          <w:tab w:leader="none" w:pos="176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61" w:lineRule="exact"/>
        <w:rPr>
          <w:rFonts w:ascii="Arial" w:cs="Arial" w:eastAsia="Arial" w:hAnsi="Arial"/>
          <w:sz w:val="19"/>
          <w:szCs w:val="19"/>
          <w:color w:val="auto"/>
        </w:rPr>
      </w:pPr>
    </w:p>
    <w:p>
      <w:pPr>
        <w:ind w:right="20" w:firstLine="872"/>
        <w:spacing w:after="0" w:line="273" w:lineRule="auto"/>
        <w:tabs>
          <w:tab w:leader="none" w:pos="175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Restrictions</w:t>
      </w:r>
      <w:r>
        <w:rPr>
          <w:rFonts w:ascii="Arial" w:cs="Arial" w:eastAsia="Arial" w:hAnsi="Arial"/>
          <w:sz w:val="19"/>
          <w:szCs w:val="19"/>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60" w:lineRule="exact"/>
        <w:rPr>
          <w:rFonts w:ascii="Arial" w:cs="Arial" w:eastAsia="Arial" w:hAnsi="Arial"/>
          <w:sz w:val="19"/>
          <w:szCs w:val="19"/>
          <w:color w:val="auto"/>
        </w:rPr>
      </w:pPr>
    </w:p>
    <w:p>
      <w:pPr>
        <w:ind w:right="20" w:firstLine="872"/>
        <w:spacing w:after="0" w:line="245" w:lineRule="auto"/>
        <w:tabs>
          <w:tab w:leader="none" w:pos="1763"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Vesting of Restricted Shares</w:t>
      </w:r>
      <w:r>
        <w:rPr>
          <w:rFonts w:ascii="Arial" w:cs="Arial" w:eastAsia="Arial" w:hAnsi="Arial"/>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Certificate or, subject to Section 18 below, in writing after the Award is issued, a grantee’s rights in any Restricted Shares that have not vested shall automatically terminate upon the grantee’s termination of employment (or other service relationship) with the Company and its Subsidiaries and such shares shall be subject to the provisions of Section 7(c) above.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3" w:name="page114"/>
    <w:bookmarkEnd w:id="113"/>
    <w:p>
      <w:pPr>
        <w:spacing w:after="0"/>
        <w:tabs>
          <w:tab w:leader="none" w:pos="18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RESTRICTED STOCK UNITS</w:t>
      </w:r>
    </w:p>
    <w:p>
      <w:pPr>
        <w:spacing w:after="0" w:line="207" w:lineRule="exact"/>
        <w:rPr>
          <w:sz w:val="20"/>
          <w:szCs w:val="20"/>
          <w:color w:val="auto"/>
        </w:rPr>
      </w:pPr>
    </w:p>
    <w:p>
      <w:pPr>
        <w:ind w:firstLine="872"/>
        <w:spacing w:after="0" w:line="274" w:lineRule="auto"/>
        <w:tabs>
          <w:tab w:leader="none" w:pos="175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Nature of Restricted Stock Units</w:t>
      </w:r>
      <w:r>
        <w:rPr>
          <w:rFonts w:ascii="Arial" w:cs="Arial" w:eastAsia="Arial" w:hAnsi="Arial"/>
          <w:sz w:val="19"/>
          <w:szCs w:val="19"/>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vested Restricted Stock Units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58" w:lineRule="exact"/>
        <w:rPr>
          <w:rFonts w:ascii="Arial" w:cs="Arial" w:eastAsia="Arial" w:hAnsi="Arial"/>
          <w:sz w:val="19"/>
          <w:szCs w:val="19"/>
          <w:color w:val="auto"/>
        </w:rPr>
      </w:pPr>
    </w:p>
    <w:p>
      <w:pPr>
        <w:ind w:firstLine="872"/>
        <w:spacing w:after="0" w:line="273" w:lineRule="auto"/>
        <w:tabs>
          <w:tab w:leader="none" w:pos="1763"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Election to Receive Restricted Stock Units in Lieu of Compensation</w:t>
      </w:r>
      <w:r>
        <w:rPr>
          <w:rFonts w:ascii="Arial" w:cs="Arial" w:eastAsia="Arial" w:hAnsi="Arial"/>
          <w:sz w:val="19"/>
          <w:szCs w:val="19"/>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60" w:lineRule="exact"/>
        <w:rPr>
          <w:rFonts w:ascii="Arial" w:cs="Arial" w:eastAsia="Arial" w:hAnsi="Arial"/>
          <w:sz w:val="19"/>
          <w:szCs w:val="19"/>
          <w:color w:val="auto"/>
        </w:rPr>
      </w:pPr>
    </w:p>
    <w:p>
      <w:pPr>
        <w:ind w:right="80" w:firstLine="872"/>
        <w:spacing w:after="0" w:line="238" w:lineRule="auto"/>
        <w:tabs>
          <w:tab w:leader="none" w:pos="1751"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84" w:lineRule="exact"/>
        <w:rPr>
          <w:rFonts w:ascii="Arial" w:cs="Arial" w:eastAsia="Arial" w:hAnsi="Arial"/>
          <w:sz w:val="22"/>
          <w:szCs w:val="22"/>
          <w:color w:val="auto"/>
        </w:rPr>
      </w:pPr>
    </w:p>
    <w:p>
      <w:pPr>
        <w:ind w:right="60" w:firstLine="872"/>
        <w:spacing w:after="0" w:line="238" w:lineRule="auto"/>
        <w:tabs>
          <w:tab w:leader="none" w:pos="1763"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4" w:name="page115"/>
    <w:bookmarkEnd w:id="114"/>
    <w:p>
      <w:pPr>
        <w:spacing w:after="0"/>
        <w:tabs>
          <w:tab w:leader="none" w:pos="18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UNRESTRICTED STOCK AWARDS</w:t>
      </w:r>
    </w:p>
    <w:p>
      <w:pPr>
        <w:spacing w:after="0" w:line="207" w:lineRule="exact"/>
        <w:rPr>
          <w:sz w:val="20"/>
          <w:szCs w:val="20"/>
          <w:color w:val="auto"/>
        </w:rPr>
      </w:pPr>
    </w:p>
    <w:p>
      <w:pPr>
        <w:ind w:right="300" w:firstLine="864"/>
        <w:spacing w:after="0" w:line="287" w:lineRule="auto"/>
        <w:rPr>
          <w:sz w:val="20"/>
          <w:szCs w:val="20"/>
          <w:color w:val="auto"/>
        </w:rPr>
      </w:pPr>
      <w:r>
        <w:rPr>
          <w:rFonts w:ascii="Arial" w:cs="Arial" w:eastAsia="Arial" w:hAnsi="Arial"/>
          <w:sz w:val="19"/>
          <w:szCs w:val="19"/>
          <w:u w:val="single" w:color="auto"/>
          <w:color w:val="auto"/>
        </w:rPr>
        <w:t>Grant or Sale of Unrestricted Stock</w:t>
      </w:r>
      <w:r>
        <w:rPr>
          <w:rFonts w:ascii="Arial" w:cs="Arial" w:eastAsia="Arial" w:hAnsi="Arial"/>
          <w:sz w:val="19"/>
          <w:szCs w:val="19"/>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3"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CASH-BASED AWARDS</w:t>
      </w:r>
    </w:p>
    <w:p>
      <w:pPr>
        <w:spacing w:after="0" w:line="206" w:lineRule="exact"/>
        <w:rPr>
          <w:sz w:val="20"/>
          <w:szCs w:val="20"/>
          <w:color w:val="auto"/>
        </w:rPr>
      </w:pPr>
    </w:p>
    <w:p>
      <w:pPr>
        <w:ind w:firstLine="864"/>
        <w:spacing w:after="0" w:line="246" w:lineRule="auto"/>
        <w:rPr>
          <w:sz w:val="20"/>
          <w:szCs w:val="20"/>
          <w:color w:val="auto"/>
        </w:rPr>
      </w:pPr>
      <w:r>
        <w:rPr>
          <w:rFonts w:ascii="Arial" w:cs="Arial" w:eastAsia="Arial" w:hAnsi="Arial"/>
          <w:sz w:val="21"/>
          <w:szCs w:val="21"/>
          <w:u w:val="single" w:color="auto"/>
          <w:color w:val="auto"/>
        </w:rPr>
        <w:t>Grant of Cash-Based Awards</w:t>
      </w:r>
      <w:r>
        <w:rPr>
          <w:rFonts w:ascii="Arial" w:cs="Arial" w:eastAsia="Arial" w:hAnsi="Arial"/>
          <w:sz w:val="21"/>
          <w:szCs w:val="21"/>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4"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PERFORMANCE SHARE AWARDS</w:t>
      </w:r>
    </w:p>
    <w:p>
      <w:pPr>
        <w:spacing w:after="0" w:line="206" w:lineRule="exact"/>
        <w:rPr>
          <w:sz w:val="20"/>
          <w:szCs w:val="20"/>
          <w:color w:val="auto"/>
        </w:rPr>
      </w:pPr>
    </w:p>
    <w:p>
      <w:pPr>
        <w:ind w:right="180" w:firstLine="872"/>
        <w:spacing w:after="0" w:line="282" w:lineRule="auto"/>
        <w:tabs>
          <w:tab w:leader="none" w:pos="1751"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Nature of Performance Share Awards</w:t>
      </w:r>
      <w:r>
        <w:rPr>
          <w:rFonts w:ascii="Arial" w:cs="Arial" w:eastAsia="Arial" w:hAnsi="Arial"/>
          <w:sz w:val="19"/>
          <w:szCs w:val="19"/>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47" w:lineRule="exact"/>
        <w:rPr>
          <w:rFonts w:ascii="Arial" w:cs="Arial" w:eastAsia="Arial" w:hAnsi="Arial"/>
          <w:sz w:val="19"/>
          <w:szCs w:val="19"/>
          <w:color w:val="auto"/>
        </w:rPr>
      </w:pPr>
    </w:p>
    <w:p>
      <w:pPr>
        <w:ind w:right="20" w:firstLine="872"/>
        <w:spacing w:after="0" w:line="236" w:lineRule="auto"/>
        <w:tabs>
          <w:tab w:leader="none" w:pos="1763"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87" w:lineRule="exact"/>
        <w:rPr>
          <w:rFonts w:ascii="Arial" w:cs="Arial" w:eastAsia="Arial" w:hAnsi="Arial"/>
          <w:sz w:val="22"/>
          <w:szCs w:val="22"/>
          <w:color w:val="auto"/>
        </w:rPr>
      </w:pPr>
    </w:p>
    <w:p>
      <w:pPr>
        <w:ind w:right="220" w:firstLine="872"/>
        <w:spacing w:after="0" w:line="238" w:lineRule="auto"/>
        <w:tabs>
          <w:tab w:leader="none" w:pos="175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spacing w:after="0"/>
        <w:tabs>
          <w:tab w:leader="none" w:pos="19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PERFORMANCE-BASED AWARDS TO COVERED EMPLOYEES</w:t>
      </w:r>
    </w:p>
    <w:p>
      <w:pPr>
        <w:spacing w:after="0" w:line="207" w:lineRule="exact"/>
        <w:rPr>
          <w:sz w:val="20"/>
          <w:szCs w:val="20"/>
          <w:color w:val="auto"/>
        </w:rPr>
      </w:pPr>
    </w:p>
    <w:p>
      <w:pPr>
        <w:jc w:val="both"/>
        <w:ind w:right="100" w:firstLine="872"/>
        <w:spacing w:after="0" w:line="270" w:lineRule="auto"/>
        <w:tabs>
          <w:tab w:leader="none" w:pos="1751"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Performance-Based Awards</w:t>
      </w:r>
      <w:r>
        <w:rPr>
          <w:rFonts w:ascii="Arial" w:cs="Arial" w:eastAsia="Arial" w:hAnsi="Arial"/>
          <w:sz w:val="19"/>
          <w:szCs w:val="19"/>
          <w:color w:val="auto"/>
        </w:rPr>
        <w:t>. The Administrator may grant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w:t>
      </w:r>
    </w:p>
    <w:p>
      <w:pPr>
        <w:spacing w:after="0" w:line="4" w:lineRule="exact"/>
        <w:rPr>
          <w:rFonts w:ascii="Arial" w:cs="Arial" w:eastAsia="Arial" w:hAnsi="Arial"/>
          <w:sz w:val="19"/>
          <w:szCs w:val="19"/>
          <w:color w:val="auto"/>
        </w:rPr>
      </w:pPr>
    </w:p>
    <w:p>
      <w:pPr>
        <w:ind w:right="540"/>
        <w:spacing w:after="0" w:line="234" w:lineRule="auto"/>
        <w:rPr>
          <w:rFonts w:ascii="Arial" w:cs="Arial" w:eastAsia="Arial" w:hAnsi="Arial"/>
          <w:sz w:val="19"/>
          <w:szCs w:val="19"/>
          <w:color w:val="auto"/>
        </w:rPr>
      </w:pPr>
      <w:r>
        <w:rPr>
          <w:rFonts w:ascii="Arial" w:cs="Arial" w:eastAsia="Arial" w:hAnsi="Arial"/>
          <w:sz w:val="22"/>
          <w:szCs w:val="22"/>
          <w:color w:val="auto"/>
        </w:rPr>
        <w:t>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187" w:lineRule="exact"/>
        <w:rPr>
          <w:rFonts w:ascii="Arial" w:cs="Arial" w:eastAsia="Arial" w:hAnsi="Arial"/>
          <w:sz w:val="19"/>
          <w:szCs w:val="19"/>
          <w:color w:val="auto"/>
        </w:rPr>
      </w:pPr>
    </w:p>
    <w:p>
      <w:pPr>
        <w:ind w:right="100" w:firstLine="872"/>
        <w:spacing w:after="0" w:line="274" w:lineRule="auto"/>
        <w:tabs>
          <w:tab w:leader="none" w:pos="176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Grant of Performance-Based Awards</w:t>
      </w:r>
      <w:r>
        <w:rPr>
          <w:rFonts w:ascii="Arial" w:cs="Arial" w:eastAsia="Arial" w:hAnsi="Arial"/>
          <w:sz w:val="19"/>
          <w:szCs w:val="19"/>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58" w:lineRule="exact"/>
        <w:rPr>
          <w:rFonts w:ascii="Arial" w:cs="Arial" w:eastAsia="Arial" w:hAnsi="Arial"/>
          <w:sz w:val="19"/>
          <w:szCs w:val="19"/>
          <w:color w:val="auto"/>
        </w:rPr>
      </w:pPr>
    </w:p>
    <w:p>
      <w:pPr>
        <w:ind w:firstLine="872"/>
        <w:spacing w:after="0" w:line="248" w:lineRule="auto"/>
        <w:tabs>
          <w:tab w:leader="none" w:pos="1751"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Payment of Performance-Based Awards</w:t>
      </w:r>
      <w:r>
        <w:rPr>
          <w:rFonts w:ascii="Arial" w:cs="Arial" w:eastAsia="Arial" w:hAnsi="Arial"/>
          <w:sz w:val="21"/>
          <w:szCs w:val="21"/>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76" w:lineRule="exact"/>
        <w:rPr>
          <w:rFonts w:ascii="Arial" w:cs="Arial" w:eastAsia="Arial" w:hAnsi="Arial"/>
          <w:sz w:val="21"/>
          <w:szCs w:val="21"/>
          <w:color w:val="auto"/>
        </w:rPr>
      </w:pPr>
    </w:p>
    <w:p>
      <w:pPr>
        <w:jc w:val="both"/>
        <w:ind w:firstLine="872"/>
        <w:spacing w:after="0" w:line="257" w:lineRule="auto"/>
        <w:tabs>
          <w:tab w:leader="none" w:pos="1763"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Maximum Award Payable</w:t>
      </w:r>
      <w:r>
        <w:rPr>
          <w:rFonts w:ascii="Arial" w:cs="Arial" w:eastAsia="Arial" w:hAnsi="Arial"/>
          <w:sz w:val="21"/>
          <w:szCs w:val="21"/>
          <w:color w:val="auto"/>
        </w:rPr>
        <w:t>. The maximum Performance-Based Award payable to any one Covered Employee under the Plan for a Performance Cycle is 1,000,000 shares of Stock (subject to adjustment as provided in Section 3(c) hereof) or $2,000,000 in the case of a Performance-Based Award that is a Cash-Based Award.</w:t>
      </w:r>
    </w:p>
    <w:p>
      <w:pPr>
        <w:spacing w:after="0" w:line="169"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u w:val="single" w:color="auto"/>
          <w:color w:val="auto"/>
        </w:rPr>
        <w:t>DIVIDEND EQUIVALENT RIGHTS</w:t>
      </w:r>
    </w:p>
    <w:p>
      <w:pPr>
        <w:spacing w:after="0" w:line="206" w:lineRule="exact"/>
        <w:rPr>
          <w:sz w:val="20"/>
          <w:szCs w:val="20"/>
          <w:color w:val="auto"/>
        </w:rPr>
      </w:pPr>
    </w:p>
    <w:p>
      <w:pPr>
        <w:ind w:right="20" w:firstLine="872"/>
        <w:spacing w:after="0" w:line="252" w:lineRule="auto"/>
        <w:tabs>
          <w:tab w:leader="none" w:pos="1751"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Dividend Equivalent Rights</w:t>
      </w:r>
      <w:r>
        <w:rPr>
          <w:rFonts w:ascii="Arial" w:cs="Arial" w:eastAsia="Arial" w:hAnsi="Arial"/>
          <w:sz w:val="21"/>
          <w:szCs w:val="21"/>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ind w:right="220"/>
        <w:spacing w:after="0" w:line="273" w:lineRule="auto"/>
        <w:rPr>
          <w:sz w:val="20"/>
          <w:szCs w:val="20"/>
          <w:color w:val="auto"/>
        </w:rPr>
      </w:pPr>
      <w:r>
        <w:rPr>
          <w:rFonts w:ascii="Arial" w:cs="Arial" w:eastAsia="Arial" w:hAnsi="Arial"/>
          <w:sz w:val="19"/>
          <w:szCs w:val="19"/>
          <w:color w:val="auto"/>
        </w:rPr>
        <w:t>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61" w:lineRule="exact"/>
        <w:rPr>
          <w:sz w:val="20"/>
          <w:szCs w:val="20"/>
          <w:color w:val="auto"/>
        </w:rPr>
      </w:pPr>
    </w:p>
    <w:p>
      <w:pPr>
        <w:ind w:right="140" w:firstLine="872"/>
        <w:spacing w:after="0" w:line="238" w:lineRule="auto"/>
        <w:tabs>
          <w:tab w:leader="none" w:pos="181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5"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TRANSFERABILITY OF AWARDS</w:t>
      </w:r>
    </w:p>
    <w:p>
      <w:pPr>
        <w:spacing w:after="0" w:line="206" w:lineRule="exact"/>
        <w:rPr>
          <w:sz w:val="20"/>
          <w:szCs w:val="20"/>
          <w:color w:val="auto"/>
        </w:rPr>
      </w:pPr>
    </w:p>
    <w:p>
      <w:pPr>
        <w:ind w:right="100" w:firstLine="872"/>
        <w:spacing w:after="0" w:line="282" w:lineRule="auto"/>
        <w:tabs>
          <w:tab w:leader="none" w:pos="175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7" w:lineRule="exact"/>
        <w:rPr>
          <w:rFonts w:ascii="Arial" w:cs="Arial" w:eastAsia="Arial" w:hAnsi="Arial"/>
          <w:sz w:val="19"/>
          <w:szCs w:val="19"/>
          <w:color w:val="auto"/>
        </w:rPr>
      </w:pPr>
    </w:p>
    <w:p>
      <w:pPr>
        <w:ind w:right="100" w:firstLine="872"/>
        <w:spacing w:after="0" w:line="248" w:lineRule="auto"/>
        <w:tabs>
          <w:tab w:leader="none" w:pos="1763"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Administrator Action</w:t>
      </w:r>
      <w:r>
        <w:rPr>
          <w:rFonts w:ascii="Arial" w:cs="Arial" w:eastAsia="Arial" w:hAnsi="Arial"/>
          <w:sz w:val="21"/>
          <w:szCs w:val="21"/>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6" w:lineRule="exact"/>
        <w:rPr>
          <w:rFonts w:ascii="Arial" w:cs="Arial" w:eastAsia="Arial" w:hAnsi="Arial"/>
          <w:sz w:val="21"/>
          <w:szCs w:val="21"/>
          <w:color w:val="auto"/>
        </w:rPr>
      </w:pPr>
    </w:p>
    <w:p>
      <w:pPr>
        <w:ind w:firstLine="872"/>
        <w:spacing w:after="0" w:line="279" w:lineRule="auto"/>
        <w:tabs>
          <w:tab w:leader="none" w:pos="175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Family Member</w:t>
      </w:r>
      <w:r>
        <w:rPr>
          <w:rFonts w:ascii="Arial" w:cs="Arial" w:eastAsia="Arial" w:hAnsi="Arial"/>
          <w:sz w:val="19"/>
          <w:szCs w:val="19"/>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7" w:name="page118"/>
    <w:bookmarkEnd w:id="117"/>
    <w:p>
      <w:pPr>
        <w:ind w:right="80" w:firstLine="872"/>
        <w:spacing w:after="0" w:line="282" w:lineRule="auto"/>
        <w:tabs>
          <w:tab w:leader="none" w:pos="1763"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8"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21"/>
          <w:szCs w:val="21"/>
          <w:u w:val="single" w:color="auto"/>
          <w:color w:val="auto"/>
        </w:rPr>
        <w:t>TAX WITHHOLDING</w:t>
      </w:r>
    </w:p>
    <w:p>
      <w:pPr>
        <w:spacing w:after="0" w:line="206" w:lineRule="exact"/>
        <w:rPr>
          <w:sz w:val="20"/>
          <w:szCs w:val="20"/>
          <w:color w:val="auto"/>
        </w:rPr>
      </w:pPr>
    </w:p>
    <w:p>
      <w:pPr>
        <w:ind w:firstLine="872"/>
        <w:spacing w:after="0" w:line="277" w:lineRule="auto"/>
        <w:tabs>
          <w:tab w:leader="none" w:pos="175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Payment by Grantee</w:t>
      </w:r>
      <w:r>
        <w:rPr>
          <w:rFonts w:ascii="Arial" w:cs="Arial" w:eastAsia="Arial" w:hAnsi="Arial"/>
          <w:sz w:val="19"/>
          <w:szCs w:val="19"/>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rFonts w:ascii="Arial" w:cs="Arial" w:eastAsia="Arial" w:hAnsi="Arial"/>
          <w:sz w:val="19"/>
          <w:szCs w:val="19"/>
          <w:color w:val="auto"/>
        </w:rPr>
      </w:pPr>
    </w:p>
    <w:p>
      <w:pPr>
        <w:ind w:right="40" w:firstLine="872"/>
        <w:spacing w:after="0" w:line="279" w:lineRule="auto"/>
        <w:tabs>
          <w:tab w:leader="none" w:pos="176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Payment in Stock</w:t>
      </w:r>
      <w:r>
        <w:rPr>
          <w:rFonts w:ascii="Arial" w:cs="Arial" w:eastAsia="Arial" w:hAnsi="Arial"/>
          <w:sz w:val="19"/>
          <w:szCs w:val="19"/>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grantee.</w:t>
      </w:r>
    </w:p>
    <w:p>
      <w:pPr>
        <w:spacing w:after="0" w:line="150"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19"/>
          <w:szCs w:val="19"/>
          <w:u w:val="single" w:color="auto"/>
          <w:color w:val="auto"/>
        </w:rPr>
        <w:t>SECTION 409A AWARDS</w:t>
      </w:r>
    </w:p>
    <w:p>
      <w:pPr>
        <w:spacing w:after="0" w:line="206" w:lineRule="exact"/>
        <w:rPr>
          <w:sz w:val="20"/>
          <w:szCs w:val="20"/>
          <w:color w:val="auto"/>
        </w:rPr>
      </w:pPr>
    </w:p>
    <w:p>
      <w:pPr>
        <w:ind w:right="120" w:firstLine="864"/>
        <w:spacing w:after="0" w:line="275" w:lineRule="auto"/>
        <w:rPr>
          <w:sz w:val="20"/>
          <w:szCs w:val="20"/>
          <w:color w:val="auto"/>
        </w:rPr>
      </w:pPr>
      <w:r>
        <w:rPr>
          <w:rFonts w:ascii="Arial" w:cs="Arial" w:eastAsia="Arial" w:hAnsi="Arial"/>
          <w:sz w:val="19"/>
          <w:szCs w:val="19"/>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tabs>
          <w:tab w:leader="none" w:pos="198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u w:val="single" w:color="auto"/>
          <w:color w:val="auto"/>
        </w:rPr>
        <w:t>TERMINATION OF EMPLOYMENT. TRANSFER, LEAVE OF ABSENCE, ETC.</w:t>
      </w:r>
    </w:p>
    <w:p>
      <w:pPr>
        <w:spacing w:after="0" w:line="207" w:lineRule="exact"/>
        <w:rPr>
          <w:sz w:val="20"/>
          <w:szCs w:val="20"/>
          <w:color w:val="auto"/>
        </w:rPr>
      </w:pPr>
    </w:p>
    <w:p>
      <w:pPr>
        <w:ind w:right="720" w:firstLine="872"/>
        <w:spacing w:after="0" w:line="250" w:lineRule="auto"/>
        <w:tabs>
          <w:tab w:leader="none" w:pos="175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grantee’s employer ceases to be a Subsidiary, the grantee shall be deemed to have terminated employment for the purposes of the Plan.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For purposes of the Plan, the following events shall not be deemed a termination of employment:</w:t>
      </w:r>
    </w:p>
    <w:p>
      <w:pPr>
        <w:spacing w:after="0" w:line="206" w:lineRule="exact"/>
        <w:rPr>
          <w:sz w:val="20"/>
          <w:szCs w:val="20"/>
          <w:color w:val="auto"/>
        </w:rPr>
      </w:pPr>
    </w:p>
    <w:p>
      <w:pPr>
        <w:ind w:right="400" w:firstLine="872"/>
        <w:spacing w:after="0" w:line="250" w:lineRule="auto"/>
        <w:tabs>
          <w:tab w:leader="none" w:pos="1763"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transfer to the employment of the Company from a Subsidiary or from the Company to a Subsidiary, or from one Subsidiary to another; or</w:t>
      </w:r>
    </w:p>
    <w:p>
      <w:pPr>
        <w:spacing w:after="0" w:line="174" w:lineRule="exact"/>
        <w:rPr>
          <w:rFonts w:ascii="Arial" w:cs="Arial" w:eastAsia="Arial" w:hAnsi="Arial"/>
          <w:sz w:val="22"/>
          <w:szCs w:val="22"/>
          <w:color w:val="auto"/>
        </w:rPr>
      </w:pPr>
    </w:p>
    <w:p>
      <w:pPr>
        <w:ind w:firstLine="872"/>
        <w:spacing w:after="0" w:line="257" w:lineRule="auto"/>
        <w:tabs>
          <w:tab w:leader="none" w:pos="1751"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9" w:lineRule="exact"/>
        <w:rPr>
          <w:sz w:val="20"/>
          <w:szCs w:val="20"/>
          <w:color w:val="auto"/>
        </w:rPr>
      </w:pPr>
    </w:p>
    <w:p>
      <w:pPr>
        <w:ind w:right="640" w:firstLine="864"/>
        <w:spacing w:after="0" w:line="274" w:lineRule="auto"/>
        <w:rPr>
          <w:sz w:val="20"/>
          <w:szCs w:val="20"/>
          <w:color w:val="auto"/>
        </w:rPr>
      </w:pPr>
      <w:r>
        <w:rPr>
          <w:rFonts w:ascii="Arial" w:cs="Arial" w:eastAsia="Arial" w:hAnsi="Arial"/>
          <w:sz w:val="21"/>
          <w:szCs w:val="21"/>
          <w:color w:val="auto"/>
        </w:rPr>
        <w:t>Unless the Administrator provides otherwise or as required by law, vesting of Awards granted hereunder shall be suspended during any unpaid leave of absence of such grantee that exceeds a period of seven (7) days.</w:t>
      </w:r>
    </w:p>
    <w:p>
      <w:pPr>
        <w:spacing w:after="0" w:line="151"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u w:val="single" w:color="auto"/>
          <w:color w:val="auto"/>
        </w:rPr>
        <w:t>AMENDMENTS AND TERMINATION</w:t>
      </w:r>
    </w:p>
    <w:p>
      <w:pPr>
        <w:spacing w:after="0" w:line="206" w:lineRule="exact"/>
        <w:rPr>
          <w:sz w:val="20"/>
          <w:szCs w:val="20"/>
          <w:color w:val="auto"/>
        </w:rPr>
      </w:pPr>
    </w:p>
    <w:p>
      <w:pPr>
        <w:ind w:right="40" w:firstLine="864"/>
        <w:spacing w:after="0" w:line="273" w:lineRule="auto"/>
        <w:rPr>
          <w:sz w:val="20"/>
          <w:szCs w:val="20"/>
          <w:color w:val="auto"/>
        </w:rPr>
      </w:pPr>
      <w:r>
        <w:rPr>
          <w:rFonts w:ascii="Arial" w:cs="Arial" w:eastAsia="Arial" w:hAnsi="Arial"/>
          <w:sz w:val="19"/>
          <w:szCs w:val="19"/>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55"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u w:val="single" w:color="auto"/>
          <w:color w:val="auto"/>
        </w:rPr>
        <w:t>STATUS OF PLAN</w:t>
      </w:r>
    </w:p>
    <w:p>
      <w:pPr>
        <w:spacing w:after="0" w:line="206" w:lineRule="exact"/>
        <w:rPr>
          <w:sz w:val="20"/>
          <w:szCs w:val="20"/>
          <w:color w:val="auto"/>
        </w:rPr>
      </w:pPr>
    </w:p>
    <w:p>
      <w:pPr>
        <w:ind w:right="100" w:firstLine="864"/>
        <w:spacing w:after="0" w:line="248" w:lineRule="auto"/>
        <w:rPr>
          <w:sz w:val="20"/>
          <w:szCs w:val="20"/>
          <w:color w:val="auto"/>
        </w:rPr>
      </w:pPr>
      <w:r>
        <w:rPr>
          <w:rFonts w:ascii="Arial" w:cs="Arial" w:eastAsia="Arial" w:hAnsi="Arial"/>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tabs>
          <w:tab w:leader="none" w:pos="198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19"/>
          <w:szCs w:val="19"/>
          <w:u w:val="single" w:color="auto"/>
          <w:color w:val="auto"/>
        </w:rPr>
        <w:t>GENERAL PROVISIONS</w:t>
      </w:r>
    </w:p>
    <w:p>
      <w:pPr>
        <w:spacing w:after="0" w:line="207" w:lineRule="exact"/>
        <w:rPr>
          <w:sz w:val="20"/>
          <w:szCs w:val="20"/>
          <w:color w:val="auto"/>
        </w:rPr>
      </w:pPr>
    </w:p>
    <w:p>
      <w:pPr>
        <w:ind w:right="20" w:firstLine="872"/>
        <w:spacing w:after="0" w:line="328" w:lineRule="auto"/>
        <w:tabs>
          <w:tab w:leader="none" w:pos="175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 Distribution</w:t>
      </w:r>
      <w:r>
        <w:rPr>
          <w:rFonts w:ascii="Arial" w:cs="Arial" w:eastAsia="Arial" w:hAnsi="Arial"/>
          <w:sz w:val="19"/>
          <w:szCs w:val="19"/>
          <w:color w:val="auto"/>
        </w:rPr>
        <w:t>. The Administrator may require each person acquiring Stock pursuant to an Award to represent to and agree with the Company in writing that such person is acquiring the shares without a view to distribution thereof.</w:t>
      </w:r>
    </w:p>
    <w:p>
      <w:pPr>
        <w:spacing w:after="0" w:line="104" w:lineRule="exact"/>
        <w:rPr>
          <w:rFonts w:ascii="Arial" w:cs="Arial" w:eastAsia="Arial" w:hAnsi="Arial"/>
          <w:sz w:val="19"/>
          <w:szCs w:val="19"/>
          <w:color w:val="auto"/>
        </w:rPr>
      </w:pPr>
    </w:p>
    <w:p>
      <w:pPr>
        <w:ind w:firstLine="872"/>
        <w:spacing w:after="0" w:line="270" w:lineRule="auto"/>
        <w:tabs>
          <w:tab w:leader="none" w:pos="176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62" w:lineRule="exact"/>
        <w:rPr>
          <w:rFonts w:ascii="Arial" w:cs="Arial" w:eastAsia="Arial" w:hAnsi="Arial"/>
          <w:sz w:val="19"/>
          <w:szCs w:val="19"/>
          <w:color w:val="auto"/>
        </w:rPr>
      </w:pPr>
    </w:p>
    <w:p>
      <w:pPr>
        <w:ind w:right="80" w:firstLine="872"/>
        <w:spacing w:after="0" w:line="297" w:lineRule="auto"/>
        <w:tabs>
          <w:tab w:leader="none" w:pos="175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Stockholder Rights</w:t>
      </w:r>
      <w:r>
        <w:rPr>
          <w:rFonts w:ascii="Arial" w:cs="Arial" w:eastAsia="Arial" w:hAnsi="Arial"/>
          <w:sz w:val="19"/>
          <w:szCs w:val="19"/>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33" w:lineRule="exact"/>
        <w:rPr>
          <w:rFonts w:ascii="Arial" w:cs="Arial" w:eastAsia="Arial" w:hAnsi="Arial"/>
          <w:sz w:val="19"/>
          <w:szCs w:val="19"/>
          <w:color w:val="auto"/>
        </w:rPr>
      </w:pPr>
    </w:p>
    <w:p>
      <w:pPr>
        <w:jc w:val="both"/>
        <w:ind w:right="220" w:firstLine="872"/>
        <w:spacing w:after="0" w:line="287" w:lineRule="auto"/>
        <w:tabs>
          <w:tab w:leader="none" w:pos="176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Other Compensation Arrangements; No Employment Rights</w:t>
      </w:r>
      <w:r>
        <w:rPr>
          <w:rFonts w:ascii="Arial" w:cs="Arial" w:eastAsia="Arial" w:hAnsi="Arial"/>
          <w:sz w:val="19"/>
          <w:szCs w:val="19"/>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ind w:right="680" w:firstLine="872"/>
        <w:spacing w:after="0" w:line="251" w:lineRule="auto"/>
        <w:tabs>
          <w:tab w:leader="none" w:pos="175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Option exercises and other Awards under the Plan shall be subject to the Company’s insider trading policies and procedures, as in effect from time to time.</w:t>
      </w:r>
    </w:p>
    <w:p>
      <w:pPr>
        <w:spacing w:after="0" w:line="173" w:lineRule="exact"/>
        <w:rPr>
          <w:rFonts w:ascii="Arial" w:cs="Arial" w:eastAsia="Arial" w:hAnsi="Arial"/>
          <w:sz w:val="22"/>
          <w:szCs w:val="22"/>
          <w:color w:val="auto"/>
        </w:rPr>
      </w:pPr>
    </w:p>
    <w:p>
      <w:pPr>
        <w:ind w:right="520" w:firstLine="872"/>
        <w:spacing w:after="0" w:line="250" w:lineRule="auto"/>
        <w:tabs>
          <w:tab w:leader="none" w:pos="1727"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Awards under the Plan shall be subject to the Company’s clawback policy, as may be adopted and as in effect from time to time.</w:t>
      </w:r>
    </w:p>
    <w:p>
      <w:pPr>
        <w:spacing w:after="0" w:line="175"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EFFECTIVE DATE OF PLAN</w:t>
      </w:r>
    </w:p>
    <w:p>
      <w:pPr>
        <w:spacing w:after="0" w:line="206"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7"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1"/>
          <w:szCs w:val="21"/>
          <w:u w:val="single" w:color="auto"/>
          <w:color w:val="auto"/>
        </w:rPr>
        <w:t>GOVERNING LAW</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This Plan and all Awards and actions taken thereunder shall be governed by, and construed in accordance with, the laws of the State of Delaware, applied without regard to conflict of law principles.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APPROVED BY BOARD OF DIRECTORS: September 25, 2014</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DATE APPROVED BY STOCKHOLDERS: September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1" w:name="page122"/>
    <w:bookmarkEnd w:id="121"/>
    <w:p>
      <w:pPr>
        <w:jc w:val="center"/>
        <w:ind w:left="2480" w:right="2480"/>
        <w:spacing w:after="0" w:line="265" w:lineRule="auto"/>
        <w:rPr>
          <w:sz w:val="20"/>
          <w:szCs w:val="20"/>
          <w:color w:val="auto"/>
        </w:rPr>
      </w:pPr>
      <w:r>
        <w:rPr>
          <w:rFonts w:ascii="Arial" w:cs="Arial" w:eastAsia="Arial" w:hAnsi="Arial"/>
          <w:sz w:val="25"/>
          <w:szCs w:val="25"/>
          <w:b w:val="1"/>
          <w:bCs w:val="1"/>
          <w:color w:val="auto"/>
        </w:rPr>
        <w:t>GLOBAL INCENTIVE STOCK OPTION AGREEMENT UNDER THE HUBSPOT, INC. 2014 STOCK OPTION AND INCENTIVE PLAN</w:t>
      </w:r>
    </w:p>
    <w:p>
      <w:pPr>
        <w:sectPr>
          <w:pgSz w:w="11900" w:h="16838" w:orient="portrait"/>
          <w:cols w:equalWidth="0" w:num="1">
            <w:col w:w="11240"/>
          </w:cols>
          <w:pgMar w:left="320" w:top="549" w:right="339" w:bottom="1440" w:gutter="0" w:footer="0" w:header="0"/>
        </w:sect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&lt;Participant Name&gt;</w:t>
      </w:r>
    </w:p>
    <w:p>
      <w:pPr>
        <w:spacing w:after="0" w:line="200" w:lineRule="exact"/>
        <w:rPr>
          <w:sz w:val="20"/>
          <w:szCs w:val="20"/>
          <w:color w:val="auto"/>
        </w:rPr>
      </w:pPr>
    </w:p>
    <w:p>
      <w:pPr>
        <w:sectPr>
          <w:pgSz w:w="11900" w:h="16838" w:orient="portrait"/>
          <w:cols w:equalWidth="0" w:num="2">
            <w:col w:w="4020" w:space="720"/>
            <w:col w:w="6500"/>
          </w:cols>
          <w:pgMar w:left="320" w:top="54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No. of Option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4200" w:space="720"/>
            <w:col w:w="6320"/>
          </w:cols>
          <w:pgMar w:left="320" w:top="54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Option Exercise Price per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 &lt;Grant Date FMV&gt;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[FMV on Grant Date (110% of FMV if a 10% owner)]</w:t>
      </w:r>
    </w:p>
    <w:p>
      <w:pPr>
        <w:spacing w:after="0" w:line="200" w:lineRule="exact"/>
        <w:rPr>
          <w:sz w:val="20"/>
          <w:szCs w:val="20"/>
          <w:color w:val="auto"/>
        </w:rPr>
      </w:pPr>
    </w:p>
    <w:p>
      <w:pPr>
        <w:sectPr>
          <w:pgSz w:w="11900" w:h="16838" w:orient="portrait"/>
          <w:cols w:equalWidth="0" w:num="2">
            <w:col w:w="3320" w:space="720"/>
            <w:col w:w="7200"/>
          </w:cols>
          <w:pgMar w:left="320" w:top="549"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3380" w:space="720"/>
            <w:col w:w="7140"/>
          </w:cols>
          <w:pgMar w:left="320" w:top="54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Quantities)&gt;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w:t>
      </w:r>
    </w:p>
    <w:p>
      <w:pPr>
        <w:spacing w:after="0" w:line="483" w:lineRule="exact"/>
        <w:rPr>
          <w:sz w:val="20"/>
          <w:szCs w:val="20"/>
          <w:color w:val="auto"/>
        </w:rPr>
      </w:pPr>
    </w:p>
    <w:p>
      <w:pPr>
        <w:sectPr>
          <w:pgSz w:w="11900" w:h="16838" w:orient="portrait"/>
          <w:cols w:equalWidth="0" w:num="2">
            <w:col w:w="4960" w:space="720"/>
            <w:col w:w="5560"/>
          </w:cols>
          <w:pgMar w:left="320" w:top="549" w:right="339" w:bottom="1440" w:gutter="0" w:footer="0" w:header="0"/>
          <w:type w:val="continuous"/>
        </w:sect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&lt;Expiration Date&gt;</w:t>
      </w:r>
    </w:p>
    <w:p>
      <w:pPr>
        <w:spacing w:after="0" w:line="46" w:lineRule="exact"/>
        <w:rPr>
          <w:sz w:val="20"/>
          <w:szCs w:val="20"/>
          <w:color w:val="auto"/>
        </w:rPr>
      </w:pPr>
    </w:p>
    <w:p>
      <w:pPr>
        <w:sectPr>
          <w:pgSz w:w="11900" w:h="16838" w:orient="portrait"/>
          <w:cols w:equalWidth="0" w:num="2">
            <w:col w:w="3740" w:space="720"/>
            <w:col w:w="6780"/>
          </w:cols>
          <w:pgMar w:left="320" w:top="549" w:right="339" w:bottom="1440" w:gutter="0" w:footer="0" w:header="0"/>
          <w:type w:val="continuous"/>
        </w:sectPr>
      </w:pPr>
    </w:p>
    <w:p>
      <w:pPr>
        <w:ind w:left="2680"/>
        <w:spacing w:after="0"/>
        <w:rPr>
          <w:sz w:val="20"/>
          <w:szCs w:val="20"/>
          <w:color w:val="auto"/>
        </w:rPr>
      </w:pPr>
      <w:r>
        <w:rPr>
          <w:rFonts w:ascii="Arial" w:cs="Arial" w:eastAsia="Arial" w:hAnsi="Arial"/>
          <w:sz w:val="22"/>
          <w:szCs w:val="22"/>
          <w:b w:val="1"/>
          <w:bCs w:val="1"/>
          <w:color w:val="auto"/>
        </w:rPr>
        <w:t>[up to 10 years (5 if a 10% owner)]</w:t>
      </w:r>
    </w:p>
    <w:p>
      <w:pPr>
        <w:spacing w:after="0" w:line="200" w:lineRule="exact"/>
        <w:rPr>
          <w:sz w:val="20"/>
          <w:szCs w:val="20"/>
          <w:color w:val="auto"/>
        </w:rPr>
      </w:pPr>
    </w:p>
    <w:p>
      <w:pPr>
        <w:spacing w:after="0" w:line="20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Pursuant to the HubSpot, Inc. 2014 Stock Option and Incentive Plan as amended through the date hereof (the “Plan”), and this Global Incentive Stock Option Award Agreement, including any additional terms and conditions for the Optionee’s country set forth in the appendix attached hereto (the “Appendix” and together with the Global Incentive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860" w:hanging="784"/>
        <w:spacing w:after="0" w:line="272" w:lineRule="auto"/>
        <w:tabs>
          <w:tab w:leader="none" w:pos="8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w:t>
      </w:r>
      <w:r>
        <w:rPr>
          <w:rFonts w:ascii="Arial" w:cs="Arial" w:eastAsia="Arial" w:hAnsi="Arial"/>
          <w:sz w:val="19"/>
          <w:szCs w:val="19"/>
          <w:u w:val="single" w:color="auto"/>
          <w:color w:val="auto"/>
        </w:rPr>
        <w:t xml:space="preserve"> </w:t>
      </w:r>
      <w:r>
        <w:rPr>
          <w:rFonts w:ascii="Arial" w:cs="Arial" w:eastAsia="Arial" w:hAnsi="Arial"/>
          <w:sz w:val="19"/>
          <w:szCs w:val="19"/>
          <w:color w:val="auto"/>
        </w:rPr>
        <w:t>vested and exercisable. Except as set forth below, and subject to the discretion of the Administrator (as defined in Section 2 of the Plan) to accelerate the vesting schedule hereunder, 25 percent of the Option Shares shall vest and become exercisable on the first anniversary of the Vesting Commencement Date; provided that the Optionee remains an employee of the Company or a Subsidiary on such date. Thereafter, the remaining 75 percent of the Option Shares shall vest and become exercisable in 12 equal installments every three months following the first anniversary of the Vesting Commencement Date, provided the Optionee remains an employee of the Company or a Subsidiary on each such date. For the avoidance of doubt, employment during only a period prior to a vesting date (but where employment has terminated prior to the vesting date) does not entitle the Optionee to vest in a pro-rata portion of the Stock Option on such date.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22" w:name="page123"/>
    <w:bookmarkEnd w:id="122"/>
    <w:p>
      <w:pPr>
        <w:jc w:val="both"/>
        <w:ind w:left="860" w:firstLine="798"/>
        <w:spacing w:after="0"/>
        <w:rPr>
          <w:sz w:val="20"/>
          <w:szCs w:val="20"/>
          <w:color w:val="auto"/>
        </w:rPr>
      </w:pPr>
      <w:r>
        <w:rPr>
          <w:rFonts w:ascii="Arial" w:cs="Arial" w:eastAsia="Arial" w:hAnsi="Arial"/>
          <w:sz w:val="22"/>
          <w:szCs w:val="22"/>
          <w:color w:val="auto"/>
        </w:rPr>
        <w:t>to the close of business on the Expiration Date, subject to the provisions hereof and of the Plan. This Agreement is subject to the terms and conditions of any policies of the Company regarding vesting during leaves of absence.</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43" w:lineRule="auto"/>
        <w:tabs>
          <w:tab w:leader="none" w:pos="358"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7" w:lineRule="exact"/>
        <w:rPr>
          <w:sz w:val="20"/>
          <w:szCs w:val="20"/>
          <w:color w:val="auto"/>
        </w:rPr>
      </w:pPr>
    </w:p>
    <w:p>
      <w:pPr>
        <w:ind w:left="1740" w:hanging="868"/>
        <w:spacing w:after="0"/>
        <w:tabs>
          <w:tab w:leader="none" w:pos="17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line="238" w:lineRule="auto"/>
        <w:tabs>
          <w:tab w:leader="none" w:pos="2615"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Payment of the purchase price for the Option Shares may be made by one or more of the following methods: (i) in cash, by certified or bank check or other instrument acceptable to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3" w:name="page124"/>
    <w:bookmarkEnd w:id="123"/>
    <w:p>
      <w:pPr>
        <w:jc w:val="both"/>
        <w:spacing w:after="0" w:line="273" w:lineRule="auto"/>
        <w:rPr>
          <w:sz w:val="20"/>
          <w:szCs w:val="20"/>
          <w:color w:val="auto"/>
        </w:rPr>
      </w:pPr>
      <w:r>
        <w:rPr>
          <w:rFonts w:ascii="Arial" w:cs="Arial" w:eastAsia="Arial" w:hAnsi="Arial"/>
          <w:sz w:val="19"/>
          <w:szCs w:val="19"/>
          <w:color w:val="auto"/>
        </w:rPr>
        <w:t>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5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jc w:val="both"/>
        <w:ind w:firstLine="1735"/>
        <w:spacing w:after="0" w:line="245" w:lineRule="auto"/>
        <w:tabs>
          <w:tab w:leader="none" w:pos="2627"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4" w:lineRule="exact"/>
        <w:rPr>
          <w:rFonts w:ascii="Arial" w:cs="Arial" w:eastAsia="Arial" w:hAnsi="Arial"/>
          <w:sz w:val="21"/>
          <w:szCs w:val="21"/>
          <w:color w:val="auto"/>
        </w:rPr>
      </w:pPr>
    </w:p>
    <w:p>
      <w:pPr>
        <w:jc w:val="both"/>
        <w:ind w:firstLine="1735"/>
        <w:spacing w:after="0"/>
        <w:tabs>
          <w:tab w:leader="none" w:pos="2615"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20" w:firstLine="1735"/>
        <w:spacing w:after="0" w:line="250" w:lineRule="auto"/>
        <w:tabs>
          <w:tab w:leader="none" w:pos="2627" w:val="left"/>
        </w:tabs>
        <w:numPr>
          <w:ilvl w:val="1"/>
          <w:numId w:val="65"/>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4" w:name="page125"/>
    <w:bookmarkEnd w:id="124"/>
    <w:p>
      <w:pPr>
        <w:ind w:right="280" w:firstLine="872"/>
        <w:spacing w:after="0" w:line="328" w:lineRule="auto"/>
        <w:tabs>
          <w:tab w:leader="none" w:pos="172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Optionee’s employment by the Company or a Subsidiary is terminated, the period within which to exercise the Stock Option may be subject to earlier termination as set forth below.</w:t>
      </w:r>
    </w:p>
    <w:p>
      <w:pPr>
        <w:spacing w:after="0" w:line="104" w:lineRule="exact"/>
        <w:rPr>
          <w:rFonts w:ascii="Arial" w:cs="Arial" w:eastAsia="Arial" w:hAnsi="Arial"/>
          <w:sz w:val="19"/>
          <w:szCs w:val="19"/>
          <w:color w:val="auto"/>
        </w:rPr>
      </w:pPr>
    </w:p>
    <w:p>
      <w:pPr>
        <w:jc w:val="both"/>
        <w:ind w:firstLine="1735"/>
        <w:spacing w:after="0" w:line="238" w:lineRule="auto"/>
        <w:tabs>
          <w:tab w:leader="none" w:pos="2615"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4" w:lineRule="exact"/>
        <w:rPr>
          <w:rFonts w:ascii="Arial" w:cs="Arial" w:eastAsia="Arial" w:hAnsi="Arial"/>
          <w:sz w:val="22"/>
          <w:szCs w:val="22"/>
          <w:color w:val="auto"/>
        </w:rPr>
      </w:pPr>
    </w:p>
    <w:p>
      <w:pPr>
        <w:jc w:val="both"/>
        <w:ind w:firstLine="1735"/>
        <w:spacing w:after="0" w:line="249" w:lineRule="auto"/>
        <w:tabs>
          <w:tab w:leader="none" w:pos="2627"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8" w:lineRule="exact"/>
        <w:rPr>
          <w:rFonts w:ascii="Arial" w:cs="Arial" w:eastAsia="Arial" w:hAnsi="Arial"/>
          <w:sz w:val="21"/>
          <w:szCs w:val="21"/>
          <w:color w:val="auto"/>
        </w:rPr>
      </w:pPr>
    </w:p>
    <w:p>
      <w:pPr>
        <w:jc w:val="both"/>
        <w:ind w:firstLine="1735"/>
        <w:spacing w:after="0" w:line="275" w:lineRule="auto"/>
        <w:tabs>
          <w:tab w:leader="none" w:pos="2615"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57" w:lineRule="exact"/>
        <w:rPr>
          <w:rFonts w:ascii="Arial" w:cs="Arial" w:eastAsia="Arial" w:hAnsi="Arial"/>
          <w:sz w:val="19"/>
          <w:szCs w:val="19"/>
          <w:color w:val="auto"/>
        </w:rPr>
      </w:pPr>
    </w:p>
    <w:p>
      <w:pPr>
        <w:jc w:val="both"/>
        <w:ind w:firstLine="1735"/>
        <w:spacing w:after="0" w:line="248" w:lineRule="auto"/>
        <w:tabs>
          <w:tab w:leader="none" w:pos="2627"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77"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175" w:lineRule="exact"/>
        <w:rPr>
          <w:sz w:val="20"/>
          <w:szCs w:val="20"/>
          <w:color w:val="auto"/>
        </w:rPr>
      </w:pPr>
    </w:p>
    <w:p>
      <w:pPr>
        <w:ind w:right="180" w:firstLine="872"/>
        <w:spacing w:after="0"/>
        <w:tabs>
          <w:tab w:leader="none" w:pos="167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in this Agreement shall have the meaning specified in the Plan, unless a different meaning is specified herein.</w:t>
      </w:r>
    </w:p>
    <w:p>
      <w:pPr>
        <w:spacing w:after="0" w:line="206" w:lineRule="exact"/>
        <w:rPr>
          <w:sz w:val="20"/>
          <w:szCs w:val="20"/>
          <w:color w:val="auto"/>
        </w:rPr>
      </w:pPr>
    </w:p>
    <w:p>
      <w:pPr>
        <w:ind w:right="140" w:firstLine="872"/>
        <w:spacing w:after="0" w:line="238" w:lineRule="auto"/>
        <w:tabs>
          <w:tab w:leader="none" w:pos="1728"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5" w:lineRule="exact"/>
        <w:rPr>
          <w:sz w:val="20"/>
          <w:szCs w:val="20"/>
          <w:color w:val="auto"/>
        </w:rPr>
      </w:pPr>
    </w:p>
    <w:p>
      <w:pPr>
        <w:jc w:val="both"/>
        <w:ind w:left="860" w:hanging="784"/>
        <w:spacing w:after="0" w:line="245" w:lineRule="auto"/>
        <w:tabs>
          <w:tab w:leader="none" w:pos="84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1"/>
          <w:szCs w:val="21"/>
          <w:u w:val="single" w:color="auto"/>
          <w:color w:val="auto"/>
        </w:rPr>
        <w:t>Status of the Stock Option</w:t>
      </w:r>
      <w:r>
        <w:rPr>
          <w:rFonts w:ascii="Arial" w:cs="Arial" w:eastAsia="Arial" w:hAnsi="Arial"/>
          <w:sz w:val="21"/>
          <w:szCs w:val="21"/>
          <w:color w:val="auto"/>
        </w:rPr>
        <w:t>. This Stock Option is intended to qualify as an “incentive stock option” under</w:t>
      </w:r>
      <w:r>
        <w:rPr>
          <w:rFonts w:ascii="Arial" w:cs="Arial" w:eastAsia="Arial" w:hAnsi="Arial"/>
          <w:sz w:val="21"/>
          <w:szCs w:val="21"/>
          <w:u w:val="single" w:color="auto"/>
          <w:color w:val="auto"/>
        </w:rPr>
        <w:t xml:space="preserve"> </w:t>
      </w:r>
      <w:r>
        <w:rPr>
          <w:rFonts w:ascii="Arial" w:cs="Arial" w:eastAsia="Arial" w:hAnsi="Arial"/>
          <w:sz w:val="21"/>
          <w:szCs w:val="21"/>
          <w:color w:val="auto"/>
        </w:rPr>
        <w:t>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1"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46" w:lineRule="exact"/>
        <w:tabs>
          <w:tab w:leader="none" w:pos="2615"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Employer. The Optionee further acknowledges that the Company and/or the Employer</w:t>
      </w:r>
    </w:p>
    <w:p>
      <w:pPr>
        <w:spacing w:after="0" w:line="4" w:lineRule="exact"/>
        <w:rPr>
          <w:rFonts w:ascii="Arial" w:cs="Arial" w:eastAsia="Arial" w:hAnsi="Arial"/>
          <w:sz w:val="19"/>
          <w:szCs w:val="19"/>
          <w:color w:val="auto"/>
        </w:rPr>
      </w:pPr>
    </w:p>
    <w:p>
      <w:pPr>
        <w:jc w:val="both"/>
        <w:ind w:firstLine="8"/>
        <w:spacing w:after="0" w:line="273" w:lineRule="auto"/>
        <w:tabs>
          <w:tab w:leader="none" w:pos="274" w:val="left"/>
        </w:tabs>
        <w:numPr>
          <w:ilvl w:val="0"/>
          <w:numId w:val="70"/>
        </w:numPr>
        <w:rPr>
          <w:rFonts w:ascii="Arial" w:cs="Arial" w:eastAsia="Arial" w:hAnsi="Arial"/>
          <w:sz w:val="19"/>
          <w:szCs w:val="19"/>
          <w:color w:val="auto"/>
        </w:rPr>
      </w:pPr>
      <w:r>
        <w:rPr>
          <w:rFonts w:ascii="Arial" w:cs="Arial" w:eastAsia="Arial" w:hAnsi="Arial"/>
          <w:sz w:val="19"/>
          <w:szCs w:val="19"/>
          <w:color w:val="auto"/>
        </w:rPr>
        <w:t>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59" w:lineRule="exact"/>
        <w:rPr>
          <w:rFonts w:ascii="Arial" w:cs="Arial" w:eastAsia="Arial" w:hAnsi="Arial"/>
          <w:sz w:val="19"/>
          <w:szCs w:val="19"/>
          <w:color w:val="auto"/>
        </w:rPr>
      </w:pPr>
    </w:p>
    <w:p>
      <w:pPr>
        <w:jc w:val="both"/>
        <w:ind w:firstLine="1735"/>
        <w:spacing w:after="0" w:line="249" w:lineRule="auto"/>
        <w:tabs>
          <w:tab w:leader="none" w:pos="2627" w:val="left"/>
        </w:tabs>
        <w:numPr>
          <w:ilvl w:val="1"/>
          <w:numId w:val="70"/>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paid to the Optionee by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Company and/or the Employer; (ii) allowing or requiring the Optionee to make a cash payment to cover the Tax-Related Items;</w:t>
      </w:r>
    </w:p>
    <w:p>
      <w:pPr>
        <w:spacing w:after="0" w:line="43" w:lineRule="exact"/>
        <w:rPr>
          <w:sz w:val="20"/>
          <w:szCs w:val="20"/>
          <w:color w:val="auto"/>
        </w:rPr>
      </w:pPr>
    </w:p>
    <w:p>
      <w:pPr>
        <w:jc w:val="both"/>
        <w:ind w:firstLine="8"/>
        <w:spacing w:after="0" w:line="275" w:lineRule="auto"/>
        <w:tabs>
          <w:tab w:leader="none" w:pos="412" w:val="left"/>
        </w:tabs>
        <w:numPr>
          <w:ilvl w:val="0"/>
          <w:numId w:val="71"/>
        </w:numPr>
        <w:rPr>
          <w:rFonts w:ascii="Arial" w:cs="Arial" w:eastAsia="Arial" w:hAnsi="Arial"/>
          <w:sz w:val="19"/>
          <w:szCs w:val="19"/>
          <w:color w:val="auto"/>
        </w:rPr>
      </w:pPr>
      <w:r>
        <w:rPr>
          <w:rFonts w:ascii="Arial" w:cs="Arial" w:eastAsia="Arial" w:hAnsi="Arial"/>
          <w:sz w:val="19"/>
          <w:szCs w:val="19"/>
          <w:color w:val="auto"/>
        </w:rPr>
        <w:t>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153" w:lineRule="exact"/>
        <w:rPr>
          <w:rFonts w:ascii="Arial" w:cs="Arial" w:eastAsia="Arial" w:hAnsi="Arial"/>
          <w:sz w:val="19"/>
          <w:szCs w:val="19"/>
          <w:color w:val="auto"/>
        </w:rPr>
      </w:pPr>
    </w:p>
    <w:p>
      <w:pPr>
        <w:jc w:val="both"/>
        <w:ind w:firstLine="1735"/>
        <w:spacing w:after="0" w:line="274" w:lineRule="auto"/>
        <w:tabs>
          <w:tab w:leader="none" w:pos="2615" w:val="left"/>
        </w:tabs>
        <w:numPr>
          <w:ilvl w:val="1"/>
          <w:numId w:val="71"/>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statutory withholding amounts or other applicable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58" w:lineRule="exact"/>
        <w:rPr>
          <w:rFonts w:ascii="Arial" w:cs="Arial" w:eastAsia="Arial" w:hAnsi="Arial"/>
          <w:sz w:val="19"/>
          <w:szCs w:val="19"/>
          <w:color w:val="auto"/>
        </w:rPr>
      </w:pPr>
    </w:p>
    <w:p>
      <w:pPr>
        <w:jc w:val="both"/>
        <w:ind w:firstLine="1735"/>
        <w:spacing w:after="0" w:line="236" w:lineRule="auto"/>
        <w:tabs>
          <w:tab w:leader="none" w:pos="2627"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sz w:val="20"/>
          <w:szCs w:val="20"/>
          <w:color w:val="auto"/>
        </w:rPr>
      </w:pPr>
    </w:p>
    <w:p>
      <w:pPr>
        <w:jc w:val="both"/>
        <w:ind w:left="860" w:hanging="784"/>
        <w:spacing w:after="0" w:line="236" w:lineRule="auto"/>
        <w:tabs>
          <w:tab w:leader="none" w:pos="84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u w:val="single" w:color="auto"/>
          <w:color w:val="auto"/>
        </w:rPr>
        <w:t>No Obligation to Continue Employment</w:t>
      </w:r>
      <w:r>
        <w:rPr>
          <w:rFonts w:ascii="Arial" w:cs="Arial" w:eastAsia="Arial" w:hAnsi="Arial"/>
          <w:sz w:val="22"/>
          <w:szCs w:val="22"/>
          <w:color w:val="auto"/>
        </w:rPr>
        <w:t>. The grant of this Stock Option shall not be interpreted as forming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87" w:lineRule="exact"/>
        <w:rPr>
          <w:sz w:val="20"/>
          <w:szCs w:val="20"/>
          <w:color w:val="auto"/>
        </w:rPr>
      </w:pPr>
    </w:p>
    <w:p>
      <w:pPr>
        <w:jc w:val="both"/>
        <w:ind w:left="860" w:hanging="784"/>
        <w:spacing w:after="0" w:line="328" w:lineRule="auto"/>
        <w:tabs>
          <w:tab w:leader="none" w:pos="84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w:t>
      </w:r>
      <w:r>
        <w:rPr>
          <w:rFonts w:ascii="Arial" w:cs="Arial" w:eastAsia="Arial" w:hAnsi="Arial"/>
          <w:sz w:val="19"/>
          <w:szCs w:val="19"/>
          <w:u w:val="single" w:color="auto"/>
          <w:color w:val="auto"/>
        </w:rPr>
        <w:t xml:space="preserve"> </w:t>
      </w:r>
      <w:r>
        <w:rPr>
          <w:rFonts w:ascii="Arial" w:cs="Arial" w:eastAsia="Arial" w:hAnsi="Arial"/>
          <w:sz w:val="19"/>
          <w:szCs w:val="19"/>
          <w:color w:val="auto"/>
        </w:rPr>
        <w:t>Option and supersedes all prior agreements and discussions between the parties concerning such subject matter.</w:t>
      </w:r>
    </w:p>
    <w:p>
      <w:pPr>
        <w:spacing w:after="0" w:line="105"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Stock Option, the Optionee acknowledges, understands and agrees that:</w:t>
      </w:r>
    </w:p>
    <w:p>
      <w:pPr>
        <w:spacing w:after="0" w:line="241" w:lineRule="exact"/>
        <w:rPr>
          <w:sz w:val="20"/>
          <w:szCs w:val="20"/>
          <w:color w:val="auto"/>
        </w:rPr>
      </w:pPr>
    </w:p>
    <w:p>
      <w:pPr>
        <w:ind w:firstLine="1735"/>
        <w:spacing w:after="0" w:line="250" w:lineRule="auto"/>
        <w:tabs>
          <w:tab w:leader="none" w:pos="261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7" w:name="page128"/>
    <w:bookmarkEnd w:id="127"/>
    <w:p>
      <w:pPr>
        <w:jc w:val="both"/>
        <w:ind w:firstLine="1735"/>
        <w:spacing w:after="0"/>
        <w:tabs>
          <w:tab w:leader="none" w:pos="2627"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2620" w:hanging="885"/>
        <w:spacing w:after="0"/>
        <w:tabs>
          <w:tab w:leader="none" w:pos="2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decisions with respect to future stock option or other grants, if any, will be at the sole discretion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rFonts w:ascii="Arial" w:cs="Arial" w:eastAsia="Arial" w:hAnsi="Arial"/>
          <w:sz w:val="22"/>
          <w:szCs w:val="22"/>
          <w:color w:val="auto"/>
        </w:rPr>
      </w:pPr>
    </w:p>
    <w:p>
      <w:pPr>
        <w:ind w:firstLine="1735"/>
        <w:spacing w:after="0" w:line="250" w:lineRule="auto"/>
        <w:tabs>
          <w:tab w:leader="none" w:pos="261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1735"/>
        <w:spacing w:after="0"/>
        <w:tabs>
          <w:tab w:leader="none" w:pos="2591" w:val="left"/>
        </w:tabs>
        <w:numPr>
          <w:ilvl w:val="0"/>
          <w:numId w:val="73"/>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shares of Stock subject to this Stock Option, and the income from and value of same, are not granted as consideration for, or in connection with, the service the Optionee may provide as a director of a Subsidiary;</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future value of the Shares subject to this Stock Option is unknown, indeterminable, and cannot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predicted with certainty;</w:t>
      </w:r>
    </w:p>
    <w:p>
      <w:pPr>
        <w:spacing w:after="0" w:line="188" w:lineRule="exact"/>
        <w:rPr>
          <w:rFonts w:ascii="Arial" w:cs="Arial" w:eastAsia="Arial" w:hAnsi="Arial"/>
          <w:sz w:val="19"/>
          <w:szCs w:val="19"/>
          <w:color w:val="auto"/>
        </w:rPr>
      </w:pPr>
    </w:p>
    <w:p>
      <w:pPr>
        <w:ind w:left="2580" w:hanging="845"/>
        <w:spacing w:after="0"/>
        <w:tabs>
          <w:tab w:leader="none" w:pos="25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Shares subject to this Stock Option do not increase in value, this Stock Option will have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value;</w:t>
      </w:r>
    </w:p>
    <w:p>
      <w:pPr>
        <w:spacing w:after="0" w:line="188" w:lineRule="exact"/>
        <w:rPr>
          <w:rFonts w:ascii="Arial" w:cs="Arial" w:eastAsia="Arial" w:hAnsi="Arial"/>
          <w:sz w:val="19"/>
          <w:szCs w:val="19"/>
          <w:color w:val="auto"/>
        </w:rPr>
      </w:pPr>
    </w:p>
    <w:p>
      <w:pPr>
        <w:ind w:firstLine="1735"/>
        <w:spacing w:after="0" w:line="250" w:lineRule="auto"/>
        <w:tabs>
          <w:tab w:leader="none" w:pos="2579"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the Optionee exercises this Stock Option and acquires Shares, the value of such Shares may increase or decrease in value, even below the Option Exercise Price;</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73"/>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employment or other laws in the jurisdiction where the Optionee is employed or the terms of the Optionee’s employment agreement, if any);</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579" w:val="left"/>
        </w:tabs>
        <w:numPr>
          <w:ilvl w:val="0"/>
          <w:numId w:val="73"/>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4" w:lineRule="exact"/>
        <w:rPr>
          <w:rFonts w:ascii="Arial" w:cs="Arial" w:eastAsia="Arial" w:hAnsi="Arial"/>
          <w:sz w:val="22"/>
          <w:szCs w:val="22"/>
          <w:color w:val="auto"/>
        </w:rPr>
      </w:pPr>
    </w:p>
    <w:p>
      <w:pPr>
        <w:ind w:left="2700" w:hanging="965"/>
        <w:spacing w:after="0"/>
        <w:tabs>
          <w:tab w:leader="none" w:pos="27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ind w:left="880" w:firstLine="1586"/>
        <w:spacing w:after="0" w:line="250" w:lineRule="auto"/>
        <w:tabs>
          <w:tab w:leader="none" w:pos="3326"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this Stock Option and any shares of Stock subject to this Stock Option, and the income from and value of same, are not part of normal or expected compensation for any purpose;</w:t>
      </w:r>
    </w:p>
    <w:p>
      <w:pPr>
        <w:spacing w:after="0" w:line="174" w:lineRule="exact"/>
        <w:rPr>
          <w:rFonts w:ascii="Arial" w:cs="Arial" w:eastAsia="Arial" w:hAnsi="Arial"/>
          <w:sz w:val="22"/>
          <w:szCs w:val="22"/>
          <w:color w:val="auto"/>
        </w:rPr>
      </w:pPr>
    </w:p>
    <w:p>
      <w:pPr>
        <w:jc w:val="both"/>
        <w:ind w:left="880" w:firstLine="1586"/>
        <w:spacing w:after="0" w:line="238" w:lineRule="auto"/>
        <w:tabs>
          <w:tab w:leader="none" w:pos="338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5" w:lineRule="exact"/>
        <w:rPr>
          <w:sz w:val="20"/>
          <w:szCs w:val="20"/>
          <w:color w:val="auto"/>
        </w:rPr>
      </w:pPr>
    </w:p>
    <w:p>
      <w:pPr>
        <w:jc w:val="both"/>
        <w:ind w:left="860" w:hanging="784"/>
        <w:spacing w:after="0" w:line="246" w:lineRule="auto"/>
        <w:tabs>
          <w:tab w:leader="none" w:pos="8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 provision of this Global Incentive Stock Option Agreement, if the Optionee</w:t>
      </w:r>
      <w:r>
        <w:rPr>
          <w:rFonts w:ascii="Arial" w:cs="Arial" w:eastAsia="Arial" w:hAnsi="Arial"/>
          <w:sz w:val="21"/>
          <w:szCs w:val="21"/>
          <w:u w:val="single" w:color="auto"/>
          <w:color w:val="auto"/>
        </w:rPr>
        <w:t xml:space="preserve"> </w:t>
      </w:r>
      <w:r>
        <w:rPr>
          <w:rFonts w:ascii="Arial" w:cs="Arial" w:eastAsia="Arial" w:hAnsi="Arial"/>
          <w:sz w:val="21"/>
          <w:szCs w:val="21"/>
          <w:color w:val="auto"/>
        </w:rPr>
        <w:t>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p>
    <w:p>
      <w:pPr>
        <w:spacing w:after="0" w:line="184" w:lineRule="exact"/>
        <w:rPr>
          <w:sz w:val="20"/>
          <w:szCs w:val="20"/>
          <w:color w:val="auto"/>
        </w:rPr>
      </w:pPr>
    </w:p>
    <w:p>
      <w:pPr>
        <w:jc w:val="both"/>
        <w:ind w:left="860" w:hanging="784"/>
        <w:spacing w:after="0" w:line="236" w:lineRule="auto"/>
        <w:tabs>
          <w:tab w:leader="none" w:pos="8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 an advisor who is sufficiently proficient in English, so as to allow the Grantee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87"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shall be mailed or delivered to the Optionee at the address on file with the Company or, in either case, at such other address as one party may subsequently furnish to the other party in writing.</w:t>
      </w:r>
    </w:p>
    <w:p>
      <w:pPr>
        <w:spacing w:after="0" w:line="186"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shall not operate or be construed as a waiver of any other provision of this Agreement, or of any subsequent breach by the Optionee or any other Optionee.</w:t>
      </w:r>
    </w:p>
    <w:p>
      <w:pPr>
        <w:spacing w:after="0" w:line="186" w:lineRule="exact"/>
        <w:rPr>
          <w:sz w:val="20"/>
          <w:szCs w:val="20"/>
          <w:color w:val="auto"/>
        </w:rPr>
      </w:pPr>
    </w:p>
    <w:p>
      <w:pPr>
        <w:jc w:val="both"/>
        <w:ind w:left="860" w:right="20" w:hanging="784"/>
        <w:spacing w:after="0" w:line="250" w:lineRule="auto"/>
        <w:tabs>
          <w:tab w:leader="none" w:pos="8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Delaware, applied without regard to conflict of law principles.</w:t>
      </w:r>
    </w:p>
    <w:p>
      <w:pPr>
        <w:spacing w:after="0" w:line="175" w:lineRule="exact"/>
        <w:rPr>
          <w:sz w:val="20"/>
          <w:szCs w:val="20"/>
          <w:color w:val="auto"/>
        </w:rPr>
      </w:pPr>
    </w:p>
    <w:p>
      <w:pPr>
        <w:jc w:val="both"/>
        <w:ind w:left="860" w:hanging="784"/>
        <w:spacing w:after="0" w:line="236" w:lineRule="auto"/>
        <w:tabs>
          <w:tab w:leader="none" w:pos="8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u w:val="single" w:color="auto"/>
          <w:color w:val="auto"/>
        </w:rPr>
        <w:t>Venue</w:t>
      </w:r>
      <w:r>
        <w:rPr>
          <w:rFonts w:ascii="Arial" w:cs="Arial" w:eastAsia="Arial" w:hAnsi="Arial"/>
          <w:sz w:val="22"/>
          <w:szCs w:val="22"/>
          <w:color w:val="auto"/>
        </w:rPr>
        <w:t>. For purposes of litigating any dispute that arises directly or indirectly from the relationship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87" w:lineRule="exact"/>
        <w:rPr>
          <w:sz w:val="20"/>
          <w:szCs w:val="20"/>
          <w:color w:val="auto"/>
        </w:rPr>
      </w:pPr>
    </w:p>
    <w:p>
      <w:pPr>
        <w:jc w:val="both"/>
        <w:ind w:left="860" w:hanging="784"/>
        <w:spacing w:after="0"/>
        <w:tabs>
          <w:tab w:leader="none" w:pos="8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w:t>
      </w:r>
      <w:r>
        <w:rPr>
          <w:rFonts w:ascii="Arial" w:cs="Arial" w:eastAsia="Arial" w:hAnsi="Arial"/>
          <w:sz w:val="22"/>
          <w:szCs w:val="22"/>
          <w:u w:val="single" w:color="auto"/>
          <w:color w:val="auto"/>
        </w:rPr>
        <w:t xml:space="preserve"> </w:t>
      </w:r>
      <w:r>
        <w:rPr>
          <w:rFonts w:ascii="Arial" w:cs="Arial" w:eastAsia="Arial" w:hAnsi="Arial"/>
          <w:sz w:val="22"/>
          <w:szCs w:val="22"/>
          <w:color w:val="auto"/>
        </w:rPr>
        <w:t>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both"/>
        <w:ind w:left="860" w:hanging="784"/>
        <w:spacing w:after="0" w:line="252" w:lineRule="auto"/>
        <w:tabs>
          <w:tab w:leader="none" w:pos="8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this</w:t>
      </w:r>
      <w:r>
        <w:rPr>
          <w:rFonts w:ascii="Arial" w:cs="Arial" w:eastAsia="Arial" w:hAnsi="Arial"/>
          <w:sz w:val="21"/>
          <w:szCs w:val="21"/>
          <w:u w:val="single" w:color="auto"/>
          <w:color w:val="auto"/>
        </w:rPr>
        <w:t xml:space="preserve"> </w:t>
      </w:r>
      <w:r>
        <w:rPr>
          <w:rFonts w:ascii="Arial" w:cs="Arial" w:eastAsia="Arial" w:hAnsi="Arial"/>
          <w:sz w:val="21"/>
          <w:szCs w:val="21"/>
          <w:color w:val="auto"/>
        </w:rPr>
        <w:t>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74" w:lineRule="exact"/>
        <w:rPr>
          <w:sz w:val="20"/>
          <w:szCs w:val="20"/>
          <w:color w:val="auto"/>
        </w:rPr>
      </w:pPr>
    </w:p>
    <w:p>
      <w:pPr>
        <w:jc w:val="both"/>
        <w:ind w:left="860" w:hanging="784"/>
        <w:spacing w:after="0" w:line="287" w:lineRule="auto"/>
        <w:tabs>
          <w:tab w:leader="none" w:pos="8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u w:val="single" w:color="auto"/>
          <w:color w:val="auto"/>
        </w:rPr>
        <w:t>Electronic Delivery and Acceptance of Documents</w:t>
      </w:r>
      <w:r>
        <w:rPr>
          <w:rFonts w:ascii="Arial" w:cs="Arial" w:eastAsia="Arial" w:hAnsi="Arial"/>
          <w:sz w:val="19"/>
          <w:szCs w:val="19"/>
          <w:color w:val="auto"/>
        </w:rPr>
        <w:t>. The Company may, in its sole discretion, decide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43" w:lineRule="exact"/>
        <w:rPr>
          <w:sz w:val="20"/>
          <w:szCs w:val="20"/>
          <w:color w:val="auto"/>
        </w:rPr>
      </w:pPr>
    </w:p>
    <w:p>
      <w:pPr>
        <w:jc w:val="both"/>
        <w:ind w:left="860" w:hanging="784"/>
        <w:spacing w:after="0" w:line="272" w:lineRule="auto"/>
        <w:tabs>
          <w:tab w:leader="none" w:pos="84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w:t>
      </w:r>
      <w:r>
        <w:rPr>
          <w:rFonts w:ascii="Arial" w:cs="Arial" w:eastAsia="Arial" w:hAnsi="Arial"/>
          <w:sz w:val="19"/>
          <w:szCs w:val="19"/>
          <w:u w:val="single" w:color="auto"/>
          <w:color w:val="auto"/>
        </w:rPr>
        <w:t xml:space="preserve"> </w:t>
      </w:r>
      <w:r>
        <w:rPr>
          <w:rFonts w:ascii="Arial" w:cs="Arial" w:eastAsia="Arial" w:hAnsi="Arial"/>
          <w:sz w:val="19"/>
          <w:szCs w:val="19"/>
          <w:color w:val="auto"/>
        </w:rPr>
        <w:t>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56" w:lineRule="exact"/>
        <w:rPr>
          <w:sz w:val="20"/>
          <w:szCs w:val="20"/>
          <w:color w:val="auto"/>
        </w:rPr>
      </w:pPr>
    </w:p>
    <w:p>
      <w:pPr>
        <w:jc w:val="both"/>
        <w:ind w:left="860" w:hanging="784"/>
        <w:spacing w:after="0" w:line="271" w:lineRule="auto"/>
        <w:tabs>
          <w:tab w:leader="none" w:pos="8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this Stock Option, the Optionee</w:t>
      </w:r>
      <w:r>
        <w:rPr>
          <w:rFonts w:ascii="Arial" w:cs="Arial" w:eastAsia="Arial" w:hAnsi="Arial"/>
          <w:sz w:val="19"/>
          <w:szCs w:val="19"/>
          <w:u w:val="single" w:color="auto"/>
          <w:color w:val="auto"/>
        </w:rPr>
        <w:t xml:space="preserve"> </w:t>
      </w:r>
      <w:r>
        <w:rPr>
          <w:rFonts w:ascii="Arial" w:cs="Arial" w:eastAsia="Arial" w:hAnsi="Arial"/>
          <w:sz w:val="19"/>
          <w:szCs w:val="19"/>
          <w:color w:val="auto"/>
        </w:rPr>
        <w:t>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jc w:val="both"/>
        <w:ind w:left="860" w:hanging="784"/>
        <w:spacing w:after="0" w:line="245" w:lineRule="auto"/>
        <w:tabs>
          <w:tab w:leader="none" w:pos="8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Foreign Asset/Account, Exchange Control and Tax Reporting</w:t>
      </w:r>
      <w:r>
        <w:rPr>
          <w:rFonts w:ascii="Arial" w:cs="Arial" w:eastAsia="Arial" w:hAnsi="Arial"/>
          <w:sz w:val="21"/>
          <w:szCs w:val="21"/>
          <w:color w:val="auto"/>
        </w:rPr>
        <w:t>. Depending on the Optionee’s country,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181" w:lineRule="exact"/>
        <w:rPr>
          <w:sz w:val="20"/>
          <w:szCs w:val="20"/>
          <w:color w:val="auto"/>
        </w:rPr>
      </w:pPr>
    </w:p>
    <w:p>
      <w:pPr>
        <w:ind w:right="100" w:firstLine="872"/>
        <w:spacing w:after="0" w:line="297" w:lineRule="auto"/>
        <w:tabs>
          <w:tab w:leader="none" w:pos="1782"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147955</wp:posOffset>
            </wp:positionV>
            <wp:extent cx="2005965" cy="874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20059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6985</wp:posOffset>
            </wp:positionV>
            <wp:extent cx="3077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ind w:left="5620"/>
        <w:spacing w:after="0"/>
        <w:tabs>
          <w:tab w:leader="none" w:pos="6380" w:val="left"/>
        </w:tabs>
        <w:rPr>
          <w:sz w:val="20"/>
          <w:szCs w:val="20"/>
          <w:color w:val="auto"/>
        </w:rPr>
      </w:pPr>
      <w:r>
        <w:rPr>
          <w:rFonts w:ascii="Arial" w:cs="Arial" w:eastAsia="Arial" w:hAnsi="Arial"/>
          <w:sz w:val="22"/>
          <w:szCs w:val="22"/>
          <w:color w:val="auto"/>
        </w:rPr>
        <w:t>Title:</w:t>
        <w:tab/>
        <w:t>Chief Financial Officer</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20" w:val="left"/>
          <w:tab w:leader="none" w:pos="46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&lt;Acceptance Date&gt;</w:t>
      </w:r>
      <w:r>
        <w:rPr>
          <w:sz w:val="20"/>
          <w:szCs w:val="20"/>
          <w:color w:val="auto"/>
        </w:rPr>
        <w:tab/>
      </w:r>
      <w:r>
        <w:rPr>
          <w:rFonts w:ascii="Arial" w:cs="Arial" w:eastAsia="Arial" w:hAnsi="Arial"/>
          <w:sz w:val="19"/>
          <w:szCs w:val="19"/>
          <w:color w:val="auto"/>
        </w:rPr>
        <w:t>&lt;Electronic Signature&gt;</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11" w:lineRule="exact"/>
        <w:rPr>
          <w:sz w:val="20"/>
          <w:szCs w:val="20"/>
          <w:color w:val="auto"/>
        </w:rPr>
      </w:pPr>
    </w:p>
    <w:p>
      <w:pPr>
        <w:jc w:val="center"/>
        <w:spacing w:after="0" w:line="259" w:lineRule="auto"/>
        <w:rPr>
          <w:sz w:val="20"/>
          <w:szCs w:val="20"/>
          <w:color w:val="auto"/>
        </w:rPr>
      </w:pPr>
      <w:r>
        <w:rPr>
          <w:rFonts w:ascii="Arial" w:cs="Arial" w:eastAsia="Arial" w:hAnsi="Arial"/>
          <w:sz w:val="25"/>
          <w:szCs w:val="25"/>
          <w:b w:val="1"/>
          <w:bCs w:val="1"/>
          <w:color w:val="auto"/>
        </w:rPr>
        <w:t>GLOBAL INCENTIVE STOCK OPTION AGREEMENT FOR COMPANY EMPLOYEES UNDER THE HUBSPOT, INC. 2014 STOCK OPTION AND INCENTIVE PLAN</w:t>
      </w:r>
    </w:p>
    <w:p>
      <w:pPr>
        <w:spacing w:after="0" w:line="38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Incentive Stock Option Agreement (the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December 2020.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395" w:lineRule="exact"/>
        <w:rPr>
          <w:sz w:val="20"/>
          <w:szCs w:val="20"/>
          <w:color w:val="auto"/>
        </w:rPr>
      </w:pPr>
    </w:p>
    <w:p>
      <w:pPr>
        <w:jc w:val="center"/>
        <w:ind w:left="340" w:right="34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38" w:lineRule="auto"/>
        <w:tabs>
          <w:tab w:leader="none" w:pos="900" w:val="left"/>
        </w:tabs>
        <w:numPr>
          <w:ilvl w:val="0"/>
          <w:numId w:val="7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for the exclusive purpose of implementing, administering and managing the Optionee’s participation in the Plan.</w:t>
      </w:r>
    </w:p>
    <w:p>
      <w:pPr>
        <w:spacing w:after="0" w:line="184" w:lineRule="exact"/>
        <w:rPr>
          <w:rFonts w:ascii="Arial" w:cs="Arial" w:eastAsia="Arial" w:hAnsi="Arial"/>
          <w:sz w:val="22"/>
          <w:szCs w:val="22"/>
          <w:b w:val="1"/>
          <w:bCs w:val="1"/>
          <w:i w:val="1"/>
          <w:iCs w:val="1"/>
          <w:color w:val="auto"/>
        </w:rPr>
      </w:pPr>
    </w:p>
    <w:p>
      <w:pPr>
        <w:jc w:val="both"/>
        <w:ind w:firstLine="8"/>
        <w:spacing w:after="0" w:line="279" w:lineRule="auto"/>
        <w:tabs>
          <w:tab w:leader="none" w:pos="900" w:val="left"/>
        </w:tabs>
        <w:numPr>
          <w:ilvl w:val="0"/>
          <w:numId w:val="7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may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69" w:lineRule="auto"/>
        <w:tabs>
          <w:tab w:leader="none" w:pos="888" w:val="left"/>
        </w:tabs>
        <w:numPr>
          <w:ilvl w:val="0"/>
          <w:numId w:val="7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 more information on the consequences of the Optionee’s refusal to consent or withdrawal of consent, the Optionee understands that he or she may contact his or her local human resources representative.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3" w:name="page134"/>
    <w:bookmarkEnd w:id="133"/>
    <w:p>
      <w:pPr>
        <w:jc w:val="both"/>
        <w:ind w:firstLine="8"/>
        <w:spacing w:after="0" w:line="279" w:lineRule="auto"/>
        <w:tabs>
          <w:tab w:leader="none" w:pos="900" w:val="left"/>
        </w:tabs>
        <w:numPr>
          <w:ilvl w:val="0"/>
          <w:numId w:val="77"/>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0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0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and the Administrator to disclose and discuss the Plan with their advisors and to record all relevant information and keep such information in the Optionee’s employee file.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must notify such Subsidiary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&lt;Participant Name&gt;</w:t>
      </w:r>
    </w:p>
    <w:p>
      <w:pPr>
        <w:spacing w:after="0" w:line="200" w:lineRule="exact"/>
        <w:rPr>
          <w:sz w:val="20"/>
          <w:szCs w:val="20"/>
          <w:color w:val="auto"/>
        </w:rPr>
      </w:pPr>
    </w:p>
    <w:p>
      <w:pPr>
        <w:sectPr>
          <w:pgSz w:w="11900" w:h="16838" w:orient="portrait"/>
          <w:cols w:equalWidth="0" w:num="2">
            <w:col w:w="3960" w:space="720"/>
            <w:col w:w="6560"/>
          </w:cols>
          <w:pgMar w:left="320" w:top="54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No. of Option Shares: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4200" w:space="720"/>
            <w:col w:w="6320"/>
          </w:cols>
          <w:pgMar w:left="320" w:top="54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Option Exercise Price per Share: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 &lt;Grant Date FMV&gt;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[FMV on Grant Date]</w:t>
      </w:r>
    </w:p>
    <w:p>
      <w:pPr>
        <w:spacing w:after="0" w:line="188" w:lineRule="exact"/>
        <w:rPr>
          <w:sz w:val="20"/>
          <w:szCs w:val="20"/>
          <w:color w:val="auto"/>
        </w:rPr>
      </w:pPr>
    </w:p>
    <w:p>
      <w:pPr>
        <w:sectPr>
          <w:pgSz w:w="11900" w:h="16838" w:orient="portrait"/>
          <w:cols w:equalWidth="0" w:num="2">
            <w:col w:w="3320" w:space="720"/>
            <w:col w:w="7200"/>
          </w:cols>
          <w:pgMar w:left="320" w:top="549" w:right="339" w:bottom="1440" w:gutter="0" w:footer="0" w:header="0"/>
          <w:type w:val="continuous"/>
        </w:sect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3320" w:space="720"/>
            <w:col w:w="7200"/>
          </w:cols>
          <w:pgMar w:left="320" w:top="549"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Quantities)&gt;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w:t>
      </w:r>
    </w:p>
    <w:p>
      <w:pPr>
        <w:spacing w:after="0" w:line="483" w:lineRule="exact"/>
        <w:rPr>
          <w:sz w:val="20"/>
          <w:szCs w:val="20"/>
          <w:color w:val="auto"/>
        </w:rPr>
      </w:pPr>
    </w:p>
    <w:p>
      <w:pPr>
        <w:sectPr>
          <w:pgSz w:w="11900" w:h="16838" w:orient="portrait"/>
          <w:cols w:equalWidth="0" w:num="2">
            <w:col w:w="4960" w:space="720"/>
            <w:col w:w="5560"/>
          </w:cols>
          <w:pgMar w:left="320" w:top="549" w:right="339" w:bottom="1440" w:gutter="0" w:footer="0" w:header="0"/>
          <w:type w:val="continuous"/>
        </w:sect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&lt;Expiration Date&gt;</w:t>
      </w:r>
    </w:p>
    <w:p>
      <w:pPr>
        <w:spacing w:after="0" w:line="200" w:lineRule="exact"/>
        <w:rPr>
          <w:sz w:val="20"/>
          <w:szCs w:val="20"/>
          <w:color w:val="auto"/>
        </w:rPr>
      </w:pPr>
    </w:p>
    <w:p>
      <w:pPr>
        <w:sectPr>
          <w:pgSz w:w="11900" w:h="16838" w:orient="portrait"/>
          <w:cols w:equalWidth="0" w:num="2">
            <w:col w:w="3740" w:space="720"/>
            <w:col w:w="6780"/>
          </w:cols>
          <w:pgMar w:left="320" w:top="549" w:right="339" w:bottom="1440" w:gutter="0" w:footer="0" w:header="0"/>
          <w:type w:val="continuous"/>
        </w:sectPr>
      </w:pPr>
    </w:p>
    <w:p>
      <w:pPr>
        <w:spacing w:after="0" w:line="25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and this Global Non-Qualified Stock Option Award Agreement, including any additional terms and conditions for the Optionee’s country set forth in the appendix attached hereto (the “Appendix” and together with the Global Non-Qualified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200" w:lineRule="exact"/>
        <w:rPr>
          <w:sz w:val="20"/>
          <w:szCs w:val="20"/>
          <w:color w:val="auto"/>
        </w:rPr>
      </w:pPr>
    </w:p>
    <w:p>
      <w:pPr>
        <w:spacing w:after="0" w:line="389" w:lineRule="exact"/>
        <w:rPr>
          <w:sz w:val="20"/>
          <w:szCs w:val="20"/>
          <w:color w:val="auto"/>
        </w:rPr>
      </w:pPr>
    </w:p>
    <w:p>
      <w:pPr>
        <w:jc w:val="both"/>
        <w:ind w:left="860" w:hanging="784"/>
        <w:spacing w:after="0" w:line="273" w:lineRule="auto"/>
        <w:tabs>
          <w:tab w:leader="none" w:pos="84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w:t>
      </w:r>
      <w:r>
        <w:rPr>
          <w:rFonts w:ascii="Arial" w:cs="Arial" w:eastAsia="Arial" w:hAnsi="Arial"/>
          <w:sz w:val="19"/>
          <w:szCs w:val="19"/>
          <w:u w:val="single" w:color="auto"/>
          <w:color w:val="auto"/>
        </w:rPr>
        <w:t xml:space="preserve"> </w:t>
      </w:r>
      <w:r>
        <w:rPr>
          <w:rFonts w:ascii="Arial" w:cs="Arial" w:eastAsia="Arial" w:hAnsi="Arial"/>
          <w:sz w:val="19"/>
          <w:szCs w:val="19"/>
          <w:color w:val="auto"/>
        </w:rPr>
        <w:t>vested and exercisable. Except as set forth below, and subject to the discretion of the Administrator (as defined in Section 2 of the Plan) to accelerate the vesting schedule hereunder, 25 percent of the Option Shares shall vest and become exercisable on the first anniversary of the Vesting Commencement Date; provided that the Optionee remains an employee of the Company or a Subsidiary on such date. Thereafter, the remaining 75 percent of the Option Shares shall vest and become exercisable in 12 equal installments every three months following the first anniversary of the Vesting Commencement Date, provided the Optionee remains an employee of the Company or a Subsidiary on each such date. For the avoidance of doubt, employment during only a period prior to a vesting date (but where employment has terminated prior to the vesting date) does not entitle the Optionee to vest in a pro-rata portion of the Stock Option on such date. Notwithstanding the foregoing, in the event that the Optionee’s employment with the Company and any Subsidiary terminates due to the Optionee’s death, then the Option</w:t>
      </w: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36" w:name="page137"/>
    <w:bookmarkEnd w:id="136"/>
    <w:p>
      <w:pPr>
        <w:jc w:val="both"/>
        <w:ind w:left="860" w:firstLine="798"/>
        <w:spacing w:after="0" w:line="252" w:lineRule="auto"/>
        <w:rPr>
          <w:sz w:val="20"/>
          <w:szCs w:val="20"/>
          <w:color w:val="auto"/>
        </w:rPr>
      </w:pPr>
      <w:r>
        <w:rPr>
          <w:rFonts w:ascii="Arial" w:cs="Arial" w:eastAsia="Arial" w:hAnsi="Arial"/>
          <w:sz w:val="21"/>
          <w:szCs w:val="21"/>
          <w:color w:val="auto"/>
        </w:rPr>
        <w:t>Shares shall be deemed fully vested and exercisable upon the date of the Optionee’s death. Once vested and exercisable, this Stock Option shall continue to be exercisable at any time or times prior to the close of business on the Expiration Date, subject to the provisions hereof and of the Plan. This Agreement is subject to the terms and conditions of any policies of the Company regarding vesting during leaves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-192405</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43" w:lineRule="auto"/>
        <w:tabs>
          <w:tab w:leader="none" w:pos="358"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Optionee’s commission of (A) a felony (or crime of similar magnitude under non-U.S. laws, as determined by the Administrator) or (B) any misdemeanor involving moral turpitude, deceit, dishonesty or fraud; (iii) the Optionee’s failure to perform his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8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Optionee’s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4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8" w:lineRule="auto"/>
        <w:tabs>
          <w:tab w:leader="none" w:pos="26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7" w:name="page138"/>
    <w:bookmarkEnd w:id="137"/>
    <w:p>
      <w:pPr>
        <w:jc w:val="both"/>
        <w:ind w:firstLine="864"/>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200" w:lineRule="exact"/>
        <w:rPr>
          <w:sz w:val="20"/>
          <w:szCs w:val="20"/>
          <w:color w:val="auto"/>
        </w:rPr>
      </w:pPr>
    </w:p>
    <w:p>
      <w:pPr>
        <w:spacing w:after="0" w:line="204"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jc w:val="both"/>
        <w:ind w:firstLine="8"/>
        <w:spacing w:after="0" w:line="277" w:lineRule="auto"/>
        <w:tabs>
          <w:tab w:leader="none" w:pos="379"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jc w:val="both"/>
        <w:ind w:firstLine="1735"/>
        <w:spacing w:after="0" w:line="245" w:lineRule="auto"/>
        <w:tabs>
          <w:tab w:leader="none" w:pos="2627" w:val="left"/>
        </w:tabs>
        <w:numPr>
          <w:ilvl w:val="1"/>
          <w:numId w:val="80"/>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4" w:lineRule="exact"/>
        <w:rPr>
          <w:rFonts w:ascii="Arial" w:cs="Arial" w:eastAsia="Arial" w:hAnsi="Arial"/>
          <w:sz w:val="21"/>
          <w:szCs w:val="21"/>
          <w:color w:val="auto"/>
        </w:rPr>
      </w:pPr>
    </w:p>
    <w:p>
      <w:pPr>
        <w:jc w:val="both"/>
        <w:ind w:firstLine="1735"/>
        <w:spacing w:after="0"/>
        <w:tabs>
          <w:tab w:leader="none" w:pos="2615"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8" w:name="page139"/>
    <w:bookmarkEnd w:id="138"/>
    <w:p>
      <w:pPr>
        <w:ind w:right="20" w:firstLine="1735"/>
        <w:spacing w:after="0" w:line="250" w:lineRule="auto"/>
        <w:tabs>
          <w:tab w:leader="none" w:pos="2627" w:val="left"/>
        </w:tabs>
        <w:numPr>
          <w:ilvl w:val="1"/>
          <w:numId w:val="81"/>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right="20" w:firstLine="872"/>
        <w:spacing w:after="0" w:line="274" w:lineRule="auto"/>
        <w:tabs>
          <w:tab w:leader="none" w:pos="1741"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Optionee’s employment by the Company or a Subsidiary is terminated, the period within which to exercise the Stock Option may be subject to earlier termination as set forth below.</w:t>
      </w:r>
    </w:p>
    <w:p>
      <w:pPr>
        <w:spacing w:after="0" w:line="150" w:lineRule="exact"/>
        <w:rPr>
          <w:rFonts w:ascii="Arial" w:cs="Arial" w:eastAsia="Arial" w:hAnsi="Arial"/>
          <w:sz w:val="21"/>
          <w:szCs w:val="21"/>
          <w:color w:val="auto"/>
        </w:rPr>
      </w:pPr>
    </w:p>
    <w:p>
      <w:pPr>
        <w:jc w:val="both"/>
        <w:ind w:firstLine="1735"/>
        <w:spacing w:after="0" w:line="238" w:lineRule="auto"/>
        <w:tabs>
          <w:tab w:leader="none" w:pos="2615"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4" w:lineRule="exact"/>
        <w:rPr>
          <w:rFonts w:ascii="Arial" w:cs="Arial" w:eastAsia="Arial" w:hAnsi="Arial"/>
          <w:sz w:val="22"/>
          <w:szCs w:val="22"/>
          <w:color w:val="auto"/>
        </w:rPr>
      </w:pPr>
    </w:p>
    <w:p>
      <w:pPr>
        <w:jc w:val="both"/>
        <w:ind w:firstLine="1735"/>
        <w:spacing w:after="0" w:line="249" w:lineRule="auto"/>
        <w:tabs>
          <w:tab w:leader="none" w:pos="2627"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8" w:lineRule="exact"/>
        <w:rPr>
          <w:rFonts w:ascii="Arial" w:cs="Arial" w:eastAsia="Arial" w:hAnsi="Arial"/>
          <w:sz w:val="21"/>
          <w:szCs w:val="21"/>
          <w:color w:val="auto"/>
        </w:rPr>
      </w:pPr>
    </w:p>
    <w:p>
      <w:pPr>
        <w:jc w:val="both"/>
        <w:ind w:firstLine="1735"/>
        <w:spacing w:after="0" w:line="275" w:lineRule="auto"/>
        <w:tabs>
          <w:tab w:leader="none" w:pos="2615"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57" w:lineRule="exact"/>
        <w:rPr>
          <w:rFonts w:ascii="Arial" w:cs="Arial" w:eastAsia="Arial" w:hAnsi="Arial"/>
          <w:sz w:val="19"/>
          <w:szCs w:val="19"/>
          <w:color w:val="auto"/>
        </w:rPr>
      </w:pPr>
    </w:p>
    <w:p>
      <w:pPr>
        <w:jc w:val="both"/>
        <w:ind w:firstLine="1735"/>
        <w:spacing w:after="0" w:line="248" w:lineRule="auto"/>
        <w:tabs>
          <w:tab w:leader="none" w:pos="2627"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77"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Administrator’s determination of the reason for termination of the Optionee’s employment shall be conclusive and binding on the Optionee and his or her representatives or legatees.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9" w:name="page140"/>
    <w:bookmarkEnd w:id="139"/>
    <w:p>
      <w:pPr>
        <w:jc w:val="both"/>
        <w:ind w:firstLine="872"/>
        <w:spacing w:after="0" w:line="238" w:lineRule="auto"/>
        <w:tabs>
          <w:tab w:leader="none" w:pos="1674"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200" w:firstLine="872"/>
        <w:spacing w:after="0" w:line="238" w:lineRule="auto"/>
        <w:tabs>
          <w:tab w:leader="none" w:pos="1674"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left="1680" w:hanging="808"/>
        <w:spacing w:after="0"/>
        <w:tabs>
          <w:tab w:leader="none" w:pos="1680"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line="246" w:lineRule="exact"/>
        <w:tabs>
          <w:tab w:leader="none" w:pos="2615" w:val="left"/>
        </w:tabs>
        <w:numPr>
          <w:ilvl w:val="2"/>
          <w:numId w:val="83"/>
        </w:numPr>
        <w:rPr>
          <w:rFonts w:ascii="Arial" w:cs="Arial" w:eastAsia="Arial" w:hAnsi="Arial"/>
          <w:sz w:val="19"/>
          <w:szCs w:val="19"/>
          <w:color w:val="auto"/>
        </w:rPr>
      </w:pPr>
      <w:r>
        <w:rPr>
          <w:rFonts w:ascii="Arial" w:cs="Arial" w:eastAsia="Arial" w:hAnsi="Arial"/>
          <w:sz w:val="19"/>
          <w:szCs w:val="19"/>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Optionee’s participation in the Plan and legally applicable to the Optionee (“Tax-Related Items”) is and remains the Optionee’s responsibility and may exceed the amount, if any, actually withheld by the Company or the Employer. The Optionee further acknowledges that the Company and/or the Employer</w:t>
      </w:r>
    </w:p>
    <w:p>
      <w:pPr>
        <w:spacing w:after="0" w:line="4" w:lineRule="exact"/>
        <w:rPr>
          <w:rFonts w:ascii="Arial" w:cs="Arial" w:eastAsia="Arial" w:hAnsi="Arial"/>
          <w:sz w:val="19"/>
          <w:szCs w:val="19"/>
          <w:color w:val="auto"/>
        </w:rPr>
      </w:pPr>
    </w:p>
    <w:p>
      <w:pPr>
        <w:jc w:val="both"/>
        <w:ind w:firstLine="8"/>
        <w:spacing w:after="0" w:line="273" w:lineRule="auto"/>
        <w:tabs>
          <w:tab w:leader="none" w:pos="274" w:val="left"/>
        </w:tabs>
        <w:numPr>
          <w:ilvl w:val="0"/>
          <w:numId w:val="84"/>
        </w:numPr>
        <w:rPr>
          <w:rFonts w:ascii="Arial" w:cs="Arial" w:eastAsia="Arial" w:hAnsi="Arial"/>
          <w:sz w:val="19"/>
          <w:szCs w:val="19"/>
          <w:color w:val="auto"/>
        </w:rPr>
      </w:pPr>
      <w:r>
        <w:rPr>
          <w:rFonts w:ascii="Arial" w:cs="Arial" w:eastAsia="Arial" w:hAnsi="Arial"/>
          <w:sz w:val="19"/>
          <w:szCs w:val="19"/>
          <w:color w:val="auto"/>
        </w:rPr>
        <w:t>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59" w:lineRule="exact"/>
        <w:rPr>
          <w:rFonts w:ascii="Arial" w:cs="Arial" w:eastAsia="Arial" w:hAnsi="Arial"/>
          <w:sz w:val="19"/>
          <w:szCs w:val="19"/>
          <w:color w:val="auto"/>
        </w:rPr>
      </w:pPr>
    </w:p>
    <w:p>
      <w:pPr>
        <w:jc w:val="both"/>
        <w:ind w:firstLine="1735"/>
        <w:spacing w:after="0" w:line="272" w:lineRule="auto"/>
        <w:tabs>
          <w:tab w:leader="none" w:pos="2627" w:val="left"/>
        </w:tabs>
        <w:numPr>
          <w:ilvl w:val="2"/>
          <w:numId w:val="84"/>
        </w:numPr>
        <w:rPr>
          <w:rFonts w:ascii="Arial" w:cs="Arial" w:eastAsia="Arial" w:hAnsi="Arial"/>
          <w:sz w:val="19"/>
          <w:szCs w:val="19"/>
          <w:color w:val="auto"/>
        </w:rPr>
      </w:pPr>
      <w:r>
        <w:rPr>
          <w:rFonts w:ascii="Arial" w:cs="Arial" w:eastAsia="Arial" w:hAnsi="Arial"/>
          <w:sz w:val="19"/>
          <w:szCs w:val="19"/>
          <w:color w:val="auto"/>
        </w:rPr>
        <w:t>Prior to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paid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jc w:val="both"/>
        <w:ind w:firstLine="1735"/>
        <w:spacing w:after="0" w:line="274" w:lineRule="auto"/>
        <w:tabs>
          <w:tab w:leader="none" w:pos="2615" w:val="left"/>
        </w:tabs>
        <w:numPr>
          <w:ilvl w:val="1"/>
          <w:numId w:val="85"/>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statutory withholding amounts or other applicable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58" w:lineRule="exact"/>
        <w:rPr>
          <w:rFonts w:ascii="Arial" w:cs="Arial" w:eastAsia="Arial" w:hAnsi="Arial"/>
          <w:sz w:val="19"/>
          <w:szCs w:val="19"/>
          <w:color w:val="auto"/>
        </w:rPr>
      </w:pPr>
    </w:p>
    <w:p>
      <w:pPr>
        <w:jc w:val="both"/>
        <w:ind w:firstLine="1735"/>
        <w:spacing w:after="0" w:line="236" w:lineRule="auto"/>
        <w:tabs>
          <w:tab w:leader="none" w:pos="2627" w:val="left"/>
        </w:tabs>
        <w:numPr>
          <w:ilvl w:val="1"/>
          <w:numId w:val="85"/>
        </w:numPr>
        <w:rPr>
          <w:rFonts w:ascii="Arial" w:cs="Arial" w:eastAsia="Arial" w:hAnsi="Arial"/>
          <w:sz w:val="22"/>
          <w:szCs w:val="22"/>
          <w:color w:val="auto"/>
        </w:rPr>
      </w:pPr>
      <w:r>
        <w:rPr>
          <w:rFonts w:ascii="Arial" w:cs="Arial" w:eastAsia="Arial" w:hAnsi="Arial"/>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87" w:lineRule="exact"/>
        <w:rPr>
          <w:rFonts w:ascii="Arial" w:cs="Arial" w:eastAsia="Arial" w:hAnsi="Arial"/>
          <w:sz w:val="22"/>
          <w:szCs w:val="22"/>
          <w:color w:val="auto"/>
        </w:rPr>
      </w:pPr>
    </w:p>
    <w:p>
      <w:pPr>
        <w:ind w:right="20" w:firstLine="872"/>
        <w:spacing w:after="0" w:line="287" w:lineRule="auto"/>
        <w:tabs>
          <w:tab w:leader="none" w:pos="167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42" w:lineRule="exact"/>
        <w:rPr>
          <w:rFonts w:ascii="Arial" w:cs="Arial" w:eastAsia="Arial" w:hAnsi="Arial"/>
          <w:sz w:val="19"/>
          <w:szCs w:val="19"/>
          <w:color w:val="auto"/>
        </w:rPr>
      </w:pPr>
    </w:p>
    <w:p>
      <w:pPr>
        <w:ind w:right="300" w:firstLine="872"/>
        <w:spacing w:after="0" w:line="328" w:lineRule="auto"/>
        <w:tabs>
          <w:tab w:leader="none" w:pos="167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4" w:lineRule="exact"/>
        <w:rPr>
          <w:rFonts w:ascii="Arial" w:cs="Arial" w:eastAsia="Arial" w:hAnsi="Arial"/>
          <w:sz w:val="19"/>
          <w:szCs w:val="19"/>
          <w:color w:val="auto"/>
        </w:rPr>
      </w:pPr>
    </w:p>
    <w:p>
      <w:pPr>
        <w:ind w:left="1680" w:hanging="808"/>
        <w:spacing w:after="0"/>
        <w:tabs>
          <w:tab w:leader="none" w:pos="168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Stock Option, the Optionee acknowledges, understands and agrees that:</w:t>
      </w:r>
    </w:p>
    <w:p>
      <w:pPr>
        <w:spacing w:after="0" w:line="240" w:lineRule="exact"/>
        <w:rPr>
          <w:rFonts w:ascii="Arial" w:cs="Arial" w:eastAsia="Arial" w:hAnsi="Arial"/>
          <w:sz w:val="19"/>
          <w:szCs w:val="19"/>
          <w:color w:val="auto"/>
        </w:rPr>
      </w:pPr>
    </w:p>
    <w:p>
      <w:pPr>
        <w:ind w:firstLine="1735"/>
        <w:spacing w:after="0" w:line="250" w:lineRule="auto"/>
        <w:tabs>
          <w:tab w:leader="none" w:pos="2615"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Arial" w:cs="Arial" w:eastAsia="Arial" w:hAnsi="Arial"/>
          <w:sz w:val="22"/>
          <w:szCs w:val="22"/>
          <w:color w:val="auto"/>
        </w:rPr>
      </w:pPr>
    </w:p>
    <w:p>
      <w:pPr>
        <w:ind w:left="2620" w:hanging="885"/>
        <w:spacing w:after="0"/>
        <w:tabs>
          <w:tab w:leader="none" w:pos="2620" w:val="left"/>
        </w:tabs>
        <w:numPr>
          <w:ilvl w:val="1"/>
          <w:numId w:val="86"/>
        </w:numPr>
        <w:rPr>
          <w:rFonts w:ascii="Arial" w:cs="Arial" w:eastAsia="Arial" w:hAnsi="Arial"/>
          <w:sz w:val="19"/>
          <w:szCs w:val="19"/>
          <w:color w:val="auto"/>
        </w:rPr>
      </w:pPr>
      <w:r>
        <w:rPr>
          <w:rFonts w:ascii="Arial" w:cs="Arial" w:eastAsia="Arial" w:hAnsi="Arial"/>
          <w:sz w:val="19"/>
          <w:szCs w:val="19"/>
          <w:color w:val="auto"/>
        </w:rPr>
        <w:t>all decisions with respect to future stock option or other grants, if any, will be at the sole discretion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Optionee is voluntarily participating in the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ind w:firstLine="1735"/>
        <w:spacing w:after="0" w:line="250" w:lineRule="auto"/>
        <w:tabs>
          <w:tab w:leader="none" w:pos="2615"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1735"/>
        <w:spacing w:after="0"/>
        <w:tabs>
          <w:tab w:leader="none" w:pos="2591" w:val="left"/>
        </w:tabs>
        <w:numPr>
          <w:ilvl w:val="0"/>
          <w:numId w:val="87"/>
        </w:numPr>
        <w:rPr>
          <w:rFonts w:ascii="Arial" w:cs="Arial" w:eastAsia="Arial" w:hAnsi="Arial"/>
          <w:sz w:val="22"/>
          <w:szCs w:val="22"/>
          <w:color w:val="auto"/>
        </w:rPr>
      </w:pPr>
      <w:r>
        <w:rPr>
          <w:rFonts w:ascii="Arial" w:cs="Arial" w:eastAsia="Arial" w:hAnsi="Arial"/>
          <w:sz w:val="22"/>
          <w:szCs w:val="22"/>
          <w:color w:val="auto"/>
        </w:rPr>
        <w:t>unless otherwise agreed with the Company, this Stock Option and the shares of Stock subject to this Stock Option, and the income from and value of same, are not granted as consideration for, or in connection with, the service the Optionee may provide as a director of a Subsidiary;</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this Stock Option and the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future value of the Shares subject to this Stock Option is unknown, indeterminable, and cannot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predicted with certainty;</w:t>
      </w:r>
    </w:p>
    <w:p>
      <w:pPr>
        <w:spacing w:after="0" w:line="188" w:lineRule="exact"/>
        <w:rPr>
          <w:rFonts w:ascii="Arial" w:cs="Arial" w:eastAsia="Arial" w:hAnsi="Arial"/>
          <w:sz w:val="19"/>
          <w:szCs w:val="19"/>
          <w:color w:val="auto"/>
        </w:rPr>
      </w:pPr>
    </w:p>
    <w:p>
      <w:pPr>
        <w:ind w:left="2580" w:hanging="845"/>
        <w:spacing w:after="0"/>
        <w:tabs>
          <w:tab w:leader="none" w:pos="25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the Shares subject to this Stock Option do not increase in value, this Stock Option will have no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value;</w:t>
      </w:r>
    </w:p>
    <w:p>
      <w:pPr>
        <w:spacing w:after="0" w:line="188" w:lineRule="exact"/>
        <w:rPr>
          <w:rFonts w:ascii="Arial" w:cs="Arial" w:eastAsia="Arial" w:hAnsi="Arial"/>
          <w:sz w:val="19"/>
          <w:szCs w:val="19"/>
          <w:color w:val="auto"/>
        </w:rPr>
      </w:pPr>
    </w:p>
    <w:p>
      <w:pPr>
        <w:ind w:firstLine="1735"/>
        <w:spacing w:after="0" w:line="250" w:lineRule="auto"/>
        <w:tabs>
          <w:tab w:leader="none" w:pos="2579" w:val="left"/>
        </w:tabs>
        <w:numPr>
          <w:ilvl w:val="0"/>
          <w:numId w:val="87"/>
        </w:numPr>
        <w:rPr>
          <w:rFonts w:ascii="Arial" w:cs="Arial" w:eastAsia="Arial" w:hAnsi="Arial"/>
          <w:sz w:val="22"/>
          <w:szCs w:val="22"/>
          <w:color w:val="auto"/>
        </w:rPr>
      </w:pPr>
      <w:r>
        <w:rPr>
          <w:rFonts w:ascii="Arial" w:cs="Arial" w:eastAsia="Arial" w:hAnsi="Arial"/>
          <w:sz w:val="22"/>
          <w:szCs w:val="22"/>
          <w:color w:val="auto"/>
        </w:rPr>
        <w:t>if the Optionee exercises this Stock Option and acquires Shares, the value of such Shares may increase or decrease in value, even below the Option Exercise Price;</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27"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employment or other laws in the jurisdiction where the Optionee is employed or the terms of the Optionee’s employment agreement, if any);</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579" w:val="left"/>
        </w:tabs>
        <w:numPr>
          <w:ilvl w:val="0"/>
          <w:numId w:val="8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4" w:lineRule="exact"/>
        <w:rPr>
          <w:rFonts w:ascii="Arial" w:cs="Arial" w:eastAsia="Arial" w:hAnsi="Arial"/>
          <w:sz w:val="22"/>
          <w:szCs w:val="22"/>
          <w:color w:val="auto"/>
        </w:rPr>
      </w:pPr>
    </w:p>
    <w:p>
      <w:pPr>
        <w:ind w:left="2700" w:hanging="965"/>
        <w:spacing w:after="0"/>
        <w:tabs>
          <w:tab w:leader="none" w:pos="27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the Optionee resides and/or works in a country outside the United States, the following 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apply:</w:t>
      </w:r>
    </w:p>
    <w:p>
      <w:pPr>
        <w:spacing w:after="0" w:line="188" w:lineRule="exact"/>
        <w:rPr>
          <w:rFonts w:ascii="Arial" w:cs="Arial" w:eastAsia="Arial" w:hAnsi="Arial"/>
          <w:sz w:val="19"/>
          <w:szCs w:val="19"/>
          <w:color w:val="auto"/>
        </w:rPr>
      </w:pPr>
    </w:p>
    <w:p>
      <w:pPr>
        <w:ind w:left="880" w:firstLine="1586"/>
        <w:spacing w:after="0" w:line="250" w:lineRule="auto"/>
        <w:tabs>
          <w:tab w:leader="none" w:pos="3326"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this Stock Option and any shares of Stock subject to this Stock Option, and the income from and value of same, are not part of normal or expected compensation for any purpose;</w:t>
      </w:r>
    </w:p>
    <w:p>
      <w:pPr>
        <w:spacing w:after="0" w:line="174" w:lineRule="exact"/>
        <w:rPr>
          <w:rFonts w:ascii="Arial" w:cs="Arial" w:eastAsia="Arial" w:hAnsi="Arial"/>
          <w:sz w:val="22"/>
          <w:szCs w:val="22"/>
          <w:color w:val="auto"/>
        </w:rPr>
      </w:pPr>
    </w:p>
    <w:p>
      <w:pPr>
        <w:jc w:val="both"/>
        <w:ind w:left="880" w:firstLine="1586"/>
        <w:spacing w:after="0" w:line="238" w:lineRule="auto"/>
        <w:tabs>
          <w:tab w:leader="none" w:pos="3386" w:val="left"/>
        </w:tabs>
        <w:numPr>
          <w:ilvl w:val="1"/>
          <w:numId w:val="87"/>
        </w:numPr>
        <w:rPr>
          <w:rFonts w:ascii="Arial" w:cs="Arial" w:eastAsia="Arial" w:hAnsi="Arial"/>
          <w:sz w:val="22"/>
          <w:szCs w:val="22"/>
          <w:color w:val="auto"/>
        </w:rPr>
      </w:pPr>
      <w:r>
        <w:rPr>
          <w:rFonts w:ascii="Arial" w:cs="Arial" w:eastAsia="Arial" w:hAnsi="Arial"/>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42" w:name="page143"/>
    <w:bookmarkEnd w:id="142"/>
    <w:p>
      <w:pPr>
        <w:ind w:right="20" w:firstLine="872"/>
        <w:spacing w:after="0" w:line="234" w:lineRule="auto"/>
        <w:tabs>
          <w:tab w:leader="none" w:pos="17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Non-Qualified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p>
    <w:p>
      <w:pPr>
        <w:spacing w:after="0" w:line="190" w:lineRule="exact"/>
        <w:rPr>
          <w:rFonts w:ascii="Arial" w:cs="Arial" w:eastAsia="Arial" w:hAnsi="Arial"/>
          <w:sz w:val="22"/>
          <w:szCs w:val="22"/>
          <w:color w:val="auto"/>
        </w:rPr>
      </w:pPr>
    </w:p>
    <w:p>
      <w:pPr>
        <w:ind w:firstLine="872"/>
        <w:spacing w:after="0" w:line="236" w:lineRule="auto"/>
        <w:tabs>
          <w:tab w:leader="none" w:pos="177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ind w:right="160" w:firstLine="872"/>
        <w:spacing w:after="0"/>
        <w:tabs>
          <w:tab w:leader="none" w:pos="17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20" w:firstLine="872"/>
        <w:spacing w:after="0"/>
        <w:tabs>
          <w:tab w:leader="none" w:pos="17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86" w:lineRule="exact"/>
        <w:rPr>
          <w:rFonts w:ascii="Arial" w:cs="Arial" w:eastAsia="Arial" w:hAnsi="Arial"/>
          <w:sz w:val="22"/>
          <w:szCs w:val="22"/>
          <w:color w:val="auto"/>
        </w:rPr>
      </w:pPr>
    </w:p>
    <w:p>
      <w:pPr>
        <w:ind w:right="360" w:firstLine="872"/>
        <w:spacing w:after="0" w:line="250" w:lineRule="auto"/>
        <w:tabs>
          <w:tab w:leader="none" w:pos="17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ind w:right="280" w:firstLine="872"/>
        <w:spacing w:after="0" w:line="287" w:lineRule="auto"/>
        <w:tabs>
          <w:tab w:leader="none" w:pos="1782"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220" w:firstLine="872"/>
        <w:spacing w:after="0"/>
        <w:tabs>
          <w:tab w:leader="none" w:pos="17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ind w:right="300" w:firstLine="872"/>
        <w:spacing w:after="0" w:line="252" w:lineRule="auto"/>
        <w:tabs>
          <w:tab w:leader="none" w:pos="1782"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3" w:name="page144"/>
    <w:bookmarkEnd w:id="143"/>
    <w:p>
      <w:pPr>
        <w:ind w:right="40" w:firstLine="872"/>
        <w:spacing w:after="0" w:line="252" w:lineRule="auto"/>
        <w:tabs>
          <w:tab w:leader="none" w:pos="1782"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73" w:lineRule="exact"/>
        <w:rPr>
          <w:rFonts w:ascii="Arial" w:cs="Arial" w:eastAsia="Arial" w:hAnsi="Arial"/>
          <w:sz w:val="21"/>
          <w:szCs w:val="21"/>
          <w:color w:val="auto"/>
        </w:rPr>
      </w:pPr>
    </w:p>
    <w:p>
      <w:pPr>
        <w:ind w:firstLine="872"/>
        <w:spacing w:after="0" w:line="272" w:lineRule="auto"/>
        <w:tabs>
          <w:tab w:leader="none" w:pos="178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60" w:lineRule="exact"/>
        <w:rPr>
          <w:rFonts w:ascii="Arial" w:cs="Arial" w:eastAsia="Arial" w:hAnsi="Arial"/>
          <w:sz w:val="19"/>
          <w:szCs w:val="19"/>
          <w:color w:val="auto"/>
        </w:rPr>
      </w:pPr>
    </w:p>
    <w:p>
      <w:pPr>
        <w:ind w:right="80" w:firstLine="872"/>
        <w:spacing w:after="0" w:line="271" w:lineRule="auto"/>
        <w:tabs>
          <w:tab w:leader="none" w:pos="178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right="80" w:firstLine="872"/>
        <w:spacing w:after="0" w:line="252" w:lineRule="auto"/>
        <w:tabs>
          <w:tab w:leader="none" w:pos="1782"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Foreign Asset/Account, Exchange Control and Tax Reporting</w:t>
      </w:r>
      <w:r>
        <w:rPr>
          <w:rFonts w:ascii="Arial" w:cs="Arial" w:eastAsia="Arial" w:hAnsi="Arial"/>
          <w:sz w:val="21"/>
          <w:szCs w:val="21"/>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ind w:right="40"/>
        <w:spacing w:after="0" w:line="282" w:lineRule="auto"/>
        <w:rPr>
          <w:sz w:val="20"/>
          <w:szCs w:val="20"/>
          <w:color w:val="auto"/>
        </w:rPr>
      </w:pPr>
      <w:r>
        <w:rPr>
          <w:rFonts w:ascii="Arial" w:cs="Arial" w:eastAsia="Arial" w:hAnsi="Arial"/>
          <w:sz w:val="19"/>
          <w:szCs w:val="19"/>
          <w:color w:val="auto"/>
        </w:rPr>
        <w:t>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147" w:lineRule="exact"/>
        <w:rPr>
          <w:sz w:val="20"/>
          <w:szCs w:val="20"/>
          <w:color w:val="auto"/>
        </w:rPr>
      </w:pPr>
    </w:p>
    <w:p>
      <w:pPr>
        <w:ind w:right="100" w:firstLine="872"/>
        <w:spacing w:after="0" w:line="297" w:lineRule="auto"/>
        <w:tabs>
          <w:tab w:leader="none" w:pos="178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Incorporation of Policy for Recoupment of Incentive Compensation.</w:t>
      </w:r>
      <w:r>
        <w:rPr>
          <w:rFonts w:ascii="Arial" w:cs="Arial" w:eastAsia="Arial" w:hAnsi="Arial"/>
          <w:sz w:val="19"/>
          <w:szCs w:val="19"/>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147955</wp:posOffset>
            </wp:positionV>
            <wp:extent cx="3034665" cy="8826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303466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20" w:val="left"/>
          <w:tab w:leader="none" w:pos="46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&lt;Acceptance Date&gt;</w:t>
      </w:r>
      <w:r>
        <w:rPr>
          <w:sz w:val="20"/>
          <w:szCs w:val="20"/>
          <w:color w:val="auto"/>
        </w:rPr>
        <w:tab/>
      </w:r>
      <w:r>
        <w:rPr>
          <w:rFonts w:ascii="Arial" w:cs="Arial" w:eastAsia="Arial" w:hAnsi="Arial"/>
          <w:sz w:val="19"/>
          <w:szCs w:val="19"/>
          <w:color w:val="auto"/>
        </w:rPr>
        <w:t>&lt;Electronic Signature&gt;</w:t>
      </w:r>
    </w:p>
    <w:p>
      <w:pPr>
        <w:spacing w:after="0" w:line="206"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5"/>
          <w:szCs w:val="25"/>
          <w:b w:val="1"/>
          <w:bCs w:val="1"/>
          <w:u w:val="single" w:color="auto"/>
          <w:color w:val="auto"/>
        </w:rPr>
        <w:t>APPENDIX</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NON-QUALIFIED STOCK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Non-Qualified Stock Option Agreement (the "Option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December 2020.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6" w:name="page147"/>
    <w:bookmarkEnd w:id="146"/>
    <w:p>
      <w:pPr>
        <w:jc w:val="center"/>
        <w:ind w:left="340" w:right="34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38" w:lineRule="auto"/>
        <w:tabs>
          <w:tab w:leader="none" w:pos="981" w:val="left"/>
        </w:tabs>
        <w:numPr>
          <w:ilvl w:val="0"/>
          <w:numId w:val="9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for the exclusive purpose of implementing, administering and managing the Optionee’s participation in the Plan.</w:t>
      </w:r>
    </w:p>
    <w:p>
      <w:pPr>
        <w:spacing w:after="0" w:line="184" w:lineRule="exact"/>
        <w:rPr>
          <w:rFonts w:ascii="Arial" w:cs="Arial" w:eastAsia="Arial" w:hAnsi="Arial"/>
          <w:sz w:val="22"/>
          <w:szCs w:val="22"/>
          <w:b w:val="1"/>
          <w:bCs w:val="1"/>
          <w:i w:val="1"/>
          <w:iCs w:val="1"/>
          <w:color w:val="auto"/>
        </w:rPr>
      </w:pPr>
    </w:p>
    <w:p>
      <w:pPr>
        <w:jc w:val="both"/>
        <w:ind w:firstLine="8"/>
        <w:spacing w:after="0" w:line="279" w:lineRule="auto"/>
        <w:tabs>
          <w:tab w:leader="none" w:pos="981" w:val="left"/>
        </w:tabs>
        <w:numPr>
          <w:ilvl w:val="0"/>
          <w:numId w:val="9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the Company, the Employer and other Subsidiaries may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70" w:lineRule="auto"/>
        <w:tabs>
          <w:tab w:leader="none" w:pos="888" w:val="left"/>
        </w:tabs>
        <w:numPr>
          <w:ilvl w:val="0"/>
          <w:numId w:val="9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7" w:name="page148"/>
    <w:bookmarkEnd w:id="147"/>
    <w:p>
      <w:pPr>
        <w:spacing w:after="0" w:line="250" w:lineRule="auto"/>
        <w:rPr>
          <w:sz w:val="20"/>
          <w:szCs w:val="20"/>
          <w:color w:val="auto"/>
        </w:rPr>
      </w:pPr>
      <w:r>
        <w:rPr>
          <w:rFonts w:ascii="Arial" w:cs="Arial" w:eastAsia="Arial" w:hAnsi="Arial"/>
          <w:sz w:val="22"/>
          <w:szCs w:val="22"/>
          <w:b w:val="1"/>
          <w:bCs w:val="1"/>
          <w:i w:val="1"/>
          <w:iCs w:val="1"/>
          <w:color w:val="auto"/>
        </w:rPr>
        <w:t>more information on the consequences of the Optionee’s refusal to consent or withdrawal of consent, the Optionee understands that he or she may contact his or her local human resources representative.</w:t>
      </w:r>
    </w:p>
    <w:p>
      <w:pPr>
        <w:spacing w:after="0" w:line="175" w:lineRule="exact"/>
        <w:rPr>
          <w:sz w:val="20"/>
          <w:szCs w:val="20"/>
          <w:color w:val="auto"/>
        </w:rPr>
      </w:pPr>
    </w:p>
    <w:p>
      <w:pPr>
        <w:jc w:val="both"/>
        <w:ind w:firstLine="8"/>
        <w:spacing w:after="0" w:line="279" w:lineRule="auto"/>
        <w:tabs>
          <w:tab w:leader="none" w:pos="967" w:val="left"/>
        </w:tabs>
        <w:numPr>
          <w:ilvl w:val="0"/>
          <w:numId w:val="9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Notwithstanding any provision of the Plan or the Option Agreement, the Optionee may not pay the Option Exercise Price by using the methods of exercise set forth in Section 2(a)(ii) and (iv) of the Option Agreement or the corresponding provisions of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0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0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and the Administrator to disclose and discuss the Plan with their advisors and to record all relevant information and keep such information in the Optionee’s employee file.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must notify such Subsidiary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Stock Option,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ectPr>
          <w:pgSz w:w="11900" w:h="16838" w:orient="portrait"/>
          <w:cols w:equalWidth="0" w:num="1">
            <w:col w:w="11240"/>
          </w:cols>
          <w:pgMar w:left="320" w:top="548"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Name of Grantee: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9"/>
          <w:szCs w:val="19"/>
          <w:color w:val="auto"/>
        </w:rPr>
        <w:t>&lt;Participant Name&gt;</w:t>
      </w:r>
    </w:p>
    <w:p>
      <w:pPr>
        <w:spacing w:after="0" w:line="200" w:lineRule="exact"/>
        <w:rPr>
          <w:sz w:val="20"/>
          <w:szCs w:val="20"/>
          <w:color w:val="auto"/>
        </w:rPr>
      </w:pPr>
    </w:p>
    <w:p>
      <w:pPr>
        <w:sectPr>
          <w:pgSz w:w="11900" w:h="16838" w:orient="portrait"/>
          <w:cols w:equalWidth="0" w:num="2">
            <w:col w:w="3800" w:space="720"/>
            <w:col w:w="6720"/>
          </w:cols>
          <w:pgMar w:left="320" w:top="54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No. of Restricted Stock Units: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3020"/>
        <w:spacing w:after="0"/>
        <w:rPr>
          <w:sz w:val="20"/>
          <w:szCs w:val="20"/>
          <w:color w:val="auto"/>
        </w:rPr>
      </w:pPr>
      <w:r>
        <w:rPr>
          <w:rFonts w:ascii="Arial" w:cs="Arial" w:eastAsia="Arial" w:hAnsi="Arial"/>
          <w:sz w:val="19"/>
          <w:szCs w:val="19"/>
          <w:color w:val="auto"/>
        </w:rPr>
        <w:t>&lt;Number of Awards Granted&gt;</w:t>
      </w:r>
    </w:p>
    <w:p>
      <w:pPr>
        <w:spacing w:after="0" w:line="200" w:lineRule="exact"/>
        <w:rPr>
          <w:sz w:val="20"/>
          <w:szCs w:val="20"/>
          <w:color w:val="auto"/>
        </w:rPr>
      </w:pPr>
    </w:p>
    <w:p>
      <w:pPr>
        <w:sectPr>
          <w:pgSz w:w="11900" w:h="16838" w:orient="portrait"/>
          <w:cols w:equalWidth="0" w:num="2">
            <w:col w:w="4860" w:space="720"/>
            <w:col w:w="5660"/>
          </w:cols>
          <w:pgMar w:left="320" w:top="54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&lt;Grant Date&gt;</w:t>
      </w:r>
    </w:p>
    <w:p>
      <w:pPr>
        <w:spacing w:after="0" w:line="200" w:lineRule="exact"/>
        <w:rPr>
          <w:sz w:val="20"/>
          <w:szCs w:val="20"/>
          <w:color w:val="auto"/>
        </w:rPr>
      </w:pPr>
    </w:p>
    <w:p>
      <w:pPr>
        <w:sectPr>
          <w:pgSz w:w="11900" w:h="16838" w:orient="portrait"/>
          <w:cols w:equalWidth="0" w:num="2">
            <w:col w:w="3280" w:space="720"/>
            <w:col w:w="7240"/>
          </w:cols>
          <w:pgMar w:left="320" w:top="54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Quantities)&gt;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&lt;Vest from Hire Date&gt;, &lt;Vesting Schedule (Dates &amp;</w:t>
      </w:r>
    </w:p>
    <w:p>
      <w:pPr>
        <w:spacing w:after="0" w:line="495" w:lineRule="exact"/>
        <w:rPr>
          <w:sz w:val="20"/>
          <w:szCs w:val="20"/>
          <w:color w:val="auto"/>
        </w:rPr>
      </w:pPr>
    </w:p>
    <w:p>
      <w:pPr>
        <w:sectPr>
          <w:pgSz w:w="11900" w:h="16838" w:orient="portrait"/>
          <w:cols w:equalWidth="0" w:num="2">
            <w:col w:w="4900" w:space="720"/>
            <w:col w:w="5620"/>
          </w:cols>
          <w:pgMar w:left="320" w:top="548" w:right="339" w:bottom="1440" w:gutter="0" w:footer="0" w:header="0"/>
          <w:type w:val="continuous"/>
        </w:sectPr>
      </w:pPr>
    </w:p>
    <w:p>
      <w:pPr>
        <w:spacing w:after="0" w:line="20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and this Global Restricted Stock Unit Award Agreement, including any additional terms and conditions for the Grantee's country set forth in the appendix attached hereto (the "Appendix" and together with the Global Restricted Stock Unit Award Agreement, the “Agreement”),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8" w:lineRule="exact"/>
        <w:rPr>
          <w:sz w:val="20"/>
          <w:szCs w:val="20"/>
          <w:color w:val="auto"/>
        </w:rPr>
      </w:pPr>
    </w:p>
    <w:p>
      <w:pPr>
        <w:ind w:right="140" w:firstLine="872"/>
        <w:spacing w:after="0" w:line="236"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right="20" w:firstLine="872"/>
        <w:spacing w:after="0" w:line="273" w:lineRule="auto"/>
        <w:tabs>
          <w:tab w:leader="none" w:pos="167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as to 25 percent of the Restricted Stock Units and such Restricted Stock Units shall vest on the first anniversary of the Vesting Commencement Date; provided that the Grantee remains an employee of the Company or a Subsidiary on such date. Thereafter, the restrictions and conditions of Paragraph 1 of this Agreement shall lapse as to the remaining 75 percent of the Restricted Stock Units and such Restricted Stock Units shall vest in 12 equal installments every three months following the first anniversary of the Vesting Commencement Date, provided that the Grantee remains an employee of the Company or a Subsidiary on such dates. For the avoidance of doubt, employment during only a period prior to a vesting date (but where employment has terminated prior to the vesting date) does not entitle the Grantee to vest in a pro-rata portion of the Restricted Stock Units on such date. The Administrator may at any time accelerate the vesting schedule specified in this Paragraph 2. This Agreement is subject to the terms and conditions of any policies of the Company regarding vesting during leaves of absence.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type w:val="continuous"/>
        </w:sectPr>
      </w:pPr>
    </w:p>
    <w:bookmarkStart w:id="150" w:name="page151"/>
    <w:bookmarkEnd w:id="150"/>
    <w:p>
      <w:pPr>
        <w:ind w:right="500" w:firstLine="864"/>
        <w:spacing w:after="0" w:line="274" w:lineRule="auto"/>
        <w:rPr>
          <w:sz w:val="20"/>
          <w:szCs w:val="20"/>
          <w:color w:val="auto"/>
        </w:rPr>
      </w:pPr>
      <w:r>
        <w:rPr>
          <w:rFonts w:ascii="Arial" w:cs="Arial" w:eastAsia="Arial" w:hAnsi="Arial"/>
          <w:sz w:val="21"/>
          <w:szCs w:val="21"/>
          <w:color w:val="auto"/>
        </w:rPr>
        <w:t>In the event that the Grantee’s employment with the Company and any Subsidiary terminates due to the Grantee’s death, then the Restricted Stock Units shall be deemed vested upon the date of the Grantee’s death.</w:t>
      </w:r>
    </w:p>
    <w:p>
      <w:pPr>
        <w:spacing w:after="0" w:line="15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Units shall be deemed vested upon the date on which the Grantee’s employment with the Company and any Subsidiary or successor entity, as the case may be, terminates if such termination occurs</w:t>
      </w:r>
    </w:p>
    <w:p>
      <w:pPr>
        <w:spacing w:after="0" w:line="1" w:lineRule="exact"/>
        <w:rPr>
          <w:sz w:val="20"/>
          <w:szCs w:val="20"/>
          <w:color w:val="auto"/>
        </w:rPr>
      </w:pPr>
    </w:p>
    <w:p>
      <w:pPr>
        <w:ind w:right="300" w:firstLine="8"/>
        <w:spacing w:after="0" w:line="236" w:lineRule="auto"/>
        <w:tabs>
          <w:tab w:leader="none" w:pos="258"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within 12 months after such Sale Event or 90 days prior to such Sale Event, and (ii) such termination is by the Company or any Subsidiary or successor entity without Cause or by the Grantee for Good Reason.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Subsidiary, or any current or prospective customers, suppliers vendors or other third parties with which such entity does business; (ii) the Grantee’s commission of (A) a felony (or crime of similar magnitude under non-U.S. laws, as determined by the Administrator)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or a Subsidiary; (iv) the Grantee’s gross negligence, willful misconduct or insubordination with respect to the Company or any Subsidiary (including, but not limited to, any violation of the Company’s code of conduct, insider trading, willful accounting improprieties or failure to cooperate with investigations); or (v) the Grantee’s material violation of any provision of any agreement(s) between the Grantee and the Company or any Subsidiary relating to noncompetition, nonsolicitation, nondisclosure and/or assignment of inventions.</w:t>
      </w:r>
    </w:p>
    <w:p>
      <w:pPr>
        <w:spacing w:after="0" w:line="161" w:lineRule="exact"/>
        <w:rPr>
          <w:sz w:val="20"/>
          <w:szCs w:val="20"/>
          <w:color w:val="auto"/>
        </w:rPr>
      </w:pPr>
    </w:p>
    <w:p>
      <w:pPr>
        <w:ind w:right="100" w:firstLine="864"/>
        <w:spacing w:after="0" w:line="282" w:lineRule="auto"/>
        <w:rPr>
          <w:sz w:val="20"/>
          <w:szCs w:val="20"/>
          <w:color w:val="auto"/>
        </w:rPr>
      </w:pPr>
      <w:r>
        <w:rPr>
          <w:rFonts w:ascii="Arial" w:cs="Arial" w:eastAsia="Arial" w:hAnsi="Arial"/>
          <w:sz w:val="19"/>
          <w:szCs w:val="19"/>
          <w:i w:val="1"/>
          <w:iCs w:val="1"/>
          <w:color w:val="auto"/>
        </w:rPr>
        <w:t xml:space="preserve">“Good Reason” </w:t>
      </w:r>
      <w:r>
        <w:rPr>
          <w:rFonts w:ascii="Arial" w:cs="Arial" w:eastAsia="Arial" w:hAnsi="Arial"/>
          <w:sz w:val="19"/>
          <w:szCs w:val="19"/>
          <w:color w:val="auto"/>
        </w:rPr>
        <w:t>shall mean (i) a material diminution in the Grantee’s base salary except for across-the-board salary</w:t>
      </w:r>
      <w:r>
        <w:rPr>
          <w:rFonts w:ascii="Arial" w:cs="Arial" w:eastAsia="Arial" w:hAnsi="Arial"/>
          <w:sz w:val="19"/>
          <w:szCs w:val="19"/>
          <w:i w:val="1"/>
          <w:iCs w:val="1"/>
          <w:color w:val="auto"/>
        </w:rPr>
        <w:t xml:space="preserve"> </w:t>
      </w:r>
      <w:r>
        <w:rPr>
          <w:rFonts w:ascii="Arial" w:cs="Arial" w:eastAsia="Arial" w:hAnsi="Arial"/>
          <w:sz w:val="19"/>
          <w:szCs w:val="19"/>
          <w:color w:val="auto"/>
        </w:rPr>
        <w:t>reductions similarly affecting all or substantially all similarly situated employees of the Company or any Subsidiary or (ii) a change of more than 50 miles in the geographic location at which the Grantee provides services to the Company or a Subsidiary, so long as the Grantee provides notice to the Company or a Subsidiary within at least 90 days following the initial occurrence of any such event and the Company or a Subsidiary fails to cure such event within 30 days of such notice.</w:t>
      </w:r>
    </w:p>
    <w:p>
      <w:pPr>
        <w:spacing w:after="0" w:line="147" w:lineRule="exact"/>
        <w:rPr>
          <w:sz w:val="20"/>
          <w:szCs w:val="20"/>
          <w:color w:val="auto"/>
        </w:rPr>
      </w:pPr>
    </w:p>
    <w:p>
      <w:pPr>
        <w:ind w:right="80" w:firstLine="872"/>
        <w:spacing w:after="0" w:line="249" w:lineRule="auto"/>
        <w:tabs>
          <w:tab w:leader="none" w:pos="1674"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If the Grantee’s employment with the Company and its Subsidiaries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8" w:lineRule="exact"/>
        <w:rPr>
          <w:rFonts w:ascii="Arial" w:cs="Arial" w:eastAsia="Arial" w:hAnsi="Arial"/>
          <w:sz w:val="21"/>
          <w:szCs w:val="21"/>
          <w:color w:val="auto"/>
        </w:rPr>
      </w:pPr>
    </w:p>
    <w:p>
      <w:pPr>
        <w:ind w:right="460" w:firstLine="872"/>
        <w:spacing w:after="0" w:line="250" w:lineRule="auto"/>
        <w:tabs>
          <w:tab w:leader="none" w:pos="167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Issuance of Shares of Stock</w:t>
      </w:r>
      <w:r>
        <w:rPr>
          <w:rFonts w:ascii="Arial" w:cs="Arial" w:eastAsia="Arial" w:hAnsi="Arial"/>
          <w:sz w:val="22"/>
          <w:szCs w:val="22"/>
          <w:color w:val="auto"/>
        </w:rPr>
        <w:t>. As soon as practicable following each vesting date specified in Paragraph 2 (each such date, a “Vesting Date”) (but in no event later than two and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1" w:name="page152"/>
    <w:bookmarkEnd w:id="151"/>
    <w:p>
      <w:pPr>
        <w:spacing w:after="0" w:line="282" w:lineRule="auto"/>
        <w:rPr>
          <w:sz w:val="20"/>
          <w:szCs w:val="20"/>
          <w:color w:val="auto"/>
        </w:rPr>
      </w:pPr>
      <w:r>
        <w:rPr>
          <w:rFonts w:ascii="Arial" w:cs="Arial" w:eastAsia="Arial" w:hAnsi="Arial"/>
          <w:sz w:val="19"/>
          <w:szCs w:val="19"/>
          <w:color w:val="auto"/>
        </w:rPr>
        <w:t>one-half months after the end of the year in which the Vesting Date occurs), the Company shall issue to the Grantee (or in the event of the Grantee’s death, his or her designated beneficiary or his or her estate or legal heirs if the Grantee has not designated a beneficiary) the number of shares of Stock equal to the aggregate number of Restricted Stock Units that have vested pursuant to Paragraph 2 of this Agreement on such date and the Grantee (or the Grantee’s designated beneficiary or estate, as applicable) shall thereafter have all the rights of a stockholder of the Company with respect to such shares.</w:t>
      </w:r>
    </w:p>
    <w:p>
      <w:pPr>
        <w:spacing w:after="0" w:line="147" w:lineRule="exact"/>
        <w:rPr>
          <w:sz w:val="20"/>
          <w:szCs w:val="20"/>
          <w:color w:val="auto"/>
        </w:rPr>
      </w:pPr>
    </w:p>
    <w:p>
      <w:pPr>
        <w:ind w:right="280" w:firstLine="872"/>
        <w:spacing w:after="0" w:line="238" w:lineRule="auto"/>
        <w:tabs>
          <w:tab w:leader="none" w:pos="1674"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left="1740" w:hanging="868"/>
        <w:spacing w:after="0"/>
        <w:tabs>
          <w:tab w:leader="none" w:pos="174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Responsibility for Taxes.</w:t>
      </w:r>
    </w:p>
    <w:p>
      <w:pPr>
        <w:spacing w:after="0" w:line="206" w:lineRule="exact"/>
        <w:rPr>
          <w:rFonts w:ascii="Arial" w:cs="Arial" w:eastAsia="Arial" w:hAnsi="Arial"/>
          <w:sz w:val="22"/>
          <w:szCs w:val="22"/>
          <w:color w:val="auto"/>
        </w:rPr>
      </w:pPr>
    </w:p>
    <w:p>
      <w:pPr>
        <w:jc w:val="both"/>
        <w:ind w:firstLine="1735"/>
        <w:spacing w:after="0" w:line="245" w:lineRule="exact"/>
        <w:tabs>
          <w:tab w:leader="none" w:pos="2615"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Grantee acknowledges that, regardless of any action taken by the Company or, if different, the Subsidiary employing or otherwise retaining the Grantee (the “Employer”), the ultimate liability for all income tax, social insurance, payroll tax, fringe benefits tax, payment on account or other tax</w:t>
      </w:r>
      <w:r>
        <w:rPr>
          <w:rFonts w:ascii="MS PGothic" w:cs="MS PGothic" w:eastAsia="MS PGothic" w:hAnsi="MS PGothic"/>
          <w:sz w:val="19"/>
          <w:szCs w:val="19"/>
          <w:color w:val="auto"/>
        </w:rPr>
        <w:t>‑</w:t>
      </w:r>
      <w:r>
        <w:rPr>
          <w:rFonts w:ascii="Arial" w:cs="Arial" w:eastAsia="Arial" w:hAnsi="Arial"/>
          <w:sz w:val="19"/>
          <w:szCs w:val="19"/>
          <w:color w:val="auto"/>
        </w:rPr>
        <w:t>related items related to the Grantee’s participation in the Plan and legally applicable to the Grantee (“Tax-Related Items”) is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193" w:lineRule="exact"/>
        <w:rPr>
          <w:rFonts w:ascii="Arial" w:cs="Arial" w:eastAsia="Arial" w:hAnsi="Arial"/>
          <w:sz w:val="19"/>
          <w:szCs w:val="19"/>
          <w:color w:val="auto"/>
        </w:rPr>
      </w:pPr>
    </w:p>
    <w:p>
      <w:pPr>
        <w:jc w:val="both"/>
        <w:ind w:firstLine="1735"/>
        <w:spacing w:after="0" w:line="244" w:lineRule="auto"/>
        <w:tabs>
          <w:tab w:leader="none" w:pos="2627" w:val="left"/>
        </w:tabs>
        <w:numPr>
          <w:ilvl w:val="1"/>
          <w:numId w:val="96"/>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Employer; (ii) withholding from proceeds of the sale of shares of Stock acquired upon settlement of the Restricted Stock Units either through a voluntary sale or through a 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jc w:val="both"/>
        <w:ind w:firstLine="1735"/>
        <w:spacing w:after="0" w:line="274" w:lineRule="auto"/>
        <w:tabs>
          <w:tab w:leader="none" w:pos="2615" w:val="left"/>
        </w:tabs>
        <w:numPr>
          <w:ilvl w:val="1"/>
          <w:numId w:val="97"/>
        </w:numPr>
        <w:rPr>
          <w:rFonts w:ascii="Arial" w:cs="Arial" w:eastAsia="Arial" w:hAnsi="Arial"/>
          <w:sz w:val="19"/>
          <w:szCs w:val="19"/>
          <w:color w:val="auto"/>
        </w:rPr>
      </w:pPr>
      <w:r>
        <w:rPr>
          <w:rFonts w:ascii="Arial" w:cs="Arial" w:eastAsia="Arial" w:hAnsi="Arial"/>
          <w:sz w:val="19"/>
          <w:szCs w:val="19"/>
          <w:color w:val="auto"/>
        </w:rPr>
        <w:t>Depending on the withholding method, the Company and/or the Employer may withhold or account for Tax-Related Items by considering applicable statutory withholding amounts or other applicable withholding rates, including maximum rates applicable in the Grantee’s jurisdiction. In the event of over-withholding, the Grantee may receive a refund of any over-withheld amount in cash through the Employer’s normal payroll processes (with no entitlement to the equivalent in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158" w:lineRule="exact"/>
        <w:rPr>
          <w:rFonts w:ascii="Arial" w:cs="Arial" w:eastAsia="Arial" w:hAnsi="Arial"/>
          <w:sz w:val="19"/>
          <w:szCs w:val="19"/>
          <w:color w:val="auto"/>
        </w:rPr>
      </w:pPr>
    </w:p>
    <w:p>
      <w:pPr>
        <w:jc w:val="both"/>
        <w:ind w:firstLine="1735"/>
        <w:spacing w:after="0" w:line="236" w:lineRule="auto"/>
        <w:tabs>
          <w:tab w:leader="none" w:pos="2627"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87" w:lineRule="exact"/>
        <w:rPr>
          <w:rFonts w:ascii="Arial" w:cs="Arial" w:eastAsia="Arial" w:hAnsi="Arial"/>
          <w:sz w:val="22"/>
          <w:szCs w:val="22"/>
          <w:color w:val="auto"/>
        </w:rPr>
      </w:pPr>
    </w:p>
    <w:p>
      <w:pPr>
        <w:ind w:right="200" w:firstLine="872"/>
        <w:spacing w:after="0"/>
        <w:tabs>
          <w:tab w:leader="none" w:pos="167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jc w:val="both"/>
        <w:ind w:right="260" w:firstLine="872"/>
        <w:spacing w:after="0" w:line="287" w:lineRule="auto"/>
        <w:tabs>
          <w:tab w:leader="none" w:pos="167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The grant of the Restricted Stock Units shall not be interpreted as forming or amending an employment contract with the Company or any Subsidiary (including the Employer), and shall not be construed as giving the Grantee the right to be retained in the employ of, the Employer. Neither the Plan nor this Agreement shall interfere in any way with the right of the Employer to terminate the employment of the Grantee at any time.</w:t>
      </w:r>
    </w:p>
    <w:p>
      <w:pPr>
        <w:spacing w:after="0" w:line="142" w:lineRule="exact"/>
        <w:rPr>
          <w:rFonts w:ascii="Arial" w:cs="Arial" w:eastAsia="Arial" w:hAnsi="Arial"/>
          <w:sz w:val="19"/>
          <w:szCs w:val="19"/>
          <w:color w:val="auto"/>
        </w:rPr>
      </w:pPr>
    </w:p>
    <w:p>
      <w:pPr>
        <w:ind w:right="220" w:firstLine="872"/>
        <w:spacing w:after="0" w:line="274" w:lineRule="auto"/>
        <w:tabs>
          <w:tab w:leader="none" w:pos="167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left="1780" w:hanging="908"/>
        <w:spacing w:after="0"/>
        <w:tabs>
          <w:tab w:leader="none" w:pos="178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the Award, the Grantee acknowledges, understands and agrees that:</w:t>
      </w:r>
    </w:p>
    <w:p>
      <w:pPr>
        <w:spacing w:after="0" w:line="217" w:lineRule="exact"/>
        <w:rPr>
          <w:rFonts w:ascii="Arial" w:cs="Arial" w:eastAsia="Arial" w:hAnsi="Arial"/>
          <w:sz w:val="21"/>
          <w:szCs w:val="21"/>
          <w:color w:val="auto"/>
        </w:rPr>
      </w:pPr>
    </w:p>
    <w:p>
      <w:pPr>
        <w:ind w:firstLine="1735"/>
        <w:spacing w:after="0" w:line="250" w:lineRule="auto"/>
        <w:tabs>
          <w:tab w:leader="none" w:pos="2615"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may be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1735"/>
        <w:spacing w:after="0"/>
        <w:tabs>
          <w:tab w:leader="none" w:pos="2627"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3" w:name="page154"/>
    <w:bookmarkEnd w:id="153"/>
    <w:p>
      <w:pPr>
        <w:ind w:left="2620" w:hanging="885"/>
        <w:spacing w:after="0"/>
        <w:tabs>
          <w:tab w:leader="none" w:pos="26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discretion of the Company;</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Grantee is voluntarily participating in the Plan;</w:t>
      </w:r>
    </w:p>
    <w:p>
      <w:pPr>
        <w:spacing w:after="0" w:line="206" w:lineRule="exact"/>
        <w:rPr>
          <w:rFonts w:ascii="Arial" w:cs="Arial" w:eastAsia="Arial" w:hAnsi="Arial"/>
          <w:sz w:val="22"/>
          <w:szCs w:val="22"/>
          <w:color w:val="auto"/>
        </w:rPr>
      </w:pPr>
    </w:p>
    <w:p>
      <w:pPr>
        <w:ind w:right="20" w:firstLine="1735"/>
        <w:spacing w:after="0" w:line="250" w:lineRule="auto"/>
        <w:tabs>
          <w:tab w:leader="none" w:pos="261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Restricted Stock Units and any shares of Stock subject to the Restricted Stock Units,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jc w:val="both"/>
        <w:ind w:firstLine="1735"/>
        <w:spacing w:after="0"/>
        <w:tabs>
          <w:tab w:leader="none" w:pos="2591" w:val="left"/>
        </w:tabs>
        <w:numPr>
          <w:ilvl w:val="0"/>
          <w:numId w:val="99"/>
        </w:numPr>
        <w:rPr>
          <w:rFonts w:ascii="Arial" w:cs="Arial" w:eastAsia="Arial" w:hAnsi="Arial"/>
          <w:sz w:val="22"/>
          <w:szCs w:val="22"/>
          <w:color w:val="auto"/>
        </w:rPr>
      </w:pPr>
      <w:r>
        <w:rPr>
          <w:rFonts w:ascii="Arial" w:cs="Arial" w:eastAsia="Arial" w:hAnsi="Arial"/>
          <w:sz w:val="22"/>
          <w:szCs w:val="22"/>
          <w:color w:val="auto"/>
        </w:rPr>
        <w:t>unless otherwise agreed with the Company, the Restricted Stock Units and the shares of Stock subject to the Restricted Stock Units, and the income from and value of same, are not granted as consideration for, or in connection with, the service the Grantee may provide as a director of a Subsidiary;</w:t>
      </w:r>
    </w:p>
    <w:p>
      <w:pPr>
        <w:spacing w:after="0" w:line="186" w:lineRule="exact"/>
        <w:rPr>
          <w:rFonts w:ascii="Arial" w:cs="Arial" w:eastAsia="Arial" w:hAnsi="Arial"/>
          <w:sz w:val="22"/>
          <w:szCs w:val="22"/>
          <w:color w:val="auto"/>
        </w:rPr>
      </w:pPr>
    </w:p>
    <w:p>
      <w:pPr>
        <w:jc w:val="both"/>
        <w:ind w:firstLine="1735"/>
        <w:spacing w:after="0" w:line="252" w:lineRule="auto"/>
        <w:tabs>
          <w:tab w:leader="none" w:pos="2627"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Restricted Stock Units and any shares of Stock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spacing w:after="0" w:line="173" w:lineRule="exact"/>
        <w:rPr>
          <w:rFonts w:ascii="Arial" w:cs="Arial" w:eastAsia="Arial" w:hAnsi="Arial"/>
          <w:sz w:val="21"/>
          <w:szCs w:val="21"/>
          <w:color w:val="auto"/>
        </w:rPr>
      </w:pPr>
    </w:p>
    <w:p>
      <w:pPr>
        <w:ind w:firstLine="1735"/>
        <w:spacing w:after="0" w:line="250" w:lineRule="auto"/>
        <w:tabs>
          <w:tab w:leader="none" w:pos="262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future value of the shares of Stock underlying the Restricted Stock Units is unknown, indeterminable, and cannot be predicted with certainty;</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579"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Restricted Stock Units resulting from the termination of the Grantee’s employment (for any reason whatsoever, whether or not later found to be invalid or in breach of labor laws in the jurisdiction where the Grantee is employed or the terms of the Grantee’s employment agreement, if any);</w:t>
      </w:r>
    </w:p>
    <w:p>
      <w:pPr>
        <w:spacing w:after="0" w:line="184" w:lineRule="exact"/>
        <w:rPr>
          <w:rFonts w:ascii="Arial" w:cs="Arial" w:eastAsia="Arial" w:hAnsi="Arial"/>
          <w:sz w:val="22"/>
          <w:szCs w:val="22"/>
          <w:color w:val="auto"/>
        </w:rPr>
      </w:pPr>
    </w:p>
    <w:p>
      <w:pPr>
        <w:jc w:val="both"/>
        <w:ind w:firstLine="1735"/>
        <w:spacing w:after="0" w:line="238" w:lineRule="auto"/>
        <w:tabs>
          <w:tab w:leader="none" w:pos="2579" w:val="left"/>
        </w:tabs>
        <w:numPr>
          <w:ilvl w:val="0"/>
          <w:numId w:val="9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184" w:lineRule="exact"/>
        <w:rPr>
          <w:rFonts w:ascii="Arial" w:cs="Arial" w:eastAsia="Arial" w:hAnsi="Arial"/>
          <w:sz w:val="22"/>
          <w:szCs w:val="22"/>
          <w:color w:val="auto"/>
        </w:rPr>
      </w:pPr>
    </w:p>
    <w:p>
      <w:pPr>
        <w:ind w:left="2640" w:hanging="905"/>
        <w:spacing w:after="0"/>
        <w:tabs>
          <w:tab w:leader="none" w:pos="2640" w:val="left"/>
        </w:tabs>
        <w:numPr>
          <w:ilvl w:val="0"/>
          <w:numId w:val="99"/>
        </w:numPr>
        <w:rPr>
          <w:rFonts w:ascii="Arial" w:cs="Arial" w:eastAsia="Arial" w:hAnsi="Arial"/>
          <w:sz w:val="21"/>
          <w:szCs w:val="21"/>
          <w:color w:val="auto"/>
        </w:rPr>
      </w:pPr>
      <w:r>
        <w:rPr>
          <w:rFonts w:ascii="Arial" w:cs="Arial" w:eastAsia="Arial" w:hAnsi="Arial"/>
          <w:sz w:val="21"/>
          <w:szCs w:val="21"/>
          <w:color w:val="auto"/>
        </w:rPr>
        <w:t>if the Grantee resides and/or works in a country outside the United States, the following shall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apply:</w:t>
      </w:r>
    </w:p>
    <w:p>
      <w:pPr>
        <w:spacing w:after="0" w:line="188" w:lineRule="exact"/>
        <w:rPr>
          <w:rFonts w:ascii="Arial" w:cs="Arial" w:eastAsia="Arial" w:hAnsi="Arial"/>
          <w:sz w:val="21"/>
          <w:szCs w:val="21"/>
          <w:color w:val="auto"/>
        </w:rPr>
      </w:pPr>
    </w:p>
    <w:p>
      <w:pPr>
        <w:ind w:left="1740" w:firstLine="726"/>
        <w:spacing w:after="0" w:line="328" w:lineRule="auto"/>
        <w:tabs>
          <w:tab w:leader="none" w:pos="3323"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Restricted Stock Units and any shares of Stock subject to the Restricted Stock Units, and the income from and value of same, are not part of normal or expected compensation for any purpose;</w:t>
      </w:r>
    </w:p>
    <w:p>
      <w:pPr>
        <w:spacing w:after="0" w:line="104" w:lineRule="exact"/>
        <w:rPr>
          <w:rFonts w:ascii="Arial" w:cs="Arial" w:eastAsia="Arial" w:hAnsi="Arial"/>
          <w:sz w:val="19"/>
          <w:szCs w:val="19"/>
          <w:color w:val="auto"/>
        </w:rPr>
      </w:pPr>
    </w:p>
    <w:p>
      <w:pPr>
        <w:jc w:val="both"/>
        <w:ind w:left="1740" w:firstLine="726"/>
        <w:spacing w:after="0" w:line="287" w:lineRule="auto"/>
        <w:tabs>
          <w:tab w:leader="none" w:pos="3383" w:val="left"/>
        </w:tabs>
        <w:numPr>
          <w:ilvl w:val="1"/>
          <w:numId w:val="99"/>
        </w:numPr>
        <w:rPr>
          <w:rFonts w:ascii="Arial" w:cs="Arial" w:eastAsia="Arial" w:hAnsi="Arial"/>
          <w:sz w:val="19"/>
          <w:szCs w:val="19"/>
          <w:color w:val="auto"/>
        </w:rPr>
      </w:pPr>
      <w:r>
        <w:rPr>
          <w:rFonts w:ascii="Arial" w:cs="Arial" w:eastAsia="Arial" w:hAnsi="Arial"/>
          <w:sz w:val="19"/>
          <w:szCs w:val="19"/>
          <w:color w:val="auto"/>
        </w:rPr>
        <w:t>neither the Company, the Employer nor any other Subsidiary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4" w:name="page155"/>
    <w:bookmarkEnd w:id="154"/>
    <w:p>
      <w:pPr>
        <w:ind w:firstLine="872"/>
        <w:spacing w:after="0" w:line="234" w:lineRule="auto"/>
        <w:tabs>
          <w:tab w:leader="none" w:pos="1774"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Appendix</w:t>
      </w:r>
      <w:r>
        <w:rPr>
          <w:rFonts w:ascii="Arial" w:cs="Arial" w:eastAsia="Arial" w:hAnsi="Arial"/>
          <w:sz w:val="22"/>
          <w:szCs w:val="22"/>
          <w:color w:val="auto"/>
        </w:rPr>
        <w:t>.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 apply to the Grantee, to the extent the Company determines that the application of such terms and conditions is necessary or advisable for legal or administrative reasons. The Appendix forms part of this Agreement.</w:t>
      </w:r>
    </w:p>
    <w:p>
      <w:pPr>
        <w:spacing w:after="0" w:line="190" w:lineRule="exact"/>
        <w:rPr>
          <w:rFonts w:ascii="Arial" w:cs="Arial" w:eastAsia="Arial" w:hAnsi="Arial"/>
          <w:sz w:val="22"/>
          <w:szCs w:val="22"/>
          <w:color w:val="auto"/>
        </w:rPr>
      </w:pPr>
    </w:p>
    <w:p>
      <w:pPr>
        <w:ind w:right="60" w:firstLine="872"/>
        <w:spacing w:after="0" w:line="236" w:lineRule="auto"/>
        <w:tabs>
          <w:tab w:leader="none" w:pos="178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Grantee acknowledges that he or she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87" w:lineRule="exact"/>
        <w:rPr>
          <w:rFonts w:ascii="Arial" w:cs="Arial" w:eastAsia="Arial" w:hAnsi="Arial"/>
          <w:sz w:val="22"/>
          <w:szCs w:val="22"/>
          <w:color w:val="auto"/>
        </w:rPr>
      </w:pPr>
    </w:p>
    <w:p>
      <w:pPr>
        <w:ind w:right="60" w:firstLine="872"/>
        <w:spacing w:after="0"/>
        <w:tabs>
          <w:tab w:leader="none" w:pos="178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6" w:lineRule="exact"/>
        <w:rPr>
          <w:rFonts w:ascii="Arial" w:cs="Arial" w:eastAsia="Arial" w:hAnsi="Arial"/>
          <w:sz w:val="22"/>
          <w:szCs w:val="22"/>
          <w:color w:val="auto"/>
        </w:rPr>
      </w:pPr>
    </w:p>
    <w:p>
      <w:pPr>
        <w:ind w:right="240" w:firstLine="872"/>
        <w:spacing w:after="0"/>
        <w:tabs>
          <w:tab w:leader="none" w:pos="178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Arial" w:cs="Arial" w:eastAsia="Arial" w:hAnsi="Arial"/>
          <w:sz w:val="22"/>
          <w:szCs w:val="22"/>
          <w:b w:val="1"/>
          <w:bCs w:val="1"/>
          <w:color w:val="auto"/>
        </w:rPr>
        <w:t>.</w:t>
      </w:r>
    </w:p>
    <w:p>
      <w:pPr>
        <w:spacing w:after="0" w:line="186" w:lineRule="exact"/>
        <w:rPr>
          <w:rFonts w:ascii="Arial" w:cs="Arial" w:eastAsia="Arial" w:hAnsi="Arial"/>
          <w:sz w:val="22"/>
          <w:szCs w:val="22"/>
          <w:color w:val="auto"/>
        </w:rPr>
      </w:pPr>
    </w:p>
    <w:p>
      <w:pPr>
        <w:ind w:right="380" w:firstLine="872"/>
        <w:spacing w:after="0" w:line="250" w:lineRule="auto"/>
        <w:tabs>
          <w:tab w:leader="none" w:pos="178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4" w:lineRule="exact"/>
        <w:rPr>
          <w:rFonts w:ascii="Arial" w:cs="Arial" w:eastAsia="Arial" w:hAnsi="Arial"/>
          <w:sz w:val="22"/>
          <w:szCs w:val="22"/>
          <w:color w:val="auto"/>
        </w:rPr>
      </w:pPr>
    </w:p>
    <w:p>
      <w:pPr>
        <w:ind w:right="320" w:firstLine="872"/>
        <w:spacing w:after="0" w:line="287" w:lineRule="auto"/>
        <w:tabs>
          <w:tab w:leader="none" w:pos="178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Venue</w:t>
      </w:r>
      <w:r>
        <w:rPr>
          <w:rFonts w:ascii="Arial" w:cs="Arial" w:eastAsia="Arial" w:hAnsi="Arial"/>
          <w:sz w:val="19"/>
          <w:szCs w:val="19"/>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42" w:lineRule="exact"/>
        <w:rPr>
          <w:rFonts w:ascii="Arial" w:cs="Arial" w:eastAsia="Arial" w:hAnsi="Arial"/>
          <w:sz w:val="19"/>
          <w:szCs w:val="19"/>
          <w:color w:val="auto"/>
        </w:rPr>
      </w:pPr>
    </w:p>
    <w:p>
      <w:pPr>
        <w:ind w:right="240" w:firstLine="872"/>
        <w:spacing w:after="0"/>
        <w:tabs>
          <w:tab w:leader="none" w:pos="178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6" w:lineRule="exact"/>
        <w:rPr>
          <w:rFonts w:ascii="Arial" w:cs="Arial" w:eastAsia="Arial" w:hAnsi="Arial"/>
          <w:sz w:val="22"/>
          <w:szCs w:val="22"/>
          <w:color w:val="auto"/>
        </w:rPr>
      </w:pPr>
    </w:p>
    <w:p>
      <w:pPr>
        <w:ind w:right="40" w:firstLine="872"/>
        <w:spacing w:after="0" w:line="252" w:lineRule="auto"/>
        <w:tabs>
          <w:tab w:leader="none" w:pos="1782"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the Restricted Stock Units and the shares of Stock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5" w:name="page156"/>
    <w:bookmarkEnd w:id="155"/>
    <w:p>
      <w:pPr>
        <w:ind w:right="140" w:firstLine="872"/>
        <w:spacing w:after="0" w:line="252" w:lineRule="auto"/>
        <w:tabs>
          <w:tab w:leader="none" w:pos="1782"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 of Documents</w:t>
      </w:r>
      <w:r>
        <w:rPr>
          <w:rFonts w:ascii="Arial" w:cs="Arial" w:eastAsia="Arial" w:hAnsi="Arial"/>
          <w:sz w:val="21"/>
          <w:szCs w:val="21"/>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173" w:lineRule="exact"/>
        <w:rPr>
          <w:rFonts w:ascii="Arial" w:cs="Arial" w:eastAsia="Arial" w:hAnsi="Arial"/>
          <w:sz w:val="21"/>
          <w:szCs w:val="21"/>
          <w:color w:val="auto"/>
        </w:rPr>
      </w:pPr>
    </w:p>
    <w:p>
      <w:pPr>
        <w:ind w:firstLine="872"/>
        <w:spacing w:after="0" w:line="272" w:lineRule="auto"/>
        <w:tabs>
          <w:tab w:leader="none" w:pos="178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Stock, the Company shall not be required to permit the vesting of the Restricted Stock Units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Stock with the SEC or any state or non-U.S. securities commission or to seek approval or clearance from any governmental authority for the issuance or sale of the shares of Stock subject to the Restricted Stock Units. Further, the Grantee agrees that the Company shall have unilateral authority to amend this Agreement without the Grantee’s consent to the extent necessary to comply with securities or other laws applicable to issuance of the shares of Stock subject to the Restricted Stock Units.</w:t>
      </w:r>
    </w:p>
    <w:p>
      <w:pPr>
        <w:spacing w:after="0" w:line="160" w:lineRule="exact"/>
        <w:rPr>
          <w:rFonts w:ascii="Arial" w:cs="Arial" w:eastAsia="Arial" w:hAnsi="Arial"/>
          <w:sz w:val="19"/>
          <w:szCs w:val="19"/>
          <w:color w:val="auto"/>
        </w:rPr>
      </w:pPr>
    </w:p>
    <w:p>
      <w:pPr>
        <w:ind w:right="40" w:firstLine="872"/>
        <w:spacing w:after="0" w:line="271" w:lineRule="auto"/>
        <w:tabs>
          <w:tab w:leader="none" w:pos="178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 / Market Abuse Laws</w:t>
      </w:r>
      <w:r>
        <w:rPr>
          <w:rFonts w:ascii="Arial" w:cs="Arial" w:eastAsia="Arial" w:hAnsi="Arial"/>
          <w:sz w:val="19"/>
          <w:szCs w:val="19"/>
          <w:color w:val="auto"/>
        </w:rPr>
        <w:t>. By accepting the Restricted Stock Units, the Grantee acknowledges that he or she is bound by all the terms and conditions of any Company’s insider trading policy as may be in effect from time to time. The Grantee further acknowledges that, depending on the Grantee’s country, the broker's country or the country in which the shares of Stock are listed, the Grantee may be or may become subject to insider trading restrictions and/or market abuse laws which may affect the Grantee’s ability to accept, acquire, sell or otherwise dispose of shares of Stock, rights to shares of Stock (</w:t>
      </w:r>
      <w:r>
        <w:rPr>
          <w:rFonts w:ascii="Arial" w:cs="Arial" w:eastAsia="Arial" w:hAnsi="Arial"/>
          <w:sz w:val="19"/>
          <w:szCs w:val="19"/>
          <w:i w:val="1"/>
          <w:iCs w:val="1"/>
          <w:color w:val="auto"/>
        </w:rPr>
        <w:t>e.g.</w:t>
      </w:r>
      <w:r>
        <w:rPr>
          <w:rFonts w:ascii="Arial" w:cs="Arial" w:eastAsia="Arial" w:hAnsi="Arial"/>
          <w:sz w:val="19"/>
          <w:szCs w:val="19"/>
          <w:color w:val="auto"/>
        </w:rPr>
        <w:t>, Restricted Stock Units) or rights linked to the value of shares of Stock under the Plan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his or her personal advisor on this matter.</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right="220" w:firstLine="872"/>
        <w:spacing w:after="0" w:line="252" w:lineRule="auto"/>
        <w:tabs>
          <w:tab w:leader="none" w:pos="1782"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Foreign Asset/Account, Exchange Control and Tax Reporting</w:t>
      </w:r>
      <w:r>
        <w:rPr>
          <w:rFonts w:ascii="Arial" w:cs="Arial" w:eastAsia="Arial" w:hAnsi="Arial"/>
          <w:sz w:val="21"/>
          <w:szCs w:val="21"/>
          <w:color w:val="auto"/>
        </w:rPr>
        <w:t>. Depending on the Grantee’s country, the Grantee may be subject to foreign asset/account, exchange control, tax reporting or other requirements which may affect the Grantee’s ability acquire or hold Restricted Stock Units or shares of Stock under the Plan or cash received from participating in the Plan (including dividends and the proceeds arising from the sale of shares of Stock) in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ind w:right="140"/>
        <w:spacing w:after="0" w:line="282" w:lineRule="auto"/>
        <w:rPr>
          <w:sz w:val="20"/>
          <w:szCs w:val="20"/>
          <w:color w:val="auto"/>
        </w:rPr>
      </w:pPr>
      <w:r>
        <w:rPr>
          <w:rFonts w:ascii="Arial" w:cs="Arial" w:eastAsia="Arial" w:hAnsi="Arial"/>
          <w:sz w:val="19"/>
          <w:szCs w:val="19"/>
          <w:color w:val="auto"/>
        </w:rPr>
        <w:t>brokerage/bank account outside the Grantee’s country. The applicable laws of the Grantee’s country may require that he or she report such Restricted Stock Units, shares of Stock, accounts, assets or transactions to the applicable authorities in such country and/or repatriate funds received in connection with the Plan to the Grantee’s country within a certain time period or according to certain procedures. The Grantee acknowledges that he or she is responsible for ensuring compliance with any applicable requirements and should consult his or her personal legal advisor to ensure compliance with applicable laws.</w:t>
      </w:r>
    </w:p>
    <w:p>
      <w:pPr>
        <w:spacing w:after="0" w:line="147" w:lineRule="exact"/>
        <w:rPr>
          <w:sz w:val="20"/>
          <w:szCs w:val="20"/>
          <w:color w:val="auto"/>
        </w:rPr>
      </w:pPr>
    </w:p>
    <w:p>
      <w:pPr>
        <w:jc w:val="both"/>
        <w:ind w:right="100" w:firstLine="872"/>
        <w:spacing w:after="0" w:line="238" w:lineRule="auto"/>
        <w:tabs>
          <w:tab w:leader="none" w:pos="1782"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Notwithstanding anything herein to the contrary, this Award of Restricted Stock Units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147955</wp:posOffset>
            </wp:positionV>
            <wp:extent cx="2005965" cy="8743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20059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6985</wp:posOffset>
            </wp:positionV>
            <wp:extent cx="30346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00"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420" w:val="left"/>
          <w:tab w:leader="none" w:pos="46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&lt;Acceptance Date&gt;</w:t>
      </w:r>
      <w:r>
        <w:rPr>
          <w:sz w:val="20"/>
          <w:szCs w:val="20"/>
          <w:color w:val="auto"/>
        </w:rPr>
        <w:tab/>
      </w:r>
      <w:r>
        <w:rPr>
          <w:rFonts w:ascii="Arial" w:cs="Arial" w:eastAsia="Arial" w:hAnsi="Arial"/>
          <w:sz w:val="19"/>
          <w:szCs w:val="19"/>
          <w:color w:val="auto"/>
        </w:rPr>
        <w:t>&lt;Electronic Signature&gt;</w:t>
      </w:r>
    </w:p>
    <w:p>
      <w:pPr>
        <w:spacing w:after="0" w:line="200" w:lineRule="exact"/>
        <w:rPr>
          <w:sz w:val="20"/>
          <w:szCs w:val="20"/>
          <w:color w:val="auto"/>
        </w:rPr>
      </w:pPr>
    </w:p>
    <w:p>
      <w:pPr>
        <w:spacing w:after="0" w:line="22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&lt;Participant Name&gt;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u w:val="single" w:color="auto"/>
          <w:color w:val="auto"/>
        </w:rPr>
        <w:t>APPENDIX</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RESTRICTED STOCK UNIT AWARD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COMPANY EMPLOYEES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Capitalized terms used but not defined in this Appendix shall have the same meanings assigned to them in the Plan and/or the Global Restricted Stock Unit Award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December 2020. Such laws are often complex and change frequently. As a result, the Company strongly recommends that the Grantee not rely on the information noted herein as the only source of information relating to the consequences of participation in the Plan because the information may be out-of-date at the time the Grantee vests in the Restricted Stock Units or sells any shares of Stock acquired under the Plan.</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the information contained herein is general in nature and may not apply to the Grantee’s particular situation. As a result, the Company is not in a position to assure the Grantee of any particular result. Accordingly, the Grantee is strongly advised to seek appropriate professional advice as to how the relevant laws in the Grantee’s country may apply to the Grantee’s individual situation.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jc w:val="center"/>
        <w:ind w:left="340" w:right="340"/>
        <w:spacing w:after="0" w:line="256" w:lineRule="auto"/>
        <w:rPr>
          <w:sz w:val="20"/>
          <w:szCs w:val="20"/>
          <w:color w:val="auto"/>
        </w:rPr>
      </w:pPr>
      <w:r>
        <w:rPr>
          <w:rFonts w:ascii="Arial" w:cs="Arial" w:eastAsia="Arial" w:hAnsi="Arial"/>
          <w:sz w:val="22"/>
          <w:szCs w:val="22"/>
          <w:b w:val="1"/>
          <w:bCs w:val="1"/>
          <w:u w:val="single" w:color="auto"/>
          <w:color w:val="auto"/>
        </w:rPr>
        <w:t>ALL COUNTRIES OUTSIDE THE U.S., EUROPEAN UNION, EUROPEAN ECONOMIC AREA AND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Data Privacy Notification and Consent</w:t>
      </w:r>
    </w:p>
    <w:p>
      <w:pPr>
        <w:spacing w:after="0" w:line="212" w:lineRule="exact"/>
        <w:rPr>
          <w:sz w:val="20"/>
          <w:szCs w:val="20"/>
          <w:color w:val="auto"/>
        </w:rPr>
      </w:pPr>
    </w:p>
    <w:p>
      <w:pPr>
        <w:jc w:val="both"/>
        <w:ind w:firstLine="8"/>
        <w:spacing w:after="0" w:line="238" w:lineRule="auto"/>
        <w:tabs>
          <w:tab w:leader="none" w:pos="900" w:val="left"/>
        </w:tabs>
        <w:numPr>
          <w:ilvl w:val="0"/>
          <w:numId w:val="10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By accepting the Award, the Grantee explicitly and unambiguously consents to the collection, use and transfer, in electronic or other form, of the Grantee's personal data as described in the Agreement by and among, as applicable, the Employer, the Company and its other Subsidiaries for the exclusive purpose of implementing, administering and managing the Grantee's participation in the Plan.</w:t>
      </w:r>
    </w:p>
    <w:p>
      <w:pPr>
        <w:spacing w:after="0" w:line="184" w:lineRule="exact"/>
        <w:rPr>
          <w:rFonts w:ascii="Arial" w:cs="Arial" w:eastAsia="Arial" w:hAnsi="Arial"/>
          <w:sz w:val="22"/>
          <w:szCs w:val="22"/>
          <w:b w:val="1"/>
          <w:bCs w:val="1"/>
          <w:i w:val="1"/>
          <w:iCs w:val="1"/>
          <w:color w:val="auto"/>
        </w:rPr>
      </w:pPr>
    </w:p>
    <w:p>
      <w:pPr>
        <w:jc w:val="both"/>
        <w:ind w:firstLine="8"/>
        <w:spacing w:after="0" w:line="279" w:lineRule="auto"/>
        <w:tabs>
          <w:tab w:leader="none" w:pos="900" w:val="left"/>
        </w:tabs>
        <w:numPr>
          <w:ilvl w:val="0"/>
          <w:numId w:val="10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the Company, the Employer and other Subsidiaries may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of Stock or directorships held in the Company, details of all Restricted Stock Units or any other entitlement to shares awarded, canceled, vested, unvested or outstanding in the Grantee's favor (“Data”), for the purpose of implementing, administering and managing the Plan</w:t>
      </w:r>
    </w:p>
    <w:p>
      <w:pPr>
        <w:spacing w:after="0" w:line="150" w:lineRule="exact"/>
        <w:rPr>
          <w:rFonts w:ascii="Arial" w:cs="Arial" w:eastAsia="Arial" w:hAnsi="Arial"/>
          <w:sz w:val="19"/>
          <w:szCs w:val="19"/>
          <w:b w:val="1"/>
          <w:bCs w:val="1"/>
          <w:i w:val="1"/>
          <w:iCs w:val="1"/>
          <w:color w:val="auto"/>
        </w:rPr>
      </w:pPr>
    </w:p>
    <w:p>
      <w:pPr>
        <w:jc w:val="both"/>
        <w:ind w:firstLine="8"/>
        <w:spacing w:after="0" w:line="270" w:lineRule="auto"/>
        <w:tabs>
          <w:tab w:leader="none" w:pos="888" w:val="left"/>
        </w:tabs>
        <w:numPr>
          <w:ilvl w:val="0"/>
          <w:numId w:val="10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Grantee understands that Data will be transferred to Fidelity Stock Plan Services LLC, or such other stock plan service provider as may be selected by the Company in the future, which assist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understands that if he or she resides outside the United States, the Grantee may request a list with the names and addresses of any potential recipients of the Data by contacting the Grantee's local human resources representative. The Grantee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of Stock received upon vesting of the Restricted Stock Units may be deposited. The Grantee understands that Data will be held only as long as is necessary to implement, administer and manage the Grantee's participation in the Plan. The Grantee understands that if the Grantee resides outside the United States, he or she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his or her ability to participate in the Plan. For more information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spacing w:after="0" w:line="250" w:lineRule="auto"/>
        <w:rPr>
          <w:sz w:val="20"/>
          <w:szCs w:val="20"/>
          <w:color w:val="auto"/>
        </w:rPr>
      </w:pPr>
      <w:r>
        <w:rPr>
          <w:rFonts w:ascii="Arial" w:cs="Arial" w:eastAsia="Arial" w:hAnsi="Arial"/>
          <w:sz w:val="22"/>
          <w:szCs w:val="22"/>
          <w:b w:val="1"/>
          <w:bCs w:val="1"/>
          <w:i w:val="1"/>
          <w:iCs w:val="1"/>
          <w:color w:val="auto"/>
        </w:rPr>
        <w:t>on the consequences of the Grantee's refusal to consent or withdrawal of consent, the Grantee understands that he or she may contact his or her local human resources representative.</w:t>
      </w:r>
    </w:p>
    <w:p>
      <w:pPr>
        <w:spacing w:after="0" w:line="175" w:lineRule="exact"/>
        <w:rPr>
          <w:sz w:val="20"/>
          <w:szCs w:val="20"/>
          <w:color w:val="auto"/>
        </w:rPr>
      </w:pPr>
    </w:p>
    <w:p>
      <w:pPr>
        <w:jc w:val="both"/>
        <w:ind w:firstLine="8"/>
        <w:spacing w:after="0" w:line="279" w:lineRule="auto"/>
        <w:tabs>
          <w:tab w:leader="none" w:pos="900" w:val="left"/>
        </w:tabs>
        <w:numPr>
          <w:ilvl w:val="0"/>
          <w:numId w:val="104"/>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he or she will not be able to participate in the Plan if the Grantee fails to provide any such consent or agreement requested by the Company and/or the Employer.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Australia Offer Document</w:t>
      </w:r>
      <w:r>
        <w:rPr>
          <w:rFonts w:ascii="Arial" w:cs="Arial" w:eastAsia="Arial" w:hAnsi="Arial"/>
          <w:sz w:val="22"/>
          <w:szCs w:val="22"/>
          <w:color w:val="auto"/>
        </w:rPr>
        <w:t>. The offer of the Restricted Stock Units is intended to comply with the provisions of the Corporations Act 2001, Australia Securities and Investments Commission (“ASIC”) Regulatory Guide 49 and ASIC Class Order CO 14/1000. Additional details are set forth in the Offer Document for the offer of the Restricted Stock Units to Australia resident employees, which will be provided to the Grantee with the Agreement.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Tax Notification</w:t>
      </w:r>
      <w:r>
        <w:rPr>
          <w:rFonts w:ascii="Arial" w:cs="Arial" w:eastAsia="Arial" w:hAnsi="Arial"/>
          <w:sz w:val="22"/>
          <w:szCs w:val="22"/>
          <w:color w:val="auto"/>
        </w:rPr>
        <w:t>. Subdivision 83A-C of the Income Tax Assessment Act, 1997 applies to the Restricted Stock Units granted under the Plan, such that the Restricted Stock Units are intended to be subject to deferred taxation.</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b w:val="1"/>
          <w:bCs w:val="1"/>
          <w:color w:val="auto"/>
        </w:rPr>
        <w:t>.</w:t>
      </w:r>
      <w:r>
        <w:rPr>
          <w:rFonts w:ascii="Arial" w:cs="Arial" w:eastAsia="Arial" w:hAnsi="Arial"/>
          <w:sz w:val="22"/>
          <w:szCs w:val="22"/>
          <w:color w:val="auto"/>
        </w:rPr>
        <w:t xml:space="preserve"> 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Award Payable Only in Shares</w:t>
      </w:r>
      <w:r>
        <w:rPr>
          <w:rFonts w:ascii="Arial" w:cs="Arial" w:eastAsia="Arial" w:hAnsi="Arial"/>
          <w:sz w:val="22"/>
          <w:szCs w:val="22"/>
          <w:color w:val="auto"/>
        </w:rPr>
        <w:t>. The Restricted Stock Units shall be paid in shares of Stock only and do not provide the Grantee with any right to receive a cash payment.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terms and conditions apply to employees resident in Quebec:</w:t>
      </w:r>
    </w:p>
    <w:p>
      <w:pPr>
        <w:spacing w:after="0" w:line="20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jc w:val="both"/>
        <w:spacing w:after="0" w:line="328" w:lineRule="auto"/>
        <w:rPr>
          <w:sz w:val="20"/>
          <w:szCs w:val="20"/>
          <w:color w:val="auto"/>
        </w:rPr>
      </w:pPr>
      <w:r>
        <w:rPr>
          <w:rFonts w:ascii="Arial" w:cs="Arial" w:eastAsia="Arial" w:hAnsi="Arial"/>
          <w:sz w:val="19"/>
          <w:szCs w:val="19"/>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following provision supplements the Data Privacy Notification and Consent provision above in this Appendix:</w:t>
      </w:r>
    </w:p>
    <w:p>
      <w:pPr>
        <w:spacing w:after="0" w:line="24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and any Subsidiary and the Administrator to disclose and discuss the Plan with their advisors and to record all relevant information and keep such information in the Grantee’s employee file.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Securities Law Information</w:t>
      </w:r>
      <w:r>
        <w:rPr>
          <w:rFonts w:ascii="Arial" w:cs="Arial" w:eastAsia="Arial" w:hAnsi="Arial"/>
          <w:sz w:val="22"/>
          <w:szCs w:val="22"/>
          <w:color w:val="auto"/>
        </w:rPr>
        <w:t>. The Grantee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The following provision supplements Paragraph 10 of the Global Restricted Stock Unit Award Agreement:</w:t>
      </w:r>
    </w:p>
    <w:p>
      <w:pPr>
        <w:spacing w:after="0" w:line="2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Grantee understands the grant of Restricted Stock Units is offered only to eligible employees of the Company and its Subsidiaries. The Grantee further understands that the Plan and other grant documents are not of a promotional nature, are not made available as part of a public announcement and are made available only to eligible employees of the Company and its Subsidiaries. The Grantee acknowledges that he or she did not receive any invitation, offer or enticement by the Company or any of its agents or representatives to participate in the Plan or acquire shares of Stock and that the Grantee's acceptance of the Restricted Stock Units is voluntary. Finally, the Grantee acknowledges and accepts that the Company is not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61" w:name="page162"/>
    <w:bookmarkEnd w:id="161"/>
    <w:p>
      <w:pPr>
        <w:jc w:val="both"/>
        <w:spacing w:after="0" w:line="250" w:lineRule="auto"/>
        <w:rPr>
          <w:sz w:val="20"/>
          <w:szCs w:val="20"/>
          <w:color w:val="auto"/>
        </w:rPr>
      </w:pPr>
      <w:r>
        <w:rPr>
          <w:rFonts w:ascii="Arial" w:cs="Arial" w:eastAsia="Arial" w:hAnsi="Arial"/>
          <w:sz w:val="22"/>
          <w:szCs w:val="22"/>
          <w:color w:val="auto"/>
        </w:rPr>
        <w:t>providing any tax, legal or other advice regarding the grant of Restricted Stock Units, the subsequent settlement/vesting or sale of shares of Stock under the Plan.</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Grantee is responsible for complying with any and all Colombian foreign exchange restrictions, approvals and reporting requirements in connection with the Restricted Stock Units and any shares of Stock acquired or funds received under the Plan. This may include reporting obligations to the Central Bank (</w:t>
      </w:r>
      <w:r>
        <w:rPr>
          <w:rFonts w:ascii="Arial" w:cs="Arial" w:eastAsia="Arial" w:hAnsi="Arial"/>
          <w:sz w:val="22"/>
          <w:szCs w:val="22"/>
          <w:i w:val="1"/>
          <w:iCs w:val="1"/>
          <w:color w:val="auto"/>
        </w:rPr>
        <w:t>Banco de la República</w:t>
      </w:r>
      <w:r>
        <w:rPr>
          <w:rFonts w:ascii="Arial" w:cs="Arial" w:eastAsia="Arial" w:hAnsi="Arial"/>
          <w:sz w:val="22"/>
          <w:szCs w:val="22"/>
          <w:color w:val="auto"/>
        </w:rPr>
        <w:t>). If applicable, the Grantee will be required to register his or her investment with the Central Bank, regardless of the value of his or her investment. The Grantee should consult with his or her personal legal advisor regarding any obligations in connection with this reporting requirement.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Type of Grant</w:t>
      </w:r>
      <w:r>
        <w:rPr>
          <w:rFonts w:ascii="Arial" w:cs="Arial" w:eastAsia="Arial" w:hAnsi="Arial"/>
          <w:sz w:val="22"/>
          <w:szCs w:val="22"/>
          <w:color w:val="auto"/>
        </w:rPr>
        <w:t>. The Restricted Stock Units are not granted as “French-qualified” awards and are not intended to qualify for the special tax and social security treatment applicable to shares granted for no consideration under Sections L. 225-197 and seq. of the French Commercial Code, as amended.</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By accepting the Restricted Stock Units, the Grantee confirms having read and understood the documents relating to the Restricted Stock Units which were provided to the Grantee in English.</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 xml:space="preserve">En acceptant l'attribution d’actions gratuites «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 le Grantee confirme avoir lu et compris les documents relatifs aux Restricted </w:t>
      </w:r>
      <w:r>
        <w:rPr>
          <w:rFonts w:ascii="Arial" w:cs="Arial" w:eastAsia="Arial" w:hAnsi="Arial"/>
          <w:sz w:val="22"/>
          <w:szCs w:val="22"/>
          <w:color w:val="auto"/>
        </w:rPr>
        <w:t>Stock</w:t>
      </w:r>
      <w:r>
        <w:rPr>
          <w:rFonts w:ascii="Arial" w:cs="Arial" w:eastAsia="Arial" w:hAnsi="Arial"/>
          <w:sz w:val="22"/>
          <w:szCs w:val="22"/>
          <w:i w:val="1"/>
          <w:iCs w:val="1"/>
          <w:color w:val="auto"/>
        </w:rPr>
        <w:t xml:space="preserve"> Units qui ont été communiqués au Grantee en langue anglaise.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u w:val="single" w:color="auto"/>
          <w:color w:val="auto"/>
        </w:rPr>
        <w:t>Exchange Control Information</w:t>
      </w:r>
      <w:r>
        <w:rPr>
          <w:rFonts w:ascii="Arial" w:cs="Arial" w:eastAsia="Arial" w:hAnsi="Arial"/>
          <w:sz w:val="21"/>
          <w:szCs w:val="21"/>
          <w:color w:val="auto"/>
        </w:rPr>
        <w:t>. German residents must electronically report cross-border payments in excess of €12,500 to the German Federal Bank (</w:t>
      </w:r>
      <w:r>
        <w:rPr>
          <w:rFonts w:ascii="Arial" w:cs="Arial" w:eastAsia="Arial" w:hAnsi="Arial"/>
          <w:sz w:val="21"/>
          <w:szCs w:val="21"/>
          <w:i w:val="1"/>
          <w:iCs w:val="1"/>
          <w:color w:val="auto"/>
        </w:rPr>
        <w:t>Bundesbank</w:t>
      </w:r>
      <w:r>
        <w:rPr>
          <w:rFonts w:ascii="Arial" w:cs="Arial" w:eastAsia="Arial" w:hAnsi="Arial"/>
          <w:sz w:val="21"/>
          <w:szCs w:val="21"/>
          <w:color w:val="auto"/>
        </w:rPr>
        <w:t>) on a monthly basis. In case of payments in connection with securities (including any proceeds realized upon the sale of shares of Stock or the receipt of any dividends), the report must be made by the 5th day of the month following the month in which the payment was received. The form of report (“</w:t>
      </w:r>
      <w:r>
        <w:rPr>
          <w:rFonts w:ascii="Arial" w:cs="Arial" w:eastAsia="Arial" w:hAnsi="Arial"/>
          <w:sz w:val="21"/>
          <w:szCs w:val="21"/>
          <w:i w:val="1"/>
          <w:iCs w:val="1"/>
          <w:color w:val="auto"/>
        </w:rPr>
        <w:t>Allgemeines Meldeportal Statistik</w:t>
      </w:r>
      <w:r>
        <w:rPr>
          <w:rFonts w:ascii="Arial" w:cs="Arial" w:eastAsia="Arial" w:hAnsi="Arial"/>
          <w:sz w:val="21"/>
          <w:szCs w:val="21"/>
          <w:color w:val="auto"/>
        </w:rPr>
        <w:t>”) can be accessed via the Bundesbank’s website (</w:t>
      </w:r>
      <w:r>
        <w:rPr>
          <w:rFonts w:ascii="Arial" w:cs="Arial" w:eastAsia="Arial" w:hAnsi="Arial"/>
          <w:sz w:val="21"/>
          <w:szCs w:val="21"/>
          <w:u w:val="single" w:color="auto"/>
          <w:color w:val="auto"/>
        </w:rPr>
        <w:t>www.bundesbank.de</w:t>
      </w:r>
      <w:r>
        <w:rPr>
          <w:rFonts w:ascii="Arial" w:cs="Arial" w:eastAsia="Arial" w:hAnsi="Arial"/>
          <w:sz w:val="21"/>
          <w:szCs w:val="21"/>
          <w:color w:val="auto"/>
        </w:rPr>
        <w:t xml:space="preserve">). </w:t>
      </w:r>
      <w:r>
        <w:rPr>
          <w:rFonts w:ascii="Arial" w:cs="Arial" w:eastAsia="Arial" w:hAnsi="Arial"/>
          <w:sz w:val="21"/>
          <w:szCs w:val="21"/>
          <w:i w:val="1"/>
          <w:iCs w:val="1"/>
          <w:color w:val="auto"/>
        </w:rPr>
        <w:t>The Grantee should consult his or her personal advisor to ensure</w:t>
      </w:r>
      <w:r>
        <w:rPr>
          <w:rFonts w:ascii="Arial" w:cs="Arial" w:eastAsia="Arial" w:hAnsi="Arial"/>
          <w:sz w:val="21"/>
          <w:szCs w:val="21"/>
          <w:color w:val="auto"/>
        </w:rPr>
        <w:t xml:space="preserve"> </w:t>
      </w:r>
      <w:r>
        <w:rPr>
          <w:rFonts w:ascii="Arial" w:cs="Arial" w:eastAsia="Arial" w:hAnsi="Arial"/>
          <w:sz w:val="21"/>
          <w:szCs w:val="21"/>
          <w:i w:val="1"/>
          <w:iCs w:val="1"/>
          <w:color w:val="auto"/>
        </w:rPr>
        <w:t>compliance with applicable reporting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Exchange Control Information</w:t>
      </w:r>
      <w:r>
        <w:rPr>
          <w:rFonts w:ascii="Arial" w:cs="Arial" w:eastAsia="Arial" w:hAnsi="Arial"/>
          <w:sz w:val="22"/>
          <w:szCs w:val="22"/>
          <w:color w:val="auto"/>
        </w:rPr>
        <w:t>. The Grantee acknowledges that due to Indian exchange control regulations, the proceeds from the sale of shares of Stock acquired at vesting of the RSUs and any cash dividends paid on shares of Stock acquired under the Plan must be repatriated to India within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 certain period of time, as required under applicable regulations. The Grantee will receive a foreign inward remittance certificate (the “</w:t>
      </w:r>
      <w:r>
        <w:rPr>
          <w:rFonts w:ascii="Arial" w:cs="Arial" w:eastAsia="Arial" w:hAnsi="Arial"/>
          <w:sz w:val="21"/>
          <w:szCs w:val="21"/>
          <w:b w:val="1"/>
          <w:bCs w:val="1"/>
          <w:i w:val="1"/>
          <w:iCs w:val="1"/>
          <w:color w:val="auto"/>
        </w:rPr>
        <w:t>FIRC</w:t>
      </w:r>
      <w:r>
        <w:rPr>
          <w:rFonts w:ascii="Arial" w:cs="Arial" w:eastAsia="Arial" w:hAnsi="Arial"/>
          <w:sz w:val="21"/>
          <w:szCs w:val="21"/>
          <w:color w:val="auto"/>
        </w:rPr>
        <w:t>”) from the bank where the Grantee deposits the foreign currency. The Grantee should maintain the FIRC as evidence of the repatriation of fund in the event the Reserve Bank of India, the Company or the Employer requests proof of repatriation. It is the Grantee’s responsibility to comply with applicable exchange control laws in India.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u w:val="single" w:color="auto"/>
          <w:color w:val="auto"/>
        </w:rPr>
        <w:t>Director Notification Information</w:t>
      </w:r>
      <w:r>
        <w:rPr>
          <w:rFonts w:ascii="Arial" w:cs="Arial" w:eastAsia="Arial" w:hAnsi="Arial"/>
          <w:sz w:val="19"/>
          <w:szCs w:val="19"/>
          <w:color w:val="auto"/>
        </w:rPr>
        <w:t>. Directors, shadow directors and secretaries of an Irish Subsidiary must notify such Subsidiary in writing upon (i)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the Restricted Stock Units, shares of Stock, etc.),</w:t>
      </w:r>
    </w:p>
    <w:p>
      <w:pPr>
        <w:spacing w:after="0" w:line="1" w:lineRule="exact"/>
        <w:rPr>
          <w:sz w:val="20"/>
          <w:szCs w:val="20"/>
          <w:color w:val="auto"/>
        </w:rPr>
      </w:pPr>
    </w:p>
    <w:p>
      <w:pPr>
        <w:jc w:val="both"/>
        <w:ind w:firstLine="8"/>
        <w:spacing w:after="0" w:line="245" w:lineRule="auto"/>
        <w:tabs>
          <w:tab w:leader="none" w:pos="33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his or her personal legal advisor as to whether or not this notification requirement applies.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u w:val="single" w:color="auto"/>
          <w:color w:val="auto"/>
        </w:rPr>
        <w:t>Restrictions on Sale and Transferability</w:t>
      </w:r>
      <w:r>
        <w:rPr>
          <w:rFonts w:ascii="Arial" w:cs="Arial" w:eastAsia="Arial" w:hAnsi="Arial"/>
          <w:sz w:val="22"/>
          <w:szCs w:val="22"/>
          <w:color w:val="auto"/>
        </w:rPr>
        <w:t>. The Grantee hereby agrees that any shares of Stock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(“SFA”).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the Restricted Stock Units is being made pursuant to the “Qualifying Person” exemption under section 273(1)(f) of the SFA and is not made with a view to the shares of Stock being subsequently offered for sale to any other party. The Plan has not been lodged or registered as a prospectus with the Monetary Authority of Singapore.</w:t>
      </w:r>
    </w:p>
    <w:p>
      <w:pPr>
        <w:spacing w:after="0" w:line="12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Director Notification Obligation</w:t>
      </w:r>
      <w:r>
        <w:rPr>
          <w:rFonts w:ascii="Arial" w:cs="Arial" w:eastAsia="Arial" w:hAnsi="Arial"/>
          <w:sz w:val="22"/>
          <w:szCs w:val="22"/>
          <w:b w:val="1"/>
          <w:bCs w:val="1"/>
          <w:color w:val="auto"/>
        </w:rPr>
        <w:t>.</w:t>
      </w:r>
      <w:r>
        <w:rPr>
          <w:rFonts w:ascii="Arial" w:cs="Arial" w:eastAsia="Arial" w:hAnsi="Arial"/>
          <w:sz w:val="22"/>
          <w:szCs w:val="22"/>
          <w:color w:val="auto"/>
        </w:rPr>
        <w:t xml:space="preserve"> The directors (including alternative directors, substitute directors and shadow directors</w:t>
      </w:r>
      <w:r>
        <w:rPr>
          <w:rFonts w:ascii="Arial" w:cs="Arial" w:eastAsia="Arial" w:hAnsi="Arial"/>
          <w:sz w:val="18"/>
          <w:szCs w:val="18"/>
          <w:color w:val="auto"/>
        </w:rPr>
        <w:t>1</w:t>
      </w:r>
      <w:r>
        <w:rPr>
          <w:rFonts w:ascii="Arial" w:cs="Arial" w:eastAsia="Arial" w:hAnsi="Arial"/>
          <w:sz w:val="22"/>
          <w:szCs w:val="22"/>
          <w:color w:val="auto"/>
        </w:rPr>
        <w:t>) of a Singaporean Subsidiary are subject to certain notification requirements under the Singapore Companies Act. The directors must notify the Singaporean Subsidiary in writing of an interest (</w:t>
      </w:r>
      <w:r>
        <w:rPr>
          <w:rFonts w:ascii="Arial" w:cs="Arial" w:eastAsia="Arial" w:hAnsi="Arial"/>
          <w:sz w:val="22"/>
          <w:szCs w:val="22"/>
          <w:i w:val="1"/>
          <w:iCs w:val="1"/>
          <w:color w:val="auto"/>
        </w:rPr>
        <w:t>e.g.</w:t>
      </w:r>
      <w:r>
        <w:rPr>
          <w:rFonts w:ascii="Arial" w:cs="Arial" w:eastAsia="Arial" w:hAnsi="Arial"/>
          <w:sz w:val="22"/>
          <w:szCs w:val="22"/>
          <w:color w:val="auto"/>
        </w:rPr>
        <w:t>, the Award or shares of Stock) in the Company within two (2) business days of (i) its acquisition or disposal, (ii) any change in a previously-disclosed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upon vesting of the Restricted Stock Units or when shares of Stock acquired under the Plan are subsequently sold), or (iii) becoming a director. The Grantee understands that if he or she is the Chief Executive Officer (“CEO”) of a Singapore Subsidiary and the above notification requirements are determined to apply to the CEO of a Singapore Subsidiary, the above notification requirements also may apply to the Grantee.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 supplements Paragraph 6 of the Global Restricted Stock Unit Award Agreement:</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of Stock or to sell shares of Stock otherwise deliverable to the Grantee upon settlement/vesting to satisfy Tax-Related Items, regardless of whether the Company and/or the Employer have an obligation to withhold such Tax-Related Items.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Responsibility for Taxes</w:t>
      </w:r>
      <w:r>
        <w:rPr>
          <w:rFonts w:ascii="Arial" w:cs="Arial" w:eastAsia="Arial" w:hAnsi="Arial"/>
          <w:sz w:val="22"/>
          <w:szCs w:val="22"/>
          <w:color w:val="auto"/>
        </w:rPr>
        <w:t>. The following provisions supplement Paragraph 6 of the Global Restricted Stock Unit Award Agreement: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Without limitation to Paragraph 6 of the Global Restricted Stock Unit Award Agreement, the Grantee agrees that the Grantee is liable for all Tax-Related Items and hereby covenants to pay all such Tax-Related Items as and when requested by the Company or the Employer or by Her Majesty’s Revenue and Customs (“HMRC”) (or any other tax authority or any other relevant authority). The Grantee also agrees to indemnify and keep indemnified the Company or the Employer against any Tax-Related</w:t>
      </w:r>
    </w:p>
    <w:p>
      <w:pPr>
        <w:sectPr>
          <w:pgSz w:w="11900" w:h="16862" w:orient="portrait"/>
          <w:cols w:equalWidth="0" w:num="1">
            <w:col w:w="11240"/>
          </w:cols>
          <w:pgMar w:left="320" w:top="334" w:right="339" w:bottom="0" w:gutter="0" w:footer="0" w:header="0"/>
        </w:sectPr>
      </w:pPr>
    </w:p>
    <w:bookmarkStart w:id="163" w:name="page164"/>
    <w:bookmarkEnd w:id="163"/>
    <w:p>
      <w:pPr>
        <w:jc w:val="both"/>
        <w:spacing w:after="0" w:line="251" w:lineRule="auto"/>
        <w:rPr>
          <w:sz w:val="20"/>
          <w:szCs w:val="20"/>
          <w:color w:val="auto"/>
        </w:rPr>
      </w:pPr>
      <w:r>
        <w:rPr>
          <w:rFonts w:ascii="Arial" w:cs="Arial" w:eastAsia="Arial" w:hAnsi="Arial"/>
          <w:sz w:val="22"/>
          <w:szCs w:val="22"/>
          <w:color w:val="auto"/>
        </w:rPr>
        <w:t>Items that they are required to pay or withhold or have paid or will pay to HMRC (or any other tax authority or any other relevant authority) on the Grantee’s behalf.</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(“NICs”) may be payable. The Grantee will be responsible for reporting and paying any income tax due on this additional benefit directly to HMRC under the self-assessment regime and for paying to the Company or the Employer, as</w:t>
      </w:r>
    </w:p>
    <w:p>
      <w:pPr>
        <w:spacing w:after="0" w:line="105" w:lineRule="exact"/>
        <w:rPr>
          <w:sz w:val="20"/>
          <w:szCs w:val="20"/>
          <w:color w:val="auto"/>
        </w:rPr>
      </w:pPr>
    </w:p>
    <w:p>
      <w:pPr>
        <w:ind w:left="540" w:right="480" w:hanging="508"/>
        <w:spacing w:after="0" w:line="277" w:lineRule="auto"/>
        <w:tabs>
          <w:tab w:leader="none" w:pos="1035" w:val="left"/>
        </w:tabs>
        <w:numPr>
          <w:ilvl w:val="0"/>
          <w:numId w:val="106"/>
        </w:numPr>
        <w:rPr>
          <w:rFonts w:ascii="Arial" w:cs="Arial" w:eastAsia="Arial" w:hAnsi="Arial"/>
          <w:sz w:val="15"/>
          <w:szCs w:val="15"/>
          <w:color w:val="auto"/>
        </w:rPr>
      </w:pPr>
      <w:r>
        <w:rPr>
          <w:rFonts w:ascii="Arial" w:cs="Arial" w:eastAsia="Arial" w:hAnsi="Arial"/>
          <w:sz w:val="18"/>
          <w:szCs w:val="18"/>
          <w:color w:val="auto"/>
        </w:rPr>
        <w:t>A shadow director is an individual who is not on the board of directors of a company but who has sufficient control so that the board of directors acts in accordance with the “directions or instructions” of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230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spacing w:after="0" w:line="274" w:lineRule="auto"/>
        <w:rPr>
          <w:sz w:val="20"/>
          <w:szCs w:val="20"/>
          <w:color w:val="auto"/>
        </w:rPr>
      </w:pPr>
      <w:r>
        <w:rPr>
          <w:rFonts w:ascii="Arial" w:cs="Arial" w:eastAsia="Arial" w:hAnsi="Arial"/>
          <w:sz w:val="21"/>
          <w:szCs w:val="21"/>
          <w:color w:val="auto"/>
        </w:rPr>
        <w:t>applicable, any employee NICs due on this additional benefit, which the Company or the Employer may recover from the Grantee by any of the means referred to in Paragraph 6 of the Global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5" w:name="page166"/>
    <w:bookmarkEnd w:id="165"/>
    <w:p>
      <w:pPr>
        <w:jc w:val="center"/>
        <w:ind w:left="360" w:right="2700"/>
        <w:spacing w:after="0" w:line="259" w:lineRule="auto"/>
        <w:rPr>
          <w:sz w:val="20"/>
          <w:szCs w:val="20"/>
          <w:color w:val="auto"/>
        </w:rPr>
      </w:pPr>
      <w:r>
        <w:rPr>
          <w:rFonts w:ascii="Arial" w:cs="Arial" w:eastAsia="Arial" w:hAnsi="Arial"/>
          <w:sz w:val="25"/>
          <w:szCs w:val="25"/>
          <w:b w:val="1"/>
          <w:bCs w:val="1"/>
          <w:color w:val="auto"/>
        </w:rPr>
        <w:t>NON-QUALIFIED STOCK OPTION AGREEMENT FOR NON-EMPLOYEE DIRECTORS UNDER THE HUBSPOT, INC. 2014 STOCK OPTION AND INCENTIVE PLAN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tabs>
          <w:tab w:leader="none" w:pos="5720" w:val="left"/>
        </w:tabs>
        <w:rPr>
          <w:sz w:val="20"/>
          <w:szCs w:val="20"/>
          <w:color w:val="auto"/>
        </w:rPr>
      </w:pPr>
      <w:r>
        <w:rPr>
          <w:rFonts w:ascii="Arial" w:cs="Arial" w:eastAsia="Arial" w:hAnsi="Arial"/>
          <w:sz w:val="22"/>
          <w:szCs w:val="22"/>
          <w:color w:val="auto"/>
        </w:rPr>
        <w:t>Option Exercise Price per Share: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[FMV on Grant Date]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 more than 10 years]</w:t>
      </w:r>
    </w:p>
    <w:p>
      <w:pPr>
        <w:spacing w:after="0" w:line="320" w:lineRule="exact"/>
        <w:rPr>
          <w:sz w:val="20"/>
          <w:szCs w:val="20"/>
          <w:color w:val="auto"/>
        </w:rPr>
      </w:pPr>
    </w:p>
    <w:p>
      <w:pPr>
        <w:ind w:right="120" w:firstLine="864"/>
        <w:spacing w:after="0" w:line="279" w:lineRule="auto"/>
        <w:rPr>
          <w:sz w:val="20"/>
          <w:szCs w:val="20"/>
          <w:color w:val="auto"/>
        </w:rPr>
      </w:pPr>
      <w:r>
        <w:rPr>
          <w:rFonts w:ascii="Arial" w:cs="Arial" w:eastAsia="Arial" w:hAnsi="Arial"/>
          <w:sz w:val="19"/>
          <w:szCs w:val="19"/>
          <w:color w:val="auto"/>
        </w:rPr>
        <w:t>Pursuant to the HubSpot, Inc. 2014 Stock Option and Incentive Plan as amended through the date hereof (the “Plan”), HubSpot,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50" w:lineRule="exact"/>
        <w:rPr>
          <w:sz w:val="20"/>
          <w:szCs w:val="20"/>
          <w:color w:val="auto"/>
        </w:rPr>
      </w:pPr>
    </w:p>
    <w:p>
      <w:pPr>
        <w:ind w:right="260" w:firstLine="872"/>
        <w:spacing w:after="0" w:line="276" w:lineRule="auto"/>
        <w:tabs>
          <w:tab w:leader="none" w:pos="1674"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No portion of this Stock Option may be exercised until such portion shall have become vested and exercisable. Except as set forth below, and subject to the discretion of the Administrator (as defined in Section 2 of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the Plan) to accelerate the vesting schedule hereunder, [ ] of the Option Shares shall vest and become exercisable on [ ]. Once vested and exercisable, this Stock Option shall continue to be exercisable at any time or times prior to the close of business on the Expiration Date, subject to the provisions hereof and of the Plan.</w:t>
      </w:r>
    </w:p>
    <w:p>
      <w:pPr>
        <w:spacing w:after="0" w:line="187" w:lineRule="exact"/>
        <w:rPr>
          <w:sz w:val="20"/>
          <w:szCs w:val="20"/>
          <w:color w:val="auto"/>
        </w:rPr>
      </w:pPr>
    </w:p>
    <w:p>
      <w:pPr>
        <w:ind w:right="40" w:firstLine="864"/>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this Stock Option shall be deemed vested and exercisable upon the date on which the Optionee’s service relationship with the Company and any subsidiary or successor entity, as the case may be, ends if the end of such service relationship occurs within 12 months after such Sale Event or 90 days prior to such Sale Event.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66" w:name="page167"/>
    <w:bookmarkEnd w:id="166"/>
    <w:p>
      <w:pPr>
        <w:ind w:left="1680" w:hanging="808"/>
        <w:spacing w:after="0"/>
        <w:tabs>
          <w:tab w:leader="none" w:pos="168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38" w:lineRule="auto"/>
        <w:tabs>
          <w:tab w:leader="none" w:pos="2615"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5" w:lineRule="exact"/>
        <w:rPr>
          <w:sz w:val="20"/>
          <w:szCs w:val="20"/>
          <w:color w:val="auto"/>
        </w:rPr>
      </w:pPr>
    </w:p>
    <w:p>
      <w:pPr>
        <w:ind w:firstLine="864"/>
        <w:spacing w:after="0" w:line="272"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1" w:lineRule="exact"/>
        <w:rPr>
          <w:sz w:val="20"/>
          <w:szCs w:val="20"/>
          <w:color w:val="auto"/>
        </w:rPr>
      </w:pPr>
    </w:p>
    <w:p>
      <w:pPr>
        <w:ind w:right="100" w:firstLine="864"/>
        <w:spacing w:after="0" w:line="276"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fulfillment of any other requirements contained herein or in the Plan or in any other agreement or provision of laws, and</w:t>
      </w:r>
    </w:p>
    <w:p>
      <w:pPr>
        <w:spacing w:after="0" w:line="24" w:lineRule="exact"/>
        <w:rPr>
          <w:rFonts w:ascii="Arial" w:cs="Arial" w:eastAsia="Arial" w:hAnsi="Arial"/>
          <w:sz w:val="19"/>
          <w:szCs w:val="19"/>
          <w:color w:val="auto"/>
        </w:rPr>
      </w:pPr>
    </w:p>
    <w:p>
      <w:pPr>
        <w:ind w:firstLine="8"/>
        <w:spacing w:after="0" w:line="277" w:lineRule="auto"/>
        <w:tabs>
          <w:tab w:leader="none" w:pos="37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2" w:lineRule="exact"/>
        <w:rPr>
          <w:rFonts w:ascii="Arial" w:cs="Arial" w:eastAsia="Arial" w:hAnsi="Arial"/>
          <w:sz w:val="19"/>
          <w:szCs w:val="19"/>
          <w:color w:val="auto"/>
        </w:rPr>
      </w:pPr>
    </w:p>
    <w:p>
      <w:pPr>
        <w:ind w:right="20" w:firstLine="1735"/>
        <w:spacing w:after="0" w:line="274" w:lineRule="auto"/>
        <w:tabs>
          <w:tab w:leader="none" w:pos="2627"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67" w:name="page168"/>
    <w:bookmarkEnd w:id="167"/>
    <w:p>
      <w:pPr>
        <w:jc w:val="both"/>
        <w:ind w:right="240" w:firstLine="1735"/>
        <w:spacing w:after="0"/>
        <w:tabs>
          <w:tab w:leader="none" w:pos="2615"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6" w:lineRule="exact"/>
        <w:rPr>
          <w:rFonts w:ascii="Arial" w:cs="Arial" w:eastAsia="Arial" w:hAnsi="Arial"/>
          <w:sz w:val="22"/>
          <w:szCs w:val="22"/>
          <w:color w:val="auto"/>
        </w:rPr>
      </w:pPr>
    </w:p>
    <w:p>
      <w:pPr>
        <w:ind w:right="80" w:firstLine="1735"/>
        <w:spacing w:after="0" w:line="250" w:lineRule="auto"/>
        <w:tabs>
          <w:tab w:leader="none" w:pos="262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4" w:lineRule="exact"/>
        <w:rPr>
          <w:rFonts w:ascii="Arial" w:cs="Arial" w:eastAsia="Arial" w:hAnsi="Arial"/>
          <w:sz w:val="22"/>
          <w:szCs w:val="22"/>
          <w:color w:val="auto"/>
        </w:rPr>
      </w:pPr>
    </w:p>
    <w:p>
      <w:pPr>
        <w:ind w:right="260" w:firstLine="872"/>
        <w:spacing w:after="0" w:line="250" w:lineRule="auto"/>
        <w:tabs>
          <w:tab w:leader="none" w:pos="1674"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Termination as Director</w:t>
      </w:r>
      <w:r>
        <w:rPr>
          <w:rFonts w:ascii="Arial" w:cs="Arial" w:eastAsia="Arial" w:hAnsi="Arial"/>
          <w:sz w:val="22"/>
          <w:szCs w:val="22"/>
          <w:color w:val="auto"/>
        </w:rPr>
        <w:t>. If the Optionee ceases to be a Director of the Company, the period within which to exercise the Stock Option may be subject to earlier termination as set forth below.</w:t>
      </w:r>
    </w:p>
    <w:p>
      <w:pPr>
        <w:spacing w:after="0" w:line="174" w:lineRule="exact"/>
        <w:rPr>
          <w:rFonts w:ascii="Arial" w:cs="Arial" w:eastAsia="Arial" w:hAnsi="Arial"/>
          <w:sz w:val="22"/>
          <w:szCs w:val="22"/>
          <w:color w:val="auto"/>
        </w:rPr>
      </w:pPr>
    </w:p>
    <w:p>
      <w:pPr>
        <w:ind w:right="160" w:firstLine="1735"/>
        <w:spacing w:after="0" w:line="236" w:lineRule="auto"/>
        <w:tabs>
          <w:tab w:leader="none" w:pos="2615"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87" w:lineRule="exact"/>
        <w:rPr>
          <w:rFonts w:ascii="Arial" w:cs="Arial" w:eastAsia="Arial" w:hAnsi="Arial"/>
          <w:sz w:val="22"/>
          <w:szCs w:val="22"/>
          <w:color w:val="auto"/>
        </w:rPr>
      </w:pPr>
    </w:p>
    <w:p>
      <w:pPr>
        <w:ind w:firstLine="1735"/>
        <w:spacing w:after="0" w:line="236" w:lineRule="auto"/>
        <w:tabs>
          <w:tab w:leader="none" w:pos="2627"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87" w:lineRule="exact"/>
        <w:rPr>
          <w:sz w:val="20"/>
          <w:szCs w:val="20"/>
          <w:color w:val="auto"/>
        </w:rPr>
      </w:pPr>
    </w:p>
    <w:p>
      <w:pPr>
        <w:ind w:right="760" w:firstLine="864"/>
        <w:spacing w:after="0" w:line="250" w:lineRule="auto"/>
        <w:rPr>
          <w:sz w:val="20"/>
          <w:szCs w:val="20"/>
          <w:color w:val="auto"/>
        </w:rPr>
      </w:pPr>
      <w:r>
        <w:rPr>
          <w:rFonts w:ascii="Arial" w:cs="Arial" w:eastAsia="Arial" w:hAnsi="Arial"/>
          <w:sz w:val="22"/>
          <w:szCs w:val="22"/>
          <w:color w:val="auto"/>
        </w:rPr>
        <w:t>The Administrator’s determination of the reason for termination of the Optionee’s service as a Director shall be conclusive and binding on the Optionee and his or her representatives or legatees.</w:t>
      </w:r>
    </w:p>
    <w:p>
      <w:pPr>
        <w:spacing w:after="0" w:line="175" w:lineRule="exact"/>
        <w:rPr>
          <w:sz w:val="20"/>
          <w:szCs w:val="20"/>
          <w:color w:val="auto"/>
        </w:rPr>
      </w:pPr>
    </w:p>
    <w:p>
      <w:pPr>
        <w:ind w:right="180" w:firstLine="872"/>
        <w:spacing w:after="0" w:line="238" w:lineRule="auto"/>
        <w:tabs>
          <w:tab w:leader="none" w:pos="167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200" w:firstLine="872"/>
        <w:spacing w:after="0" w:line="238" w:lineRule="auto"/>
        <w:tabs>
          <w:tab w:leader="none" w:pos="167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4" w:lineRule="exact"/>
        <w:rPr>
          <w:rFonts w:ascii="Arial" w:cs="Arial" w:eastAsia="Arial" w:hAnsi="Arial"/>
          <w:sz w:val="22"/>
          <w:szCs w:val="22"/>
          <w:color w:val="auto"/>
        </w:rPr>
      </w:pPr>
    </w:p>
    <w:p>
      <w:pPr>
        <w:ind w:right="280" w:firstLine="872"/>
        <w:spacing w:after="0" w:line="250" w:lineRule="auto"/>
        <w:tabs>
          <w:tab w:leader="none" w:pos="1674"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Stock Option confers upon the Optionee any rights with respect to continuance as a Director.</w:t>
      </w:r>
    </w:p>
    <w:p>
      <w:pPr>
        <w:spacing w:after="0" w:line="174" w:lineRule="exact"/>
        <w:rPr>
          <w:rFonts w:ascii="Arial" w:cs="Arial" w:eastAsia="Arial" w:hAnsi="Arial"/>
          <w:sz w:val="22"/>
          <w:szCs w:val="22"/>
          <w:color w:val="auto"/>
        </w:rPr>
      </w:pPr>
    </w:p>
    <w:p>
      <w:pPr>
        <w:ind w:right="300" w:firstLine="872"/>
        <w:spacing w:after="0" w:line="328" w:lineRule="auto"/>
        <w:tabs>
          <w:tab w:leader="none" w:pos="1674"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Stock Option and supersedes all prior agreements and discussions between the parties concerning such subject matter.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ind w:firstLine="872"/>
        <w:spacing w:after="0" w:line="273" w:lineRule="auto"/>
        <w:tabs>
          <w:tab w:leader="none" w:pos="1674"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0" w:lineRule="exact"/>
        <w:rPr>
          <w:rFonts w:ascii="Arial" w:cs="Arial" w:eastAsia="Arial" w:hAnsi="Arial"/>
          <w:sz w:val="19"/>
          <w:szCs w:val="19"/>
          <w:color w:val="auto"/>
        </w:rPr>
      </w:pPr>
    </w:p>
    <w:p>
      <w:pPr>
        <w:ind w:firstLine="872"/>
        <w:spacing w:after="0"/>
        <w:tabs>
          <w:tab w:leader="none" w:pos="1674"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HUBSPOT,</w:t>
      </w:r>
    </w:p>
    <w:p>
      <w:pPr>
        <w:spacing w:after="0" w:line="14"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INC.</w:t>
      </w:r>
    </w:p>
    <w:p>
      <w:pPr>
        <w:spacing w:after="0" w:line="18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6985</wp:posOffset>
            </wp:positionV>
            <wp:extent cx="6515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6985</wp:posOffset>
            </wp:positionV>
            <wp:extent cx="6515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 w:firstLine="864"/>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Optionee’s Signature</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564515</wp:posOffset>
            </wp:positionV>
            <wp:extent cx="3488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281305</wp:posOffset>
            </wp:positionV>
            <wp:extent cx="3488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69" w:name="page170"/>
    <w:bookmarkEnd w:id="169"/>
    <w:p>
      <w:pPr>
        <w:jc w:val="center"/>
        <w:ind w:left="380" w:right="2580"/>
        <w:spacing w:after="0" w:line="259" w:lineRule="auto"/>
        <w:rPr>
          <w:sz w:val="20"/>
          <w:szCs w:val="20"/>
          <w:color w:val="auto"/>
        </w:rPr>
      </w:pPr>
      <w:r>
        <w:rPr>
          <w:rFonts w:ascii="Arial" w:cs="Arial" w:eastAsia="Arial" w:hAnsi="Arial"/>
          <w:sz w:val="25"/>
          <w:szCs w:val="25"/>
          <w:b w:val="1"/>
          <w:bCs w:val="1"/>
          <w:color w:val="auto"/>
        </w:rPr>
        <w:t>RESTRICTED STOCK UNIT AWARD AGREEMENT FOR NON-EMPLOYEE DIRECTORS UNDER THE HUBSPOT, INC. 2014 STOCK OPTION AND INCENTIVE PLAN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67310</wp:posOffset>
            </wp:positionV>
            <wp:extent cx="3488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0" w:firstLine="864"/>
        <w:spacing w:after="0" w:line="238" w:lineRule="auto"/>
        <w:rPr>
          <w:sz w:val="20"/>
          <w:szCs w:val="20"/>
          <w:color w:val="auto"/>
        </w:rPr>
      </w:pPr>
      <w:r>
        <w:rPr>
          <w:rFonts w:ascii="Arial" w:cs="Arial" w:eastAsia="Arial" w:hAnsi="Arial"/>
          <w:sz w:val="22"/>
          <w:szCs w:val="22"/>
          <w:color w:val="auto"/>
        </w:rPr>
        <w:t>Pursuant to the HubSpot, Inc. 2014 Stock Option and Incentive Plan as amended through the date hereof (the “Plan”),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5" w:lineRule="exact"/>
        <w:rPr>
          <w:sz w:val="20"/>
          <w:szCs w:val="20"/>
          <w:color w:val="auto"/>
        </w:rPr>
      </w:pPr>
    </w:p>
    <w:p>
      <w:pPr>
        <w:ind w:right="80" w:firstLine="872"/>
        <w:spacing w:after="0" w:line="236" w:lineRule="auto"/>
        <w:tabs>
          <w:tab w:leader="none" w:pos="167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87" w:lineRule="exact"/>
        <w:rPr>
          <w:rFonts w:ascii="Arial" w:cs="Arial" w:eastAsia="Arial" w:hAnsi="Arial"/>
          <w:sz w:val="22"/>
          <w:szCs w:val="22"/>
          <w:color w:val="auto"/>
        </w:rPr>
      </w:pPr>
    </w:p>
    <w:p>
      <w:pPr>
        <w:ind w:right="20" w:firstLine="872"/>
        <w:spacing w:after="0" w:line="238" w:lineRule="auto"/>
        <w:tabs>
          <w:tab w:leader="none" w:pos="1674"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Except as set forth below, and subject to the discretion of the Administrator (as defined in Section 2 of the Plan) to accelerate the vesting schedule hereunder, the restrictions and conditions of Paragraph 1 of this Agreement shall lapse and such Restricted Stock Units shall vest on [ ]. The Administrator may at any time accelerate the vesting schedule specified in this Paragraph 2.</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Notwithstanding the foregoing, in the event of a Sale Event (as defined in the Plan), the Restricted Stock Units shall be deemed vested and nonforfeitable upon the date on which the Grantee’s service relationship with the Company and any subsidiary or successor entity, as the case may be, ends if the end of such service relationship occurs within 12 months after such Sale Event or 90 days prior to such Sale Event.</w:t>
      </w:r>
    </w:p>
    <w:p>
      <w:pPr>
        <w:spacing w:after="0" w:line="185" w:lineRule="exact"/>
        <w:rPr>
          <w:sz w:val="20"/>
          <w:szCs w:val="20"/>
          <w:color w:val="auto"/>
        </w:rPr>
      </w:pPr>
    </w:p>
    <w:p>
      <w:pPr>
        <w:ind w:right="60" w:firstLine="872"/>
        <w:spacing w:after="0" w:line="249" w:lineRule="auto"/>
        <w:tabs>
          <w:tab w:leader="none" w:pos="1674"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170" w:name="page171"/>
    <w:bookmarkEnd w:id="170"/>
    <w:p>
      <w:pPr>
        <w:ind w:right="160" w:firstLine="872"/>
        <w:spacing w:after="0" w:line="282" w:lineRule="auto"/>
        <w:tabs>
          <w:tab w:leader="none" w:pos="167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Issuance of Shares of Stock</w:t>
      </w:r>
      <w:r>
        <w:rPr>
          <w:rFonts w:ascii="Arial" w:cs="Arial" w:eastAsia="Arial" w:hAnsi="Arial"/>
          <w:sz w:val="19"/>
          <w:szCs w:val="19"/>
          <w:color w:val="auto"/>
        </w:rPr>
        <w:t>. As soon as practicable following each vesting date specified in Paragraph 2 (each such date, a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47" w:lineRule="exact"/>
        <w:rPr>
          <w:rFonts w:ascii="Arial" w:cs="Arial" w:eastAsia="Arial" w:hAnsi="Arial"/>
          <w:sz w:val="19"/>
          <w:szCs w:val="19"/>
          <w:color w:val="auto"/>
        </w:rPr>
      </w:pPr>
    </w:p>
    <w:p>
      <w:pPr>
        <w:ind w:right="220" w:firstLine="872"/>
        <w:spacing w:after="0" w:line="238" w:lineRule="auto"/>
        <w:tabs>
          <w:tab w:leader="none" w:pos="167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4" w:lineRule="exact"/>
        <w:rPr>
          <w:rFonts w:ascii="Arial" w:cs="Arial" w:eastAsia="Arial" w:hAnsi="Arial"/>
          <w:sz w:val="22"/>
          <w:szCs w:val="22"/>
          <w:color w:val="auto"/>
        </w:rPr>
      </w:pPr>
    </w:p>
    <w:p>
      <w:pPr>
        <w:ind w:right="140" w:firstLine="872"/>
        <w:spacing w:after="0"/>
        <w:tabs>
          <w:tab w:leader="none" w:pos="167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86" w:lineRule="exact"/>
        <w:rPr>
          <w:rFonts w:ascii="Arial" w:cs="Arial" w:eastAsia="Arial" w:hAnsi="Arial"/>
          <w:sz w:val="22"/>
          <w:szCs w:val="22"/>
          <w:color w:val="auto"/>
        </w:rPr>
      </w:pPr>
    </w:p>
    <w:p>
      <w:pPr>
        <w:ind w:firstLine="872"/>
        <w:spacing w:after="0" w:line="250" w:lineRule="auto"/>
        <w:tabs>
          <w:tab w:leader="none" w:pos="167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Award confers upon the Grantee any rights with respect to continuance as a Director.</w:t>
      </w:r>
    </w:p>
    <w:p>
      <w:pPr>
        <w:spacing w:after="0" w:line="174" w:lineRule="exact"/>
        <w:rPr>
          <w:rFonts w:ascii="Arial" w:cs="Arial" w:eastAsia="Arial" w:hAnsi="Arial"/>
          <w:sz w:val="22"/>
          <w:szCs w:val="22"/>
          <w:color w:val="auto"/>
        </w:rPr>
      </w:pPr>
    </w:p>
    <w:p>
      <w:pPr>
        <w:ind w:right="160" w:firstLine="872"/>
        <w:spacing w:after="0" w:line="274" w:lineRule="auto"/>
        <w:tabs>
          <w:tab w:leader="none" w:pos="1674"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right="20" w:firstLine="872"/>
        <w:spacing w:after="0" w:line="273" w:lineRule="auto"/>
        <w:tabs>
          <w:tab w:leader="none" w:pos="167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71" w:name="page172"/>
    <w:bookmarkEnd w:id="171"/>
    <w:p>
      <w:pPr>
        <w:ind w:firstLine="872"/>
        <w:spacing w:after="0"/>
        <w:tabs>
          <w:tab w:leader="none" w:pos="1782"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6985</wp:posOffset>
            </wp:positionV>
            <wp:extent cx="31972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6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Title:</w:t>
      </w:r>
    </w:p>
    <w:p>
      <w:pPr>
        <w:spacing w:after="0" w:line="206" w:lineRule="exact"/>
        <w:rPr>
          <w:sz w:val="20"/>
          <w:szCs w:val="20"/>
          <w:color w:val="auto"/>
        </w:rPr>
      </w:pPr>
    </w:p>
    <w:p>
      <w:pPr>
        <w:ind w:right="40" w:firstLine="864"/>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Grantee’s Signature</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564515</wp:posOffset>
            </wp:positionV>
            <wp:extent cx="3488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281305</wp:posOffset>
            </wp:positionV>
            <wp:extent cx="3488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5"/>
          <w:szCs w:val="25"/>
          <w:b w:val="1"/>
          <w:bCs w:val="1"/>
          <w:color w:val="auto"/>
        </w:rPr>
        <w:t>RESTRICTED STOCK AWARD AGREEMENT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UNDER THE HUBSPOT,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2014 STOCK OPTION AND INCENTIVE PLAN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6985</wp:posOffset>
            </wp:positionV>
            <wp:extent cx="3488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75565</wp:posOffset>
            </wp:positionV>
            <wp:extent cx="3488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08" w:lineRule="exact"/>
        <w:rPr>
          <w:sz w:val="20"/>
          <w:szCs w:val="20"/>
          <w:color w:val="auto"/>
        </w:rPr>
      </w:pPr>
    </w:p>
    <w:p>
      <w:pPr>
        <w:ind w:right="160" w:firstLine="864"/>
        <w:spacing w:after="0" w:line="246" w:lineRule="auto"/>
        <w:rPr>
          <w:sz w:val="20"/>
          <w:szCs w:val="20"/>
          <w:color w:val="auto"/>
        </w:rPr>
      </w:pPr>
      <w:r>
        <w:rPr>
          <w:rFonts w:ascii="Arial" w:cs="Arial" w:eastAsia="Arial" w:hAnsi="Arial"/>
          <w:sz w:val="21"/>
          <w:szCs w:val="21"/>
          <w:color w:val="auto"/>
        </w:rPr>
        <w:t>Pursuant to the HubSpot, Inc. 2014 Stock Option and Incentive Plan (the “Plan”) as amended through the date hereof, HubSpot,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84" w:lineRule="exact"/>
        <w:rPr>
          <w:sz w:val="20"/>
          <w:szCs w:val="20"/>
          <w:color w:val="auto"/>
        </w:rPr>
      </w:pPr>
    </w:p>
    <w:p>
      <w:pPr>
        <w:ind w:right="20" w:firstLine="872"/>
        <w:spacing w:after="0" w:line="276" w:lineRule="auto"/>
        <w:tabs>
          <w:tab w:leader="none" w:pos="1674"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shares of Restricted Stock awarded hereunder shall be issued and held by the Company’s transfer agent in book entry form, and the Grantee’s name shall be entered as the stockholder of record on the books of the</w:t>
      </w:r>
    </w:p>
    <w:p>
      <w:pPr>
        <w:spacing w:after="0" w:line="1" w:lineRule="exact"/>
        <w:rPr>
          <w:rFonts w:ascii="Arial" w:cs="Arial" w:eastAsia="Arial" w:hAnsi="Arial"/>
          <w:sz w:val="19"/>
          <w:szCs w:val="19"/>
          <w:color w:val="auto"/>
        </w:rPr>
      </w:pPr>
    </w:p>
    <w:p>
      <w:pPr>
        <w:ind w:right="280"/>
        <w:spacing w:after="0" w:line="287" w:lineRule="auto"/>
        <w:rPr>
          <w:rFonts w:ascii="Arial" w:cs="Arial" w:eastAsia="Arial" w:hAnsi="Arial"/>
          <w:sz w:val="19"/>
          <w:szCs w:val="19"/>
          <w:color w:val="auto"/>
        </w:rPr>
      </w:pPr>
      <w:r>
        <w:rPr>
          <w:rFonts w:ascii="Arial" w:cs="Arial" w:eastAsia="Arial" w:hAnsi="Arial"/>
          <w:sz w:val="19"/>
          <w:szCs w:val="19"/>
          <w:color w:val="auto"/>
        </w:rPr>
        <w:t>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43" w:lineRule="exact"/>
        <w:rPr>
          <w:rFonts w:ascii="Arial" w:cs="Arial" w:eastAsia="Arial" w:hAnsi="Arial"/>
          <w:sz w:val="19"/>
          <w:szCs w:val="19"/>
          <w:color w:val="auto"/>
        </w:rPr>
      </w:pPr>
    </w:p>
    <w:p>
      <w:pPr>
        <w:ind w:left="1680" w:hanging="808"/>
        <w:spacing w:after="0"/>
        <w:tabs>
          <w:tab w:leader="none" w:pos="168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35"/>
        <w:spacing w:after="0"/>
        <w:tabs>
          <w:tab w:leader="none" w:pos="2615"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86" w:lineRule="exact"/>
        <w:rPr>
          <w:rFonts w:ascii="Arial" w:cs="Arial" w:eastAsia="Arial" w:hAnsi="Arial"/>
          <w:sz w:val="22"/>
          <w:szCs w:val="22"/>
          <w:color w:val="auto"/>
        </w:rPr>
      </w:pPr>
    </w:p>
    <w:p>
      <w:pPr>
        <w:ind w:right="660" w:firstLine="1735"/>
        <w:spacing w:after="0" w:line="250" w:lineRule="auto"/>
        <w:tabs>
          <w:tab w:leader="none" w:pos="2627" w:val="left"/>
        </w:tabs>
        <w:numPr>
          <w:ilvl w:val="1"/>
          <w:numId w:val="118"/>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74" w:lineRule="exact"/>
        <w:rPr>
          <w:rFonts w:ascii="Arial" w:cs="Arial" w:eastAsia="Arial" w:hAnsi="Arial"/>
          <w:sz w:val="22"/>
          <w:szCs w:val="22"/>
          <w:color w:val="auto"/>
        </w:rPr>
      </w:pPr>
    </w:p>
    <w:p>
      <w:pPr>
        <w:ind w:firstLine="1735"/>
        <w:spacing w:after="0" w:line="238" w:lineRule="auto"/>
        <w:tabs>
          <w:tab w:leader="none" w:pos="2615" w:val="left"/>
        </w:tabs>
        <w:numPr>
          <w:ilvl w:val="1"/>
          <w:numId w:val="118"/>
        </w:numPr>
        <w:rPr>
          <w:rFonts w:ascii="Arial" w:cs="Arial" w:eastAsia="Arial" w:hAnsi="Arial"/>
          <w:sz w:val="22"/>
          <w:szCs w:val="22"/>
          <w:color w:val="auto"/>
        </w:rPr>
      </w:pPr>
      <w:r>
        <w:rPr>
          <w:rFonts w:ascii="Arial" w:cs="Arial" w:eastAsia="Arial" w:hAnsi="Arial"/>
          <w:sz w:val="22"/>
          <w:szCs w:val="22"/>
          <w:color w:val="auto"/>
        </w:rPr>
        <w:t>If the Grantee’s employment with the Company and its Subsidiaries is voluntarily or involuntarily terminated for any reason (including death) prior to vesting of shares of Restricted Stock granted herein (after giving effect to any accelerated vesting in Section 3 below), all shares of Restricted Stock shall immediately and automatically be forfeited and returned 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73" w:name="page174"/>
    <w:bookmarkEnd w:id="173"/>
    <w:p>
      <w:pPr>
        <w:ind w:right="20" w:firstLine="872"/>
        <w:spacing w:after="0" w:line="282" w:lineRule="auto"/>
        <w:tabs>
          <w:tab w:leader="none" w:pos="167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w:t>
      </w:r>
      <w:r>
        <w:rPr>
          <w:rFonts w:ascii="Arial" w:cs="Arial" w:eastAsia="Arial" w:hAnsi="Arial"/>
          <w:sz w:val="19"/>
          <w:szCs w:val="19"/>
          <w:color w:val="auto"/>
        </w:rPr>
        <w:t>. The restrictions and conditions in Paragraph 2 of this Agreement shall lapse as to the Shares and such Shares shall vest [in [ ] installments] following the Vesting Commencement Date, provided that the Grantee remains an employee of the Company or a Subsidiary on such dates. 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47" w:lineRule="exact"/>
        <w:rPr>
          <w:sz w:val="20"/>
          <w:szCs w:val="20"/>
          <w:color w:val="auto"/>
        </w:rPr>
      </w:pPr>
    </w:p>
    <w:p>
      <w:pPr>
        <w:ind w:right="40" w:firstLine="864"/>
        <w:spacing w:after="0" w:line="282" w:lineRule="auto"/>
        <w:rPr>
          <w:sz w:val="20"/>
          <w:szCs w:val="20"/>
          <w:color w:val="auto"/>
        </w:rPr>
      </w:pPr>
      <w:r>
        <w:rPr>
          <w:rFonts w:ascii="Arial" w:cs="Arial" w:eastAsia="Arial" w:hAnsi="Arial"/>
          <w:sz w:val="19"/>
          <w:szCs w:val="19"/>
          <w:color w:val="auto"/>
        </w:rPr>
        <w:t>Notwithstanding the foregoing, in the event of a Sale Event (as defined in the Plan) in which this Award is continued or assumed by a successor to the Company, the Restricted Stock shall be deemed vested and exercisable upon the date on which the Grantee’s employment or service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Grantee for Good Reason.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The following definitions shall apply:</w:t>
      </w:r>
    </w:p>
    <w:p>
      <w:pPr>
        <w:spacing w:after="0" w:line="206" w:lineRule="exact"/>
        <w:rPr>
          <w:sz w:val="20"/>
          <w:szCs w:val="20"/>
          <w:color w:val="auto"/>
        </w:rPr>
      </w:pPr>
    </w:p>
    <w:p>
      <w:pPr>
        <w:ind w:right="120"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shall mean (i) the Grantee’s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ind w:right="60" w:firstLine="8"/>
        <w:spacing w:after="0" w:line="273" w:lineRule="auto"/>
        <w:tabs>
          <w:tab w:leader="none" w:pos="31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(including, but not limited to, any violation of the Company’s code of conduct, insider trading, willful accounting improprieties or failure to cooperate with investigations); or (v) the Grantee’s material violation of any provision of any agreement(s) between the Grantee and the Company relating to noncompetition, nonsolicitation, nondisclosure and/or assignment of inventions.</w:t>
      </w:r>
    </w:p>
    <w:p>
      <w:pPr>
        <w:spacing w:after="0" w:line="159" w:lineRule="exact"/>
        <w:rPr>
          <w:sz w:val="20"/>
          <w:szCs w:val="20"/>
          <w:color w:val="auto"/>
        </w:rPr>
      </w:pPr>
    </w:p>
    <w:p>
      <w:pPr>
        <w:ind w:firstLine="864"/>
        <w:spacing w:after="0" w:line="236" w:lineRule="auto"/>
        <w:rPr>
          <w:sz w:val="20"/>
          <w:szCs w:val="20"/>
          <w:color w:val="auto"/>
        </w:rPr>
      </w:pPr>
      <w:r>
        <w:rPr>
          <w:rFonts w:ascii="Arial" w:cs="Arial" w:eastAsia="Arial" w:hAnsi="Arial"/>
          <w:sz w:val="22"/>
          <w:szCs w:val="22"/>
          <w:i w:val="1"/>
          <w:iCs w:val="1"/>
          <w:color w:val="auto"/>
        </w:rPr>
        <w:t xml:space="preserve">“Good Reason” </w:t>
      </w:r>
      <w:r>
        <w:rPr>
          <w:rFonts w:ascii="Arial" w:cs="Arial" w:eastAsia="Arial" w:hAnsi="Arial"/>
          <w:sz w:val="22"/>
          <w:szCs w:val="22"/>
          <w:color w:val="auto"/>
        </w:rPr>
        <w:t>shall mean (i) a material diminution in the Grantee’s base salary except for across-the-board salary</w:t>
      </w:r>
      <w:r>
        <w:rPr>
          <w:rFonts w:ascii="Arial" w:cs="Arial" w:eastAsia="Arial" w:hAnsi="Arial"/>
          <w:sz w:val="22"/>
          <w:szCs w:val="22"/>
          <w:i w:val="1"/>
          <w:iCs w:val="1"/>
          <w:color w:val="auto"/>
        </w:rPr>
        <w:t xml:space="preserve"> </w:t>
      </w:r>
      <w:r>
        <w:rPr>
          <w:rFonts w:ascii="Arial" w:cs="Arial" w:eastAsia="Arial" w:hAnsi="Arial"/>
          <w:sz w:val="22"/>
          <w:szCs w:val="22"/>
          <w:color w:val="auto"/>
        </w:rPr>
        <w:t>reductions similarly affecting all or substantially all similarly situated employees of the Company or (ii) a change of more than 50 miles in the geographic location at which the Grantee provides services to the Company, so long as the Grantee provides notice to the Company within at least 90 days following the initial occurrence of any such event and the Company fails to cure such event within 30 days of such notice.</w:t>
      </w:r>
    </w:p>
    <w:p>
      <w:pPr>
        <w:spacing w:after="0" w:line="187" w:lineRule="exact"/>
        <w:rPr>
          <w:sz w:val="20"/>
          <w:szCs w:val="20"/>
          <w:color w:val="auto"/>
        </w:rPr>
      </w:pPr>
    </w:p>
    <w:p>
      <w:pPr>
        <w:ind w:left="1680" w:hanging="808"/>
        <w:spacing w:after="0"/>
        <w:tabs>
          <w:tab w:leader="none" w:pos="168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06" w:lineRule="exact"/>
        <w:rPr>
          <w:rFonts w:ascii="Arial" w:cs="Arial" w:eastAsia="Arial" w:hAnsi="Arial"/>
          <w:sz w:val="22"/>
          <w:szCs w:val="22"/>
          <w:color w:val="auto"/>
        </w:rPr>
      </w:pPr>
    </w:p>
    <w:p>
      <w:pPr>
        <w:jc w:val="both"/>
        <w:ind w:right="300" w:firstLine="872"/>
        <w:spacing w:after="0" w:line="238" w:lineRule="auto"/>
        <w:tabs>
          <w:tab w:leader="none" w:pos="1674"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p>
      <w:pPr>
        <w:ind w:right="220" w:firstLine="872"/>
        <w:spacing w:after="0" w:line="274" w:lineRule="auto"/>
        <w:tabs>
          <w:tab w:leader="none" w:pos="1674"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This Agreement is personal to the Grantee, is non-assignable and is not transferable in any manner, by operation of law or otherwise, other than by will or the laws of descent and distribution.</w:t>
      </w:r>
    </w:p>
    <w:p>
      <w:pPr>
        <w:spacing w:after="0" w:line="150" w:lineRule="exact"/>
        <w:rPr>
          <w:rFonts w:ascii="Arial" w:cs="Arial" w:eastAsia="Arial" w:hAnsi="Arial"/>
          <w:sz w:val="21"/>
          <w:szCs w:val="21"/>
          <w:color w:val="auto"/>
        </w:rPr>
      </w:pPr>
    </w:p>
    <w:p>
      <w:pPr>
        <w:ind w:right="140" w:firstLine="872"/>
        <w:spacing w:after="0" w:line="234" w:lineRule="auto"/>
        <w:tabs>
          <w:tab w:leader="none" w:pos="167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90" w:lineRule="exact"/>
        <w:rPr>
          <w:rFonts w:ascii="Arial" w:cs="Arial" w:eastAsia="Arial" w:hAnsi="Arial"/>
          <w:sz w:val="22"/>
          <w:szCs w:val="22"/>
          <w:color w:val="auto"/>
        </w:rPr>
      </w:pPr>
    </w:p>
    <w:p>
      <w:pPr>
        <w:ind w:right="80" w:firstLine="872"/>
        <w:spacing w:after="0" w:line="279" w:lineRule="auto"/>
        <w:tabs>
          <w:tab w:leader="none" w:pos="167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Election Under Section 83(b)</w:t>
      </w:r>
      <w:r>
        <w:rPr>
          <w:rFonts w:ascii="Arial" w:cs="Arial" w:eastAsia="Arial" w:hAnsi="Arial"/>
          <w:sz w:val="19"/>
          <w:szCs w:val="19"/>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50" w:lineRule="exact"/>
        <w:rPr>
          <w:rFonts w:ascii="Arial" w:cs="Arial" w:eastAsia="Arial" w:hAnsi="Arial"/>
          <w:sz w:val="19"/>
          <w:szCs w:val="19"/>
          <w:color w:val="auto"/>
        </w:rPr>
      </w:pPr>
    </w:p>
    <w:p>
      <w:pPr>
        <w:ind w:right="280" w:firstLine="872"/>
        <w:spacing w:after="0" w:line="297" w:lineRule="auto"/>
        <w:tabs>
          <w:tab w:leader="none" w:pos="167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33" w:lineRule="exact"/>
        <w:rPr>
          <w:rFonts w:ascii="Arial" w:cs="Arial" w:eastAsia="Arial" w:hAnsi="Arial"/>
          <w:sz w:val="19"/>
          <w:szCs w:val="19"/>
          <w:color w:val="auto"/>
        </w:rPr>
      </w:pPr>
    </w:p>
    <w:p>
      <w:pPr>
        <w:ind w:right="40" w:firstLine="872"/>
        <w:spacing w:after="0" w:line="274" w:lineRule="auto"/>
        <w:tabs>
          <w:tab w:leader="none" w:pos="1782"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Integration</w:t>
      </w:r>
      <w:r>
        <w:rPr>
          <w:rFonts w:ascii="Arial" w:cs="Arial" w:eastAsia="Arial" w:hAnsi="Arial"/>
          <w:sz w:val="21"/>
          <w:szCs w:val="21"/>
          <w:color w:val="auto"/>
        </w:rPr>
        <w:t>. This Agreement constitutes the entire agreement between the parties with respect to this Award and supersedes all prior agreements and discussions between the parties concerning such subject matter.</w:t>
      </w:r>
    </w:p>
    <w:p>
      <w:pPr>
        <w:spacing w:after="0" w:line="150" w:lineRule="exact"/>
        <w:rPr>
          <w:rFonts w:ascii="Arial" w:cs="Arial" w:eastAsia="Arial" w:hAnsi="Arial"/>
          <w:sz w:val="21"/>
          <w:szCs w:val="21"/>
          <w:color w:val="auto"/>
        </w:rPr>
      </w:pPr>
    </w:p>
    <w:p>
      <w:pPr>
        <w:ind w:firstLine="872"/>
        <w:spacing w:after="0" w:line="273" w:lineRule="auto"/>
        <w:tabs>
          <w:tab w:leader="none" w:pos="177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75" w:name="page176"/>
    <w:bookmarkEnd w:id="175"/>
    <w:p>
      <w:pPr>
        <w:ind w:right="220" w:firstLine="872"/>
        <w:spacing w:after="0" w:line="238" w:lineRule="auto"/>
        <w:tabs>
          <w:tab w:leader="none" w:pos="1782"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[Incorporation of Policy for Recoupment of Incentive Compensation.</w:t>
      </w:r>
      <w:r>
        <w:rPr>
          <w:rFonts w:ascii="Arial" w:cs="Arial" w:eastAsia="Arial" w:hAnsi="Arial"/>
          <w:sz w:val="22"/>
          <w:szCs w:val="22"/>
          <w:color w:val="auto"/>
        </w:rPr>
        <w:t xml:space="preserve"> Notwithstanding anything herein to the contrary, this Restricted Stock Award shall be subject to and governed by all the terms and conditions of the Company’s Policy for Recoupment of Incentive Compensation, including the powers of the Company to recoup incentive compensation stated therein.]</w:t>
      </w:r>
    </w:p>
    <w:p>
      <w:pPr>
        <w:spacing w:after="0" w:line="184" w:lineRule="exact"/>
        <w:rPr>
          <w:rFonts w:ascii="Arial" w:cs="Arial" w:eastAsia="Arial" w:hAnsi="Arial"/>
          <w:sz w:val="22"/>
          <w:szCs w:val="22"/>
          <w:color w:val="auto"/>
        </w:rPr>
      </w:pPr>
    </w:p>
    <w:p>
      <w:pPr>
        <w:ind w:firstLine="872"/>
        <w:spacing w:after="0"/>
        <w:tabs>
          <w:tab w:leader="none" w:pos="1782"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HUBSPOT,</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INC.</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6985</wp:posOffset>
            </wp:positionV>
            <wp:extent cx="6604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200"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6985</wp:posOffset>
            </wp:positionV>
            <wp:extent cx="6604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40" w:firstLine="864"/>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Grantee’s Signature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993140</wp:posOffset>
            </wp:positionV>
            <wp:extent cx="3566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667385</wp:posOffset>
            </wp:positionV>
            <wp:extent cx="3566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341630</wp:posOffset>
            </wp:positionV>
            <wp:extent cx="3566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ACTIVE/72153943.2</w:t>
      </w:r>
    </w:p>
    <w:p>
      <w:pPr>
        <w:sectPr>
          <w:pgSz w:w="11900" w:h="16838" w:orient="portrait"/>
          <w:cols w:equalWidth="0" w:num="1">
            <w:col w:w="11160"/>
          </w:cols>
          <w:pgMar w:left="320" w:top="334" w:right="4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060" w:type="dxa"/>
            <w:vAlign w:val="bottom"/>
            <w:gridSpan w:val="3"/>
          </w:tcPr>
          <w:p>
            <w:pPr>
              <w:ind w:left="320"/>
              <w:spacing w:after="0"/>
              <w:rPr>
                <w:sz w:val="20"/>
                <w:szCs w:val="20"/>
                <w:color w:val="auto"/>
              </w:rPr>
            </w:pPr>
            <w:r>
              <w:rPr>
                <w:rFonts w:ascii="Arial" w:cs="Arial" w:eastAsia="Arial" w:hAnsi="Arial"/>
                <w:sz w:val="18"/>
                <w:szCs w:val="18"/>
                <w:b w:val="1"/>
                <w:bCs w:val="1"/>
                <w:color w:val="auto"/>
              </w:rPr>
              <w:t>Subsidiaries of HubSpot, Inc.</w:t>
            </w:r>
          </w:p>
        </w:tc>
      </w:tr>
      <w:tr>
        <w:trPr>
          <w:trHeight w:val="364"/>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5"/>
        </w:trPr>
        <w:tc>
          <w:tcPr>
            <w:tcW w:w="4180" w:type="dxa"/>
            <w:vAlign w:val="bottom"/>
          </w:tcPr>
          <w:p>
            <w:pPr>
              <w:spacing w:after="0" w:line="195" w:lineRule="exact"/>
              <w:rPr>
                <w:sz w:val="20"/>
                <w:szCs w:val="20"/>
                <w:color w:val="auto"/>
              </w:rPr>
            </w:pPr>
            <w:r>
              <w:rPr>
                <w:rFonts w:ascii="Arial" w:cs="Arial" w:eastAsia="Arial" w:hAnsi="Arial"/>
                <w:sz w:val="18"/>
                <w:szCs w:val="18"/>
                <w:color w:val="auto"/>
              </w:rPr>
              <w:t>HubSpot Asia Pte. Ltd.</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Singapore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Australia Pty Ltd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Canada Inc.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France S.A.S.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Germany GmbH</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Ireland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Japan K.K.</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Latin America S.A.S.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Sweden, a filial of HubSpot Ireland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HubSpot UK Holdings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Hustle Con Media, Inc.</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State of Delaware, United States</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PieSync NV</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Belgium</w:t>
            </w:r>
          </w:p>
        </w:tc>
      </w:tr>
    </w:tbl>
    <w:p>
      <w:pPr>
        <w:sectPr>
          <w:pgSz w:w="11900" w:h="16838" w:orient="portrait"/>
          <w:cols w:equalWidth="0" w:num="1">
            <w:col w:w="11240"/>
          </w:cols>
          <w:pgMar w:left="320" w:top="33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333-229641) and Form S-8 (Nos. 333-236399, 333-229622, 333-223018, 333-216104, 333-209689, 333-202532, and 333-199225) of HubSpot, Inc. of our report dated February 16,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17" w:lineRule="exact"/>
        <w:rPr>
          <w:sz w:val="20"/>
          <w:szCs w:val="20"/>
          <w:color w:val="auto"/>
        </w:rPr>
      </w:pPr>
    </w:p>
    <w:p>
      <w:pPr>
        <w:ind w:left="500" w:hanging="492"/>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17" w:lineRule="exact"/>
        <w:rPr>
          <w:sz w:val="20"/>
          <w:szCs w:val="20"/>
          <w:color w:val="auto"/>
        </w:rPr>
      </w:pPr>
    </w:p>
    <w:p>
      <w:pPr>
        <w:ind w:left="500" w:hanging="492"/>
        <w:spacing w:after="0"/>
        <w:tabs>
          <w:tab w:leader="none" w:pos="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HubSpot,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Kate Bueker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Annual Report on Form 10-K of HubSpot, Inc. for the period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Halligan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6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Annual Report on Form 10-K of HubSpot, Inc. for the period ended December 31, 2020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Kate Bueker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54"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o"/>
      <w:numFmt w:val="bullet"/>
      <w:start w:val="1"/>
    </w:lvl>
  </w:abstractNum>
  <w:abstractNum w:abstractNumId="6">
    <w:nsid w:val="1DBABF00"/>
    <w:multiLevelType w:val="hybridMultilevel"/>
    <w:lvl w:ilvl="0">
      <w:lvlJc w:val="left"/>
      <w:lvlText w:val="o"/>
      <w:numFmt w:val="bullet"/>
      <w:start w:val="1"/>
    </w:lvl>
  </w:abstractNum>
  <w:abstractNum w:abstractNumId="7">
    <w:nsid w:val="4AD084E9"/>
    <w:multiLevelType w:val="hybridMultilevel"/>
    <w:lvl w:ilvl="0">
      <w:lvlJc w:val="left"/>
      <w:lvlText w:val="o"/>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1)"/>
      <w:numFmt w:val="decimal"/>
      <w:start w:val="2"/>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1)"/>
      <w:numFmt w:val="decimal"/>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1)"/>
      <w:numFmt w:val="lowerLetter"/>
      <w:start w:val="1"/>
    </w:lvl>
  </w:abstractNum>
  <w:abstractNum w:abstractNumId="27">
    <w:nsid w:val="BF72B14"/>
    <w:multiLevelType w:val="hybridMultilevel"/>
    <w:lvl w:ilvl="0">
      <w:lvlJc w:val="left"/>
      <w:lvlText w:val="(%1)"/>
      <w:numFmt w:val="lowerLetter"/>
      <w:start w:val="2"/>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1)"/>
      <w:numFmt w:val="lowerLetter"/>
      <w:start w:val="3"/>
    </w:lvl>
  </w:abstractNum>
  <w:abstractNum w:abstractNumId="30">
    <w:nsid w:val="A0382C5"/>
    <w:multiLevelType w:val="hybridMultilevel"/>
    <w:lvl w:ilvl="0">
      <w:lvlJc w:val="left"/>
      <w:lvlText w:val="(%1)"/>
      <w:numFmt w:val="lowerLetter"/>
      <w:start w:val="4"/>
    </w:lvl>
  </w:abstractNum>
  <w:abstractNum w:abstractNumId="31">
    <w:nsid w:val="8F2B15E"/>
    <w:multiLevelType w:val="hybridMultilevel"/>
    <w:lvl w:ilvl="0">
      <w:lvlJc w:val="left"/>
      <w:lvlText w:val="(%1)"/>
      <w:numFmt w:val="lowerLetter"/>
      <w:start w:val="1"/>
    </w:lvl>
  </w:abstractNum>
  <w:abstractNum w:abstractNumId="32">
    <w:nsid w:val="1A32234B"/>
    <w:multiLevelType w:val="hybridMultilevel"/>
    <w:lvl w:ilvl="0">
      <w:lvlJc w:val="left"/>
      <w:lvlText w:val="%1."/>
      <w:numFmt w:val="decimal"/>
      <w:start w:val="1"/>
    </w:lvl>
    <w:lvl w:ilvl="1">
      <w:lvlJc w:val="left"/>
      <w:lvlText w:val="•"/>
      <w:numFmt w:val="bullet"/>
      <w:start w:val="1"/>
    </w:lvl>
  </w:abstractNum>
  <w:abstractNum w:abstractNumId="33">
    <w:nsid w:val="3B0FD379"/>
    <w:multiLevelType w:val="hybridMultilevel"/>
    <w:lvl w:ilvl="0">
      <w:lvlJc w:val="left"/>
      <w:lvlText w:val="%1."/>
      <w:numFmt w:val="decimal"/>
      <w:start w:val="3"/>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Ÿ"/>
      <w:numFmt w:val="bullet"/>
      <w:start w:val="1"/>
    </w:lvl>
  </w:abstractNum>
  <w:abstractNum w:abstractNumId="36">
    <w:nsid w:val="60B6DF70"/>
    <w:multiLevelType w:val="hybridMultilevel"/>
    <w:lvl w:ilvl="0">
      <w:lvlJc w:val="left"/>
      <w:lvlText w:val="(%1)"/>
      <w:numFmt w:val="decimal"/>
      <w:start w:val="1"/>
    </w:lvl>
  </w:abstractNum>
  <w:abstractNum w:abstractNumId="37">
    <w:nsid w:val="6A5EE64"/>
    <w:multiLevelType w:val="hybridMultilevel"/>
    <w:lvl w:ilvl="0">
      <w:lvlJc w:val="left"/>
      <w:lvlText w:val="(%1)"/>
      <w:numFmt w:val="decimal"/>
      <w:start w:val="17"/>
    </w:lvl>
  </w:abstractNum>
  <w:abstractNum w:abstractNumId="38">
    <w:nsid w:val="14330624"/>
    <w:multiLevelType w:val="hybridMultilevel"/>
    <w:lvl w:ilvl="0">
      <w:lvlJc w:val="left"/>
      <w:lvlText w:val="(%1)"/>
      <w:numFmt w:val="lowerLetter"/>
      <w:start w:val="1"/>
    </w:lvl>
  </w:abstractNum>
  <w:abstractNum w:abstractNumId="39">
    <w:nsid w:val="7FFFCA11"/>
    <w:multiLevelType w:val="hybridMultilevel"/>
    <w:lvl w:ilvl="0">
      <w:lvlJc w:val="left"/>
      <w:lvlText w:val="(%1)"/>
      <w:numFmt w:val="lowerLetter"/>
      <w:start w:val="3"/>
    </w:lvl>
  </w:abstractNum>
  <w:abstractNum w:abstractNumId="40">
    <w:nsid w:val="1A27709E"/>
    <w:multiLevelType w:val="hybridMultilevel"/>
    <w:lvl w:ilvl="0">
      <w:lvlJc w:val="left"/>
      <w:lvlText w:val="(%1)"/>
      <w:numFmt w:val="lowerLetter"/>
      <w:start w:val="5"/>
    </w:lvl>
  </w:abstractNum>
  <w:abstractNum w:abstractNumId="41">
    <w:nsid w:val="71EA1109"/>
    <w:multiLevelType w:val="hybridMultilevel"/>
    <w:lvl w:ilvl="0">
      <w:lvlJc w:val="left"/>
      <w:lvlText w:val="(%1)"/>
      <w:numFmt w:val="lowerLetter"/>
      <w:start w:val="1"/>
    </w:lvl>
  </w:abstractNum>
  <w:abstractNum w:abstractNumId="42">
    <w:nsid w:val="100F59DC"/>
    <w:multiLevelType w:val="hybridMultilevel"/>
    <w:lvl w:ilvl="0">
      <w:lvlJc w:val="left"/>
      <w:lvlText w:val="(%1)"/>
      <w:numFmt w:val="lowerLetter"/>
      <w:start w:val="2"/>
    </w:lvl>
  </w:abstractNum>
  <w:abstractNum w:abstractNumId="43">
    <w:nsid w:val="7FB7E0AA"/>
    <w:multiLevelType w:val="hybridMultilevel"/>
    <w:lvl w:ilvl="0">
      <w:lvlJc w:val="left"/>
      <w:lvlText w:val="(%1)"/>
      <w:numFmt w:val="lowerLetter"/>
      <w:start w:val="5"/>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1)"/>
      <w:numFmt w:val="lowerLetter"/>
      <w:start w:val="2"/>
    </w:lvl>
  </w:abstractNum>
  <w:abstractNum w:abstractNumId="46">
    <w:nsid w:val="94211F2"/>
    <w:multiLevelType w:val="hybridMultilevel"/>
    <w:lvl w:ilvl="0">
      <w:lvlJc w:val="left"/>
      <w:lvlText w:val="(%1)"/>
      <w:numFmt w:val="lowerLetter"/>
      <w:start w:val="6"/>
    </w:lvl>
  </w:abstractNum>
  <w:abstractNum w:abstractNumId="47">
    <w:nsid w:val="885E1B"/>
    <w:multiLevelType w:val="hybridMultilevel"/>
    <w:lvl w:ilvl="0">
      <w:lvlJc w:val="left"/>
      <w:lvlText w:val="(%1)"/>
      <w:numFmt w:val="lowerLetter"/>
      <w:start w:val="1"/>
    </w:lvl>
  </w:abstractNum>
  <w:abstractNum w:abstractNumId="48">
    <w:nsid w:val="76272110"/>
    <w:multiLevelType w:val="hybridMultilevel"/>
    <w:lvl w:ilvl="0">
      <w:lvlJc w:val="left"/>
      <w:lvlText w:val="(%1)"/>
      <w:numFmt w:val="lowerLetter"/>
      <w:start w:val="1"/>
    </w:lvl>
  </w:abstractNum>
  <w:abstractNum w:abstractNumId="49">
    <w:nsid w:val="4C04A8AF"/>
    <w:multiLevelType w:val="hybridMultilevel"/>
    <w:lvl w:ilvl="0">
      <w:lvlJc w:val="left"/>
      <w:lvlText w:val="(%1)"/>
      <w:numFmt w:val="lowerLetter"/>
      <w:start w:val="2"/>
    </w:lvl>
  </w:abstractNum>
  <w:abstractNum w:abstractNumId="50">
    <w:nsid w:val="1716703B"/>
    <w:multiLevelType w:val="hybridMultilevel"/>
    <w:lvl w:ilvl="0">
      <w:lvlJc w:val="left"/>
      <w:lvlText w:val="(%1)"/>
      <w:numFmt w:val="lowerLetter"/>
      <w:start w:val="1"/>
    </w:lvl>
  </w:abstractNum>
  <w:abstractNum w:abstractNumId="51">
    <w:nsid w:val="14E17E33"/>
    <w:multiLevelType w:val="hybridMultilevel"/>
    <w:lvl w:ilvl="0">
      <w:lvlJc w:val="left"/>
      <w:lvlText w:val="(%1)"/>
      <w:numFmt w:val="lowerLetter"/>
      <w:start w:val="1"/>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Letter"/>
      <w:start w:val="1"/>
    </w:lvl>
  </w:abstractNum>
  <w:abstractNum w:abstractNumId="54">
    <w:nsid w:val="68EBC550"/>
    <w:multiLevelType w:val="hybridMultilevel"/>
    <w:lvl w:ilvl="0">
      <w:lvlJc w:val="left"/>
      <w:lvlText w:val="(%1)"/>
      <w:numFmt w:val="lowerLetter"/>
      <w:start w:val="2"/>
    </w:lvl>
  </w:abstractNum>
  <w:abstractNum w:abstractNumId="55">
    <w:nsid w:val="2DF6D648"/>
    <w:multiLevelType w:val="hybridMultilevel"/>
    <w:lvl w:ilvl="0">
      <w:lvlJc w:val="left"/>
      <w:lvlText w:val="(%1)"/>
      <w:numFmt w:val="lowerLetter"/>
      <w:start w:val="1"/>
    </w:lvl>
  </w:abstractNum>
  <w:abstractNum w:abstractNumId="56">
    <w:nsid w:val="46B7D447"/>
    <w:multiLevelType w:val="hybridMultilevel"/>
    <w:lvl w:ilvl="0">
      <w:lvlJc w:val="left"/>
      <w:lvlText w:val="(%1)"/>
      <w:numFmt w:val="lowerLetter"/>
      <w:start w:val="4"/>
    </w:lvl>
  </w:abstractNum>
  <w:abstractNum w:abstractNumId="57">
    <w:nsid w:val="4A2AC315"/>
    <w:multiLevelType w:val="hybridMultilevel"/>
    <w:lvl w:ilvl="0">
      <w:lvlJc w:val="left"/>
      <w:lvlText w:val="(%1)"/>
      <w:numFmt w:val="lowerLetter"/>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2"/>
    </w:lvl>
  </w:abstractNum>
  <w:abstractNum w:abstractNumId="60">
    <w:nsid w:val="CC1016F"/>
    <w:multiLevelType w:val="hybridMultilevel"/>
    <w:lvl w:ilvl="0">
      <w:lvlJc w:val="left"/>
      <w:lvlText w:val="(%1)"/>
      <w:numFmt w:val="lowerLetter"/>
      <w:start w:val="1"/>
    </w:lvl>
  </w:abstractNum>
  <w:abstractNum w:abstractNumId="61">
    <w:nsid w:val="43F18422"/>
    <w:multiLevelType w:val="hybridMultilevel"/>
    <w:lvl w:ilvl="0">
      <w:lvlJc w:val="left"/>
      <w:lvlText w:val="(%1)"/>
      <w:numFmt w:val="lowerLetter"/>
      <w:start w:val="5"/>
    </w:lvl>
  </w:abstractNum>
  <w:abstractNum w:abstractNumId="62">
    <w:nsid w:val="60EF0119"/>
    <w:multiLevelType w:val="hybridMultilevel"/>
    <w:lvl w:ilvl="0">
      <w:lvlJc w:val="left"/>
      <w:lvlText w:val="(%1)"/>
      <w:numFmt w:val="lowerRoman"/>
      <w:start w:val="2"/>
    </w:lvl>
  </w:abstractNum>
  <w:abstractNum w:abstractNumId="63">
    <w:nsid w:val="26F324BA"/>
    <w:multiLevelType w:val="hybridMultilevel"/>
    <w:lvl w:ilvl="0">
      <w:lvlJc w:val="left"/>
      <w:lvlText w:val="%1."/>
      <w:numFmt w:val="decimal"/>
      <w:start w:val="2"/>
    </w:lvl>
    <w:lvl w:ilvl="1">
      <w:lvlJc w:val="left"/>
      <w:lvlText w:val="(%2)"/>
      <w:numFmt w:val="lowerLetter"/>
      <w:start w:val="1"/>
    </w:lvl>
  </w:abstractNum>
  <w:abstractNum w:abstractNumId="64">
    <w:nsid w:val="7F01579B"/>
    <w:multiLevelType w:val="hybridMultilevel"/>
    <w:lvl w:ilvl="0">
      <w:lvlJc w:val="left"/>
      <w:lvlText w:val="(%1)"/>
      <w:numFmt w:val="lowerRoman"/>
      <w:start w:val="2"/>
    </w:lvl>
    <w:lvl w:ilvl="1">
      <w:lvlJc w:val="left"/>
      <w:lvlText w:val="(%2)"/>
      <w:numFmt w:val="lowerLetter"/>
      <w:start w:val="2"/>
    </w:lvl>
  </w:abstractNum>
  <w:abstractNum w:abstractNumId="65">
    <w:nsid w:val="49DA307D"/>
    <w:multiLevelType w:val="hybridMultilevel"/>
    <w:lvl w:ilvl="0">
      <w:lvlJc w:val="left"/>
      <w:lvlText w:val="%1."/>
      <w:numFmt w:val="decimal"/>
      <w:start w:val="3"/>
    </w:lvl>
    <w:lvl w:ilvl="1">
      <w:lvlJc w:val="left"/>
      <w:lvlText w:val="(%2)"/>
      <w:numFmt w:val="lowerLetter"/>
      <w:start w:val="1"/>
    </w:lvl>
  </w:abstractNum>
  <w:abstractNum w:abstractNumId="66">
    <w:nsid w:val="7055A5F5"/>
    <w:multiLevelType w:val="hybridMultilevel"/>
    <w:lvl w:ilvl="0">
      <w:lvlJc w:val="left"/>
      <w:lvlText w:val="%1."/>
      <w:numFmt w:val="decimal"/>
      <w:start w:val="4"/>
    </w:lvl>
  </w:abstractNum>
  <w:abstractNum w:abstractNumId="67">
    <w:nsid w:val="5FB8370B"/>
    <w:multiLevelType w:val="hybridMultilevel"/>
    <w:lvl w:ilvl="0">
      <w:lvlJc w:val="left"/>
      <w:lvlText w:val="%1."/>
      <w:numFmt w:val="decimal"/>
      <w:start w:val="5"/>
    </w:lvl>
  </w:abstractNum>
  <w:abstractNum w:abstractNumId="68">
    <w:nsid w:val="50801EE1"/>
    <w:multiLevelType w:val="hybridMultilevel"/>
    <w:lvl w:ilvl="0">
      <w:lvlJc w:val="left"/>
      <w:lvlText w:val="%1"/>
      <w:numFmt w:val="lowerLetter"/>
      <w:start w:val="1"/>
    </w:lvl>
    <w:lvl w:ilvl="1">
      <w:lvlJc w:val="left"/>
      <w:lvlText w:val="(%2)"/>
      <w:numFmt w:val="lowerLetter"/>
      <w:start w:val="1"/>
    </w:lvl>
  </w:abstractNum>
  <w:abstractNum w:abstractNumId="69">
    <w:nsid w:val="488AC1A"/>
    <w:multiLevelType w:val="hybridMultilevel"/>
    <w:lvl w:ilvl="0">
      <w:lvlJc w:val="left"/>
      <w:lvlText w:val="(%1)"/>
      <w:numFmt w:val="lowerLetter"/>
      <w:start w:val="9"/>
    </w:lvl>
    <w:lvl w:ilvl="1">
      <w:lvlJc w:val="left"/>
      <w:lvlText w:val="(%2)"/>
      <w:numFmt w:val="lowerLetter"/>
      <w:start w:val="2"/>
    </w:lvl>
  </w:abstractNum>
  <w:abstractNum w:abstractNumId="70">
    <w:nsid w:val="5FB8011C"/>
    <w:multiLevelType w:val="hybridMultilevel"/>
    <w:lvl w:ilvl="0">
      <w:lvlJc w:val="left"/>
      <w:lvlText w:val="(%1)"/>
      <w:numFmt w:val="lowerLetter"/>
      <w:start w:val="61"/>
    </w:lvl>
    <w:lvl w:ilvl="1">
      <w:lvlJc w:val="left"/>
      <w:lvlText w:val="(%2)"/>
      <w:numFmt w:val="lowerLetter"/>
      <w:start w:val="3"/>
    </w:lvl>
  </w:abstractNum>
  <w:abstractNum w:abstractNumId="71">
    <w:nsid w:val="6AA78F7F"/>
    <w:multiLevelType w:val="hybridMultilevel"/>
    <w:lvl w:ilvl="0">
      <w:lvlJc w:val="left"/>
      <w:lvlText w:val="(%1)"/>
      <w:numFmt w:val="lowerLetter"/>
      <w:start w:val="1"/>
    </w:lvl>
  </w:abstractNum>
  <w:abstractNum w:abstractNumId="72">
    <w:nsid w:val="7672BD23"/>
    <w:multiLevelType w:val="hybridMultilevel"/>
    <w:lvl w:ilvl="0">
      <w:lvlJc w:val="left"/>
      <w:lvlText w:val="(%1)"/>
      <w:numFmt w:val="lowerLetter"/>
      <w:start w:val="2"/>
    </w:lvl>
  </w:abstractNum>
  <w:abstractNum w:abstractNumId="73">
    <w:nsid w:val="6FC75AF8"/>
    <w:multiLevelType w:val="hybridMultilevel"/>
    <w:lvl w:ilvl="0">
      <w:lvlJc w:val="left"/>
      <w:lvlText w:val="(%1)"/>
      <w:numFmt w:val="lowerRoman"/>
      <w:start w:val="1"/>
    </w:lvl>
  </w:abstractNum>
  <w:abstractNum w:abstractNumId="74">
    <w:nsid w:val="6A5F7029"/>
    <w:multiLevelType w:val="hybridMultilevel"/>
    <w:lvl w:ilvl="0">
      <w:lvlJc w:val="left"/>
      <w:lvlText w:val="%1."/>
      <w:numFmt w:val="decimal"/>
      <w:start w:val="23"/>
    </w:lvl>
  </w:abstractNum>
  <w:abstractNum w:abstractNumId="75">
    <w:nsid w:val="7D5E18F8"/>
    <w:multiLevelType w:val="hybridMultilevel"/>
    <w:lvl w:ilvl="0">
      <w:lvlJc w:val="left"/>
      <w:lvlText w:val="(%1)"/>
      <w:numFmt w:val="lowerLetter"/>
      <w:start w:val="1"/>
    </w:lvl>
  </w:abstractNum>
  <w:abstractNum w:abstractNumId="76">
    <w:nsid w:val="5F3534A4"/>
    <w:multiLevelType w:val="hybridMultilevel"/>
    <w:lvl w:ilvl="0">
      <w:lvlJc w:val="left"/>
      <w:lvlText w:val="(%1)"/>
      <w:numFmt w:val="lowerLetter"/>
      <w:start w:val="4"/>
    </w:lvl>
  </w:abstractNum>
  <w:abstractNum w:abstractNumId="77">
    <w:nsid w:val="73A1821B"/>
    <w:multiLevelType w:val="hybridMultilevel"/>
    <w:lvl w:ilvl="0">
      <w:lvlJc w:val="left"/>
      <w:lvlText w:val="(%1)"/>
      <w:numFmt w:val="lowerRoman"/>
      <w:start w:val="2"/>
    </w:lvl>
  </w:abstractNum>
  <w:abstractNum w:abstractNumId="78">
    <w:nsid w:val="7DE67713"/>
    <w:multiLevelType w:val="hybridMultilevel"/>
    <w:lvl w:ilvl="0">
      <w:lvlJc w:val="left"/>
      <w:lvlText w:val="(%1)"/>
      <w:numFmt w:val="lowerLetter"/>
      <w:start w:val="1"/>
    </w:lvl>
  </w:abstractNum>
  <w:abstractNum w:abstractNumId="79">
    <w:nsid w:val="555C55B5"/>
    <w:multiLevelType w:val="hybridMultilevel"/>
    <w:lvl w:ilvl="0">
      <w:lvlJc w:val="left"/>
      <w:lvlText w:val="(%1)"/>
      <w:numFmt w:val="lowerRoman"/>
      <w:start w:val="2"/>
    </w:lvl>
    <w:lvl w:ilvl="1">
      <w:lvlJc w:val="left"/>
      <w:lvlText w:val="(%2)"/>
      <w:numFmt w:val="lowerLetter"/>
      <w:start w:val="2"/>
    </w:lvl>
  </w:abstractNum>
  <w:abstractNum w:abstractNumId="80">
    <w:nsid w:val="3FA62ACA"/>
    <w:multiLevelType w:val="hybridMultilevel"/>
    <w:lvl w:ilvl="0">
      <w:lvlJc w:val="left"/>
      <w:lvlText w:val="%1"/>
      <w:numFmt w:val="decimal"/>
      <w:start w:val="1"/>
    </w:lvl>
    <w:lvl w:ilvl="1">
      <w:lvlJc w:val="left"/>
      <w:lvlText w:val="(%2)"/>
      <w:numFmt w:val="lowerLetter"/>
      <w:start w:val="4"/>
    </w:lvl>
  </w:abstractNum>
  <w:abstractNum w:abstractNumId="81">
    <w:nsid w:val="14FCE74E"/>
    <w:multiLevelType w:val="hybridMultilevel"/>
    <w:lvl w:ilvl="0">
      <w:lvlJc w:val="left"/>
      <w:lvlText w:val="%1."/>
      <w:numFmt w:val="decimal"/>
      <w:start w:val="3"/>
    </w:lvl>
    <w:lvl w:ilvl="1">
      <w:lvlJc w:val="left"/>
      <w:lvlText w:val="(%2)"/>
      <w:numFmt w:val="lowerLetter"/>
      <w:start w:val="1"/>
    </w:lvl>
  </w:abstractNum>
  <w:abstractNum w:abstractNumId="82">
    <w:nsid w:val="6A3DD3E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3">
    <w:nsid w:val="71C9129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84">
    <w:nsid w:val="9DAF632"/>
    <w:multiLevelType w:val="hybridMultilevel"/>
    <w:lvl w:ilvl="0">
      <w:lvlJc w:val="left"/>
      <w:lvlText w:val="%1"/>
      <w:numFmt w:val="decimal"/>
      <w:start w:val="1"/>
    </w:lvl>
    <w:lvl w:ilvl="1">
      <w:lvlJc w:val="left"/>
      <w:lvlText w:val="(%2)"/>
      <w:numFmt w:val="lowerLetter"/>
      <w:start w:val="3"/>
    </w:lvl>
  </w:abstractNum>
  <w:abstractNum w:abstractNumId="85">
    <w:nsid w:val="53299938"/>
    <w:multiLevelType w:val="hybridMultilevel"/>
    <w:lvl w:ilvl="0">
      <w:lvlJc w:val="left"/>
      <w:lvlText w:val="%1."/>
      <w:numFmt w:val="decimal"/>
      <w:start w:val="7"/>
    </w:lvl>
    <w:lvl w:ilvl="1">
      <w:lvlJc w:val="left"/>
      <w:lvlText w:val="(%2)"/>
      <w:numFmt w:val="lowerLetter"/>
      <w:start w:val="1"/>
    </w:lvl>
  </w:abstractNum>
  <w:abstractNum w:abstractNumId="86">
    <w:nsid w:val="1FBFE8E0"/>
    <w:multiLevelType w:val="hybridMultilevel"/>
    <w:lvl w:ilvl="0">
      <w:lvlJc w:val="left"/>
      <w:lvlText w:val="(%1)"/>
      <w:numFmt w:val="lowerLetter"/>
      <w:start w:val="5"/>
    </w:lvl>
    <w:lvl w:ilvl="1">
      <w:lvlJc w:val="left"/>
      <w:lvlText w:val="(%2)"/>
      <w:numFmt w:val="lowerRoman"/>
      <w:start w:val="1"/>
    </w:lvl>
  </w:abstractNum>
  <w:abstractNum w:abstractNumId="87">
    <w:nsid w:val="5092CA79"/>
    <w:multiLevelType w:val="hybridMultilevel"/>
    <w:lvl w:ilvl="0">
      <w:lvlJc w:val="left"/>
      <w:lvlText w:val="%1."/>
      <w:numFmt w:val="decimal"/>
      <w:start w:val="10"/>
    </w:lvl>
  </w:abstractNum>
  <w:abstractNum w:abstractNumId="88">
    <w:nsid w:val="1D545C4D"/>
    <w:multiLevelType w:val="hybridMultilevel"/>
    <w:lvl w:ilvl="0">
      <w:lvlJc w:val="left"/>
      <w:lvlText w:val="%1."/>
      <w:numFmt w:val="decimal"/>
      <w:start w:val="18"/>
    </w:lvl>
  </w:abstractNum>
  <w:abstractNum w:abstractNumId="89">
    <w:nsid w:val="59ADEA3D"/>
    <w:multiLevelType w:val="hybridMultilevel"/>
    <w:lvl w:ilvl="0">
      <w:lvlJc w:val="left"/>
      <w:lvlText w:val="%1."/>
      <w:numFmt w:val="decimal"/>
      <w:start w:val="22"/>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4"/>
    </w:lvl>
  </w:abstractNum>
  <w:abstractNum w:abstractNumId="92">
    <w:nsid w:val="1D9F6E5F"/>
    <w:multiLevelType w:val="hybridMultilevel"/>
    <w:lvl w:ilvl="0">
      <w:lvlJc w:val="left"/>
      <w:lvlText w:val="%1."/>
      <w:numFmt w:val="decimal"/>
      <w:start w:val="1"/>
    </w:lvl>
  </w:abstractNum>
  <w:abstractNum w:abstractNumId="93">
    <w:nsid w:val="97E1B4E"/>
    <w:multiLevelType w:val="hybridMultilevel"/>
    <w:lvl w:ilvl="0">
      <w:lvlJc w:val="left"/>
      <w:lvlText w:val="(%1)"/>
      <w:numFmt w:val="lowerRoman"/>
      <w:start w:val="1"/>
    </w:lvl>
  </w:abstractNum>
  <w:abstractNum w:abstractNumId="94">
    <w:nsid w:val="51088277"/>
    <w:multiLevelType w:val="hybridMultilevel"/>
    <w:lvl w:ilvl="0">
      <w:lvlJc w:val="left"/>
      <w:lvlText w:val="%1."/>
      <w:numFmt w:val="decimal"/>
      <w:start w:val="3"/>
    </w:lvl>
  </w:abstractNum>
  <w:abstractNum w:abstractNumId="95">
    <w:nsid w:val="1CA0C5FA"/>
    <w:multiLevelType w:val="hybridMultilevel"/>
    <w:lvl w:ilvl="0">
      <w:lvlJc w:val="left"/>
      <w:lvlText w:val="%1."/>
      <w:numFmt w:val="decimal"/>
      <w:start w:val="5"/>
    </w:lvl>
    <w:lvl w:ilvl="1">
      <w:lvlJc w:val="left"/>
      <w:lvlText w:val="(%2)"/>
      <w:numFmt w:val="lowerLetter"/>
      <w:start w:val="1"/>
    </w:lvl>
  </w:abstractNum>
  <w:abstractNum w:abstractNumId="96">
    <w:nsid w:val="53584BCB"/>
    <w:multiLevelType w:val="hybridMultilevel"/>
    <w:lvl w:ilvl="0">
      <w:lvlJc w:val="left"/>
      <w:lvlText w:val="%1"/>
      <w:numFmt w:val="decimal"/>
      <w:start w:val="1"/>
    </w:lvl>
    <w:lvl w:ilvl="1">
      <w:lvlJc w:val="left"/>
      <w:lvlText w:val="(%2)"/>
      <w:numFmt w:val="lowerLetter"/>
      <w:start w:val="3"/>
    </w:lvl>
  </w:abstractNum>
  <w:abstractNum w:abstractNumId="97">
    <w:nsid w:val="415E286C"/>
    <w:multiLevelType w:val="hybridMultilevel"/>
    <w:lvl w:ilvl="0">
      <w:lvlJc w:val="left"/>
      <w:lvlText w:val="%1."/>
      <w:numFmt w:val="decimal"/>
      <w:start w:val="7"/>
    </w:lvl>
    <w:lvl w:ilvl="1">
      <w:lvlJc w:val="left"/>
      <w:lvlText w:val="(%2)"/>
      <w:numFmt w:val="lowerLetter"/>
      <w:start w:val="1"/>
    </w:lvl>
  </w:abstractNum>
  <w:abstractNum w:abstractNumId="98">
    <w:nsid w:val="7C58FD05"/>
    <w:multiLevelType w:val="hybridMultilevel"/>
    <w:lvl w:ilvl="0">
      <w:lvlJc w:val="left"/>
      <w:lvlText w:val="(%1)"/>
      <w:numFmt w:val="lowerLetter"/>
      <w:start w:val="3"/>
    </w:lvl>
    <w:lvl w:ilvl="1">
      <w:lvlJc w:val="left"/>
      <w:lvlText w:val="(%2)"/>
      <w:numFmt w:val="lowerRoman"/>
      <w:start w:val="1"/>
    </w:lvl>
  </w:abstractNum>
  <w:abstractNum w:abstractNumId="99">
    <w:nsid w:val="23D86AAC"/>
    <w:multiLevelType w:val="hybridMultilevel"/>
    <w:lvl w:ilvl="0">
      <w:lvlJc w:val="left"/>
      <w:lvlText w:val="%1."/>
      <w:numFmt w:val="decimal"/>
      <w:start w:val="11"/>
    </w:lvl>
  </w:abstractNum>
  <w:abstractNum w:abstractNumId="100">
    <w:nsid w:val="45E6D486"/>
    <w:multiLevelType w:val="hybridMultilevel"/>
    <w:lvl w:ilvl="0">
      <w:lvlJc w:val="left"/>
      <w:lvlText w:val="%1."/>
      <w:numFmt w:val="decimal"/>
      <w:start w:val="19"/>
    </w:lvl>
  </w:abstractNum>
  <w:abstractNum w:abstractNumId="101">
    <w:nsid w:val="5C10FE21"/>
    <w:multiLevelType w:val="hybridMultilevel"/>
    <w:lvl w:ilvl="0">
      <w:lvlJc w:val="left"/>
      <w:lvlText w:val="%1."/>
      <w:numFmt w:val="decimal"/>
      <w:start w:val="23"/>
    </w:lvl>
  </w:abstractNum>
  <w:abstractNum w:abstractNumId="102">
    <w:nsid w:val="E7FFA2B"/>
    <w:multiLevelType w:val="hybridMultilevel"/>
    <w:lvl w:ilvl="0">
      <w:lvlJc w:val="left"/>
      <w:lvlText w:val="(%1)"/>
      <w:numFmt w:val="lowerLetter"/>
      <w:start w:val="1"/>
    </w:lvl>
  </w:abstractNum>
  <w:abstractNum w:abstractNumId="103">
    <w:nsid w:val="3C5991AA"/>
    <w:multiLevelType w:val="hybridMultilevel"/>
    <w:lvl w:ilvl="0">
      <w:lvlJc w:val="left"/>
      <w:lvlText w:val="(%1)"/>
      <w:numFmt w:val="lowerLetter"/>
      <w:start w:val="4"/>
    </w:lvl>
  </w:abstractNum>
  <w:abstractNum w:abstractNumId="104">
    <w:nsid w:val="4BD8591A"/>
    <w:multiLevelType w:val="hybridMultilevel"/>
    <w:lvl w:ilvl="0">
      <w:lvlJc w:val="left"/>
      <w:lvlText w:val="(%1)"/>
      <w:numFmt w:val="lowerRoman"/>
      <w:start w:val="2"/>
    </w:lvl>
  </w:abstractNum>
  <w:abstractNum w:abstractNumId="105">
    <w:nsid w:val="78DF6A55"/>
    <w:multiLevelType w:val="hybridMultilevel"/>
    <w:lvl w:ilvl="0">
      <w:lvlJc w:val="left"/>
      <w:lvlText w:val="1"/>
      <w:numFmt w:val="bullet"/>
      <w:start w:val="1"/>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2"/>
    </w:lvl>
    <w:lvl w:ilvl="1">
      <w:lvlJc w:val="left"/>
      <w:lvlText w:val="(%2)"/>
      <w:numFmt w:val="lowerLetter"/>
      <w:start w:val="1"/>
    </w:lvl>
  </w:abstractNum>
  <w:abstractNum w:abstractNumId="108">
    <w:nsid w:val="6C80EC70"/>
    <w:multiLevelType w:val="hybridMultilevel"/>
    <w:lvl w:ilvl="0">
      <w:lvlJc w:val="left"/>
      <w:lvlText w:val="(%1)"/>
      <w:numFmt w:val="lowerRoman"/>
      <w:start w:val="2"/>
    </w:lvl>
    <w:lvl w:ilvl="1">
      <w:lvlJc w:val="left"/>
      <w:lvlText w:val="(%2)"/>
      <w:numFmt w:val="lowerLetter"/>
      <w:start w:val="2"/>
    </w:lvl>
  </w:abstractNum>
  <w:abstractNum w:abstractNumId="109">
    <w:nsid w:val="379E21B5"/>
    <w:multiLevelType w:val="hybridMultilevel"/>
    <w:lvl w:ilvl="0">
      <w:lvlJc w:val="left"/>
      <w:lvlText w:val="%1"/>
      <w:numFmt w:val="decimal"/>
      <w:start w:val="1"/>
    </w:lvl>
    <w:lvl w:ilvl="1">
      <w:lvlJc w:val="left"/>
      <w:lvlText w:val="(%2)"/>
      <w:numFmt w:val="lowerLetter"/>
      <w:start w:val="3"/>
    </w:lvl>
  </w:abstractNum>
  <w:abstractNum w:abstractNumId="110">
    <w:nsid w:val="69E373"/>
    <w:multiLevelType w:val="hybridMultilevel"/>
    <w:lvl w:ilvl="0">
      <w:lvlJc w:val="left"/>
      <w:lvlText w:val="%1."/>
      <w:numFmt w:val="decimal"/>
      <w:start w:val="3"/>
    </w:lvl>
    <w:lvl w:ilvl="1">
      <w:lvlJc w:val="left"/>
      <w:lvlText w:val="(%2)"/>
      <w:numFmt w:val="lowerLetter"/>
      <w:start w:val="1"/>
    </w:lvl>
  </w:abstractNum>
  <w:abstractNum w:abstractNumId="111">
    <w:nsid w:val="2C27173B"/>
    <w:multiLevelType w:val="hybridMultilevel"/>
    <w:lvl w:ilvl="0">
      <w:lvlJc w:val="left"/>
      <w:lvlText w:val="%1."/>
      <w:numFmt w:val="decimal"/>
      <w:start w:val="4"/>
    </w:lvl>
  </w:abstractNum>
  <w:abstractNum w:abstractNumId="112">
    <w:nsid w:val="4C9B0904"/>
    <w:multiLevelType w:val="hybridMultilevel"/>
    <w:lvl w:ilvl="0">
      <w:lvlJc w:val="left"/>
      <w:lvlText w:val="%1."/>
      <w:numFmt w:val="decimal"/>
      <w:start w:val="8"/>
    </w:lvl>
  </w:abstractNum>
  <w:abstractNum w:abstractNumId="113">
    <w:nsid w:val="6AA7B75C"/>
    <w:multiLevelType w:val="hybridMultilevel"/>
    <w:lvl w:ilvl="0">
      <w:lvlJc w:val="left"/>
      <w:lvlText w:val="%1."/>
      <w:numFmt w:val="decimal"/>
      <w:start w:val="1"/>
    </w:lvl>
  </w:abstractNum>
  <w:abstractNum w:abstractNumId="114">
    <w:nsid w:val="1DF029D3"/>
    <w:multiLevelType w:val="hybridMultilevel"/>
    <w:lvl w:ilvl="0">
      <w:lvlJc w:val="left"/>
      <w:lvlText w:val="%1."/>
      <w:numFmt w:val="decimal"/>
      <w:start w:val="3"/>
    </w:lvl>
  </w:abstractNum>
  <w:abstractNum w:abstractNumId="115">
    <w:nsid w:val="5675FF36"/>
    <w:multiLevelType w:val="hybridMultilevel"/>
    <w:lvl w:ilvl="0">
      <w:lvlJc w:val="left"/>
      <w:lvlText w:val="%1."/>
      <w:numFmt w:val="decimal"/>
      <w:start w:val="4"/>
    </w:lvl>
  </w:abstractNum>
  <w:abstractNum w:abstractNumId="116">
    <w:nsid w:val="3DD15094"/>
    <w:multiLevelType w:val="hybridMultilevel"/>
    <w:lvl w:ilvl="0">
      <w:lvlJc w:val="left"/>
      <w:lvlText w:val="%1."/>
      <w:numFmt w:val="decimal"/>
      <w:start w:val="10"/>
    </w:lvl>
  </w:abstractNum>
  <w:abstractNum w:abstractNumId="117">
    <w:nsid w:val="3DB012B3"/>
    <w:multiLevelType w:val="hybridMultilevel"/>
    <w:lvl w:ilvl="0">
      <w:lvlJc w:val="left"/>
      <w:lvlText w:val="%1."/>
      <w:numFmt w:val="decimal"/>
      <w:start w:val="1"/>
    </w:lvl>
    <w:lvl w:ilvl="1">
      <w:lvlJc w:val="left"/>
      <w:lvlText w:val="(%2)"/>
      <w:numFmt w:val="lowerLetter"/>
      <w:start w:val="1"/>
    </w:lvl>
  </w:abstractNum>
  <w:abstractNum w:abstractNumId="118">
    <w:nsid w:val="2708C9AF"/>
    <w:multiLevelType w:val="hybridMultilevel"/>
    <w:lvl w:ilvl="0">
      <w:lvlJc w:val="left"/>
      <w:lvlText w:val="%1."/>
      <w:numFmt w:val="decimal"/>
      <w:start w:val="3"/>
    </w:lvl>
  </w:abstractNum>
  <w:abstractNum w:abstractNumId="119">
    <w:nsid w:val="5B25ACE2"/>
    <w:multiLevelType w:val="hybridMultilevel"/>
    <w:lvl w:ilvl="0">
      <w:lvlJc w:val="left"/>
      <w:lvlText w:val="(%1)"/>
      <w:numFmt w:val="lowerRoman"/>
      <w:start w:val="2"/>
    </w:lvl>
  </w:abstractNum>
  <w:abstractNum w:abstractNumId="120">
    <w:nsid w:val="175DFCF0"/>
    <w:multiLevelType w:val="hybridMultilevel"/>
    <w:lvl w:ilvl="0">
      <w:lvlJc w:val="left"/>
      <w:lvlText w:val="%1."/>
      <w:numFmt w:val="decimal"/>
      <w:start w:val="4"/>
    </w:lvl>
  </w:abstractNum>
  <w:abstractNum w:abstractNumId="121">
    <w:nsid w:val="4F97E3E4"/>
    <w:multiLevelType w:val="hybridMultilevel"/>
    <w:lvl w:ilvl="0">
      <w:lvlJc w:val="left"/>
      <w:lvlText w:val="%1."/>
      <w:numFmt w:val="decimal"/>
      <w:start w:val="6"/>
    </w:lvl>
  </w:abstractNum>
  <w:abstractNum w:abstractNumId="122">
    <w:nsid w:val="53B0A9E"/>
    <w:multiLevelType w:val="hybridMultilevel"/>
    <w:lvl w:ilvl="0">
      <w:lvlJc w:val="left"/>
      <w:lvlText w:val="%1."/>
      <w:numFmt w:val="decimal"/>
      <w:start w:val="12"/>
    </w:lvl>
  </w:abstractNum>
  <w:abstractNum w:abstractNumId="123">
    <w:nsid w:val="34FD6B4F"/>
    <w:multiLevelType w:val="hybridMultilevel"/>
    <w:lvl w:ilvl="0">
      <w:lvlJc w:val="left"/>
      <w:lvlText w:val="%1."/>
      <w:numFmt w:val="decimal"/>
      <w:start w:val="1"/>
    </w:lvl>
    <w:lvl w:ilvl="1">
      <w:lvlJc w:val="left"/>
      <w:lvlText w:val="(%2)"/>
      <w:numFmt w:val="lowerLetter"/>
      <w:start w:val="1"/>
    </w:lvl>
  </w:abstractNum>
  <w:abstractNum w:abstractNumId="124">
    <w:nsid w:val="5915FF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jpe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jpe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150" Type="http://schemas.openxmlformats.org/officeDocument/2006/relationships/hyperlink" Target="http://www.sec.gov/Archives/edgar/data/0001404655/000156459016013204/hubs-ex31_768.htm" TargetMode="External"/><Relationship Id="rId151" Type="http://schemas.openxmlformats.org/officeDocument/2006/relationships/hyperlink" Target="http://www.sec.gov/Archives/edgar/data/1404655/000119312520250192/d32232dex31.htm" TargetMode="External"/><Relationship Id="rId152" Type="http://schemas.openxmlformats.org/officeDocument/2006/relationships/hyperlink" Target="http://www.sec.gov/Archives/edgar/data/1404655/000119312514353746/d697256dex41.htm" TargetMode="External"/><Relationship Id="rId153" Type="http://schemas.openxmlformats.org/officeDocument/2006/relationships/hyperlink" Target="http://www.sec.gov/Archives/edgar/data/1404655/000119312514320044/d697256dex42.htm" TargetMode="External"/><Relationship Id="rId154" Type="http://schemas.openxmlformats.org/officeDocument/2006/relationships/hyperlink" Target="http://www.sec.gov/Archives/edgar/data/1404655/000119312517165870/d383013dex41.htm" TargetMode="External"/><Relationship Id="rId155" Type="http://schemas.openxmlformats.org/officeDocument/2006/relationships/hyperlink" Target="http://www.sec.gov/Archives/edgar/data/1404655/000119312520162234/d933656dex41.htm" TargetMode="External"/><Relationship Id="rId156" Type="http://schemas.openxmlformats.org/officeDocument/2006/relationships/hyperlink" Target="http://www.sec.gov/Archives/edgar/data/1404655/000156459020004381/hubs-ex45_1719.htm" TargetMode="External"/><Relationship Id="rId157" Type="http://schemas.openxmlformats.org/officeDocument/2006/relationships/hyperlink" Target="http://www.sec.gov/Archives/edgar/data/1404655/000156459019002699/hubs-ex101_341.htm" TargetMode="External"/><Relationship Id="rId158" Type="http://schemas.openxmlformats.org/officeDocument/2006/relationships/hyperlink" Target="http://www.sec.gov/Archives/edgar/data/1404655/000156459016017682/hubs-ex101_11.htm" TargetMode="External"/><Relationship Id="rId159" Type="http://schemas.openxmlformats.org/officeDocument/2006/relationships/hyperlink" Target="http://www.sec.gov/Archives/edgar/data/1404655/000156459020004381/hubs-ex103_2330.htm" TargetMode="External"/><Relationship Id="rId160" Type="http://schemas.openxmlformats.org/officeDocument/2006/relationships/hyperlink" Target="http://www.sec.gov/Archives/edgar/data/1404655/000156459020004381/hubs-ex104_1395.htm" TargetMode="External"/><Relationship Id="rId161" Type="http://schemas.openxmlformats.org/officeDocument/2006/relationships/hyperlink" Target="http://www.sec.gov/Archives/edgar/data/1404655/000156459020004381/hubs-ex105_11.htm" TargetMode="External"/><Relationship Id="rId162" Type="http://schemas.openxmlformats.org/officeDocument/2006/relationships/hyperlink" Target="http://www.sec.gov/Archives/edgar/data/1404655/000119312514320044/d697256dex104.htm" TargetMode="External"/><Relationship Id="rId163" Type="http://schemas.openxmlformats.org/officeDocument/2006/relationships/hyperlink" Target="http://www.sec.gov/Archives/edgar/data/1404655/000119312514320044/d697256dex105.htm" TargetMode="External"/><Relationship Id="rId164" Type="http://schemas.openxmlformats.org/officeDocument/2006/relationships/hyperlink" Target="http://www.sec.gov/Archives/edgar/data/1404655/000119312514363926/d697256dex108.htm" TargetMode="External"/><Relationship Id="rId165" Type="http://schemas.openxmlformats.org/officeDocument/2006/relationships/hyperlink" Target="http://www.sec.gov/Archives/edgar/data/1404655/000119312514353746/d697256dex1010.htm" TargetMode="External"/><Relationship Id="rId166" Type="http://schemas.openxmlformats.org/officeDocument/2006/relationships/hyperlink" Target="http://www.sec.gov/Archives/edgar/data/1404655/000119312517165870/d383013dex101.htm" TargetMode="External"/><Relationship Id="rId167" Type="http://schemas.openxmlformats.org/officeDocument/2006/relationships/hyperlink" Target="http://www.sec.gov/Archives/edgar/data/1404655/000119312517165870/d383013dex102.htm" TargetMode="External"/><Relationship Id="rId168" Type="http://schemas.openxmlformats.org/officeDocument/2006/relationships/hyperlink" Target="http://www.sec.gov/Archives/edgar/data/1404655/000156459020004381/hubs-ex1013_9.htm" TargetMode="External"/><Relationship Id="rId169" Type="http://schemas.openxmlformats.org/officeDocument/2006/relationships/hyperlink" Target="http://www.sec.gov/Archives/edgar/data/1404655/000119312520162234/d933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2021-02-16T16:37:34Z</dcterms:created>
  <dcterms:modified xsi:type="dcterms:W3CDTF">2021-02-16T16:37:34Z</dcterms:modified>
</cp:coreProperties>
</file>