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ubs-20260803.htm"/>
      <w:bookmarkStart w:id="1" w:name="kshubs20260803"/>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Date of Report (Date of earliest event reported): August 3, 2026</w:t>
      </w:r>
    </w:p>
    <w:p>
      <w:pPr>
        <w:pStyle w:val="TextBody"/>
        <w:bidi w:val="0"/>
        <w:spacing w:before="240" w:after="283"/>
        <w:jc w:val="center"/>
        <w:rPr>
          <w:rFonts w:ascii="Times New Roman" w:hAnsi="Times New Roman"/>
          <w:b/>
          <w:color w:val="000000"/>
          <w:sz w:val="48"/>
        </w:rPr>
      </w:pPr>
      <w:r>
        <w:rPr>
          <w:rFonts w:ascii="Times New Roman" w:hAnsi="Times New Roman"/>
          <w:b/>
          <w:color w:val="000000"/>
          <w:sz w:val="48"/>
        </w:rPr>
        <w:t>HUBSPOT,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6543" w:type="dxa"/>
        <w:jc w:val="left"/>
        <w:tblInd w:w="0" w:type="dxa"/>
        <w:tblLayout w:type="fixed"/>
        <w:tblCellMar>
          <w:top w:w="28" w:type="dxa"/>
          <w:left w:w="28" w:type="dxa"/>
          <w:bottom w:w="28" w:type="dxa"/>
          <w:right w:w="28" w:type="dxa"/>
        </w:tblCellMar>
      </w:tblPr>
      <w:tblGrid>
        <w:gridCol w:w="3016"/>
        <w:gridCol w:w="2041"/>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001-36680</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20-2632791</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Two Canal Park,</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Cambridge, Massachusetts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02141</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Registrant’s Telephone Number, Including Area Code: (888)</w:t>
      </w:r>
      <w:r>
        <w:rPr>
          <w:rFonts w:ascii="Times New Roman" w:hAnsi="Times New Roman"/>
          <w:color w:val="000000"/>
          <w:sz w:val="20"/>
        </w:rPr>
        <w:t xml:space="preserve"> </w:t>
      </w:r>
      <w:r>
        <w:rPr>
          <w:rFonts w:ascii="Times New Roman" w:hAnsi="Times New Roman"/>
          <w:b/>
          <w:color w:val="000000"/>
          <w:sz w:val="20"/>
        </w:rPr>
        <w:t>482-7768</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065" w:type="dxa"/>
        <w:jc w:val="left"/>
        <w:tblInd w:w="0" w:type="dxa"/>
        <w:tblLayout w:type="fixed"/>
        <w:tblCellMar>
          <w:top w:w="28" w:type="dxa"/>
          <w:left w:w="28" w:type="dxa"/>
          <w:bottom w:w="28" w:type="dxa"/>
          <w:right w:w="28" w:type="dxa"/>
        </w:tblCellMar>
      </w:tblPr>
      <w:tblGrid>
        <w:gridCol w:w="3631"/>
        <w:gridCol w:w="146"/>
        <w:gridCol w:w="826"/>
        <w:gridCol w:w="146"/>
        <w:gridCol w:w="3316"/>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HUBS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5, 2026, HubSpot, Inc. (the “Company”) issued a press release announcing its financial results and other information for the quarter ended June 30, 2026. The full text of the press release is furnished as Exhibit 99.1 hereto and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under this Item 2.02,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filing.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Election of Director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3, 2026, the Company’s Board of Directors (the “Board”) unanimously approved an increase in the size of the Board to eleven (11) directors and the appointment of Gerald (“Jerry”) Dischler as a Class I director of the Company to fill the vacancy created by the increase in the size of the Board. The effective date of Mr. Dischler’s appointment was August 5, 2026. The term of the Company’s Class I directors, including Mr. Dischler, expires on the date of the Company’s 2027 annual meeting of stockholders, or upon the election and qualification of a successor director or until the earlier resignation, death or removal of a director in such class. Mr. Dischler will not initially join any committees of the Board.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Mr. Dischler’s compensation will be consistent with that provided to all of the Company’s non-employee directors pursuant to the Company’s Amended and Restated Non-Employee Director Compensation Policy, which was filed as Exhibit 10.2 to the Company’s Form 10-Q for the quarter ended June 30, 2025. In addition, the Company will enter into an indemnification agreement with Mr. Dischler in connection with his appointment to the Board, which is in substantially the same form as that entered into with the other directors of the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There is no arrangement or understanding pursuant to which Mr. Dischler was appointed to the Board. There are no family relationships between Mr. Dischler and any director or executive officer of the Company, and Mr. Dischler has no direct or indirect material interest in any transaction required to be disclosed pursuant to Item 404(a) of Regulation S-K.</w:t>
      </w:r>
      <w:r>
        <w:rPr>
          <w:rFonts w:ascii="Times New Roman" w:hAnsi="Times New Roman"/>
          <w:b/>
          <w:color w:val="000000"/>
          <w:sz w:val="20"/>
        </w:rPr>
        <w:br/>
      </w:r>
      <w:r>
        <w:rPr>
          <w:rFonts w:ascii="Times New Roman" w:hAnsi="Times New Roman"/>
          <w:color w:val="000000"/>
          <w:sz w:val="20"/>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5, 2026, the Company issued a press release announcing Mr. Dischler’s appointment to the Board as described in Item 5.02(d) of this Current Report on Form 8-K. The full text of the press release is attached hereto as Exhibit 99.2 and is incorporated herein by reference.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Item 7.01, including Exhibit 99.2 attached hereto, is intended to be furnished and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filing.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3, 2026, the Company’s Board authorized a share repurchase program for the repurchase of shares of the Company’s common stock in an aggregate amount of up to $1.0 billion (the “August 2026 Share Repurchase Program”) over a period of up to 24 months. All repurchases under the August 2026 Share Repurchase Program will be made in the open market, through privately negotiated transactions or other legally permissible means, including pursuant to 10b5-1 plans, and in compliance with applicable securities laws and other requirements. The August 2026 Share Repurchase Program will be funded using the Company's working capital. The timing, manner, price, and amount of the August 2026 Share Repurchase Program will be subject to the discretion of the Company’s management. The August 2026 Share Repurchase Program does not obligate the Company to acquire a specified number of shares, and may be suspended, modified, or terminated at any time, without prior notice. </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Item 9.01 Financial Statements and Exhibits.</w:t>
      </w:r>
    </w:p>
    <w:p>
      <w:pPr>
        <w:pStyle w:val="TextBody"/>
        <w:bidi w:val="0"/>
        <w:jc w:val="left"/>
        <w:rPr/>
      </w:pPr>
      <w:r>
        <w:rPr/>
        <w:t> </w:t>
      </w:r>
    </w:p>
    <w:tbl>
      <w:tblPr>
        <w:tblW w:w="1232" w:type="dxa"/>
        <w:jc w:val="left"/>
        <w:tblInd w:w="0" w:type="dxa"/>
        <w:tblLayout w:type="fixed"/>
        <w:tblCellMar>
          <w:top w:w="28" w:type="dxa"/>
          <w:left w:w="28" w:type="dxa"/>
          <w:bottom w:w="28" w:type="dxa"/>
          <w:right w:w="28" w:type="dxa"/>
        </w:tblCellMar>
      </w:tblPr>
      <w:tblGrid>
        <w:gridCol w:w="346"/>
        <w:gridCol w:w="886"/>
      </w:tblGrid>
      <w:tr>
        <w:trPr/>
        <w:tc>
          <w:tcPr>
            <w:tcW w:w="3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Exhibits </w:t>
            </w:r>
          </w:p>
        </w:tc>
      </w:tr>
    </w:tbl>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6"/>
        <w:gridCol w:w="146"/>
        <w:gridCol w:w="9413"/>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3"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hyperlink w:anchor="hubs-ex99_1.htm">
              <w:r>
                <w:rPr>
                  <w:rStyle w:val="InternetLink"/>
                  <w:rFonts w:ascii="Times New Roman" w:hAnsi="Times New Roman"/>
                  <w:color w:val="0000FF"/>
                  <w:sz w:val="20"/>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Press Release of HubSpot, Inc. announcing financial results for the quarter ended June 30, 2026, dated August 5, 2026, furnished herewith</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hyperlink w:anchor="hubs-ex99_2.htm">
              <w:r>
                <w:rPr>
                  <w:rStyle w:val="InternetLink"/>
                  <w:rFonts w:ascii="Times New Roman" w:hAnsi="Times New Roman"/>
                  <w:color w:val="0000FF"/>
                  <w:sz w:val="20"/>
                  <w:u w:val="single"/>
                </w:rPr>
                <w:t>99.2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Press Release of HubSpot, Inc. announcing the appointment of director, dated August 5, 2026, furnished herewith</w:t>
            </w:r>
          </w:p>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387" w:type="dxa"/>
        <w:jc w:val="left"/>
        <w:tblInd w:w="0" w:type="dxa"/>
        <w:tblLayout w:type="fixed"/>
        <w:tblCellMar>
          <w:top w:w="28" w:type="dxa"/>
          <w:left w:w="28" w:type="dxa"/>
          <w:bottom w:w="28" w:type="dxa"/>
          <w:right w:w="28" w:type="dxa"/>
        </w:tblCellMar>
      </w:tblPr>
      <w:tblGrid>
        <w:gridCol w:w="1366"/>
        <w:gridCol w:w="109"/>
        <w:gridCol w:w="406"/>
        <w:gridCol w:w="2506"/>
      </w:tblGrid>
      <w:tr>
        <w:trPr/>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HubSpot, Inc.</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Kate Bueker</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Kate Bueker</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hubs-ex99_1.htm"/>
      <w:bookmarkStart w:id="3" w:name="kshubsex99_1"/>
      <w:bookmarkEnd w:id="2"/>
      <w:bookmarkEnd w:id="3"/>
      <w:r>
        <w:rPr>
          <w:rFonts w:ascii="Times New Roman" w:hAnsi="Times New Roman"/>
          <w:b/>
          <w:color w:val="000000"/>
          <w:sz w:val="22"/>
        </w:rPr>
        <w:t>Exhibit 99.1</w:t>
      </w:r>
      <w:r>
        <w:br w:type="page"/>
      </w:r>
    </w:p>
    <w:p>
      <w:pPr>
        <w:pStyle w:val="TextBody"/>
        <w:bidi w:val="0"/>
        <w:jc w:val="left"/>
        <w:rPr/>
      </w:pPr>
      <w:r>
        <w:rPr/>
        <w:drawing>
          <wp:inline distT="0" distB="0" distL="0" distR="0">
            <wp:extent cx="183832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38325" cy="533400"/>
                    </a:xfrm>
                    <a:prstGeom prst="rect">
                      <a:avLst/>
                    </a:prstGeom>
                  </pic:spPr>
                </pic:pic>
              </a:graphicData>
            </a:graphic>
          </wp:inline>
        </w:drawing>
      </w:r>
      <w:r>
        <w:rPr>
          <w:color w:val="000000"/>
        </w:rPr>
        <w:t xml:space="preserve">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HubSpot Reports Q2 2026 Results</w:t>
      </w:r>
    </w:p>
    <w:p>
      <w:pPr>
        <w:pStyle w:val="TextBody"/>
        <w:bidi w:val="0"/>
        <w:jc w:val="lef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Q2'26 revenue grew 20% on an as-reported basis and 17% in constant currency compared to Q2'25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 xml:space="preserve">CAMBRIDGE, MA (August 5, 2026) — </w:t>
      </w:r>
      <w:r>
        <w:rPr>
          <w:rFonts w:ascii="Times New Roman" w:hAnsi="Times New Roman"/>
          <w:color w:val="000000"/>
          <w:sz w:val="22"/>
        </w:rPr>
        <w:t>HubSpot, Inc. (NYSE: HUBS), the agentic customer platform for scaling businesses, announced today its financial results for the second quarter ended June 30, 2026.</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br/>
      </w:r>
      <w:r>
        <w:rPr>
          <w:rFonts w:ascii="Times New Roman" w:hAnsi="Times New Roman"/>
          <w:b/>
          <w:color w:val="000000"/>
          <w:sz w:val="22"/>
        </w:rPr>
        <w:t>Financial Highlights*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Revenue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Total revenue was $911.7 million, up 20% on an as-reported basis and 17% in constant currency.</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Subscription revenue was $894.0 million, up 20% on an as-reported basis.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rFonts w:ascii="Times New Roman" w:hAnsi="Times New Roman"/>
          <w:color w:val="000000"/>
          <w:sz w:val="22"/>
        </w:rPr>
      </w:pPr>
      <w:r>
        <w:rPr>
          <w:rFonts w:ascii="Times New Roman" w:hAnsi="Times New Roman"/>
          <w:color w:val="000000"/>
          <w:sz w:val="22"/>
        </w:rPr>
        <w:t>Professional services and other revenue was $17.7 million, up 8% on an as-reported basis.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Operating Income (Loss)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GAAP operating income was $43.3 million, compared to a GAAP operating loss of ($24.6) million.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Non-GAAP operating income was $185.3 million, up 44%.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GAAP operating margin was 4.8%, compared to (3.2%).</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Non-GAAP operating margin was 20.3%, compared to 17.0%.</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Net Income (Loss)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GAAP net income was $43.3 million, or $0.86 per basic and diluted share, compared to a GAAP net loss of ($3.3) million, or ($0.06) per basic and diluted share.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Non-GAAP net income was $164.8 million up 40% compared to $117.3 million, or $3.26 per basic and diluted share, compared to $2.23 per basic and $2.19 per diluted share, up 46% and 49%, respectively.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Weighted average basic and diluted shares outstanding used for GAAP net income per share were 50.6 million, compared to 52.7 million.</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Weighted average basic and diluted shares outstanding used for non-GAAP net income per share were 50.6 million, compared to 52.7 million and 53.5 million, respectively.</w:t>
      </w:r>
    </w:p>
    <w:p>
      <w:pPr>
        <w:pStyle w:val="TextBody"/>
        <w:bidi w:val="0"/>
        <w:jc w:val="both"/>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Balance Sheet and Cash Flow</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The company’s cash and cash equivalents, short-term, and long-term investments balance was $1.4 billion as of June 30, 2026.</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During the second quarter, the company repurchased $531.9 million of its common stock.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During the second quarter, the company generated $222.8 million in operating cash flow, compared with $164.4 million.</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During the second quarter, the company generated $227.5 million of cash from non-GAAP operating cash flow and $167.9 million of non-GAAP free cash flow, compared to $167.7 million of cash from non-GAAP operating cash flow and $116.2 million of non-GAAP free cash flow.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Additional Recent Business Highlights*</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Grew Customers to 306,446 as of June 30, 2026, up 14%.</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Average Subscription Revenue Per Customer was $11,800 during the second quarter of 2026, up 4% on an as-reported basis.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Calculated billings were $929.7 million in the second quarter of 2026, up 14% on an as-reported basis and 17% in constant currency.</w:t>
      </w:r>
    </w:p>
    <w:p>
      <w:pPr>
        <w:pStyle w:val="TextBody"/>
        <w:bidi w:val="0"/>
        <w:jc w:val="left"/>
        <w:rPr/>
      </w:pPr>
      <w:r>
        <w:rPr/>
        <w:t> </w:t>
      </w:r>
    </w:p>
    <w:p>
      <w:pPr>
        <w:pStyle w:val="TextBody"/>
        <w:bidi w:val="0"/>
        <w:jc w:val="right"/>
        <w:rPr>
          <w:rFonts w:ascii="Times New Roman" w:hAnsi="Times New Roman"/>
          <w:color w:val="000000"/>
          <w:sz w:val="18"/>
        </w:rPr>
      </w:pPr>
      <w:r>
        <w:rPr>
          <w:rFonts w:ascii="Times New Roman" w:hAnsi="Times New Roman"/>
          <w:color w:val="000000"/>
          <w:sz w:val="18"/>
        </w:rPr>
        <w:t>Page | 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In Q2, we made deliberate choices to accelerate our AI transformation,” said Yamini Rangan, Chief Executive Officer at HubSpot. “Scaling companies want real outcomes and predictable pricing when adopting AI, and we are evolving our product, pricing, and go-to-market to meet those needs. Our agents are delivering measurable outcomes for go-to-market teams, while our pricing updates make it easier for customers to get started, realize value quickly, and scale. The AI shift unlocks a much larger opportunity for HubSpot, and I'm confident these choices position us to drive long-term, compounding growth.”</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2"/>
        </w:rPr>
        <w:t>*</w:t>
      </w:r>
      <w:r>
        <w:rPr>
          <w:rFonts w:ascii="Times New Roman" w:hAnsi="Times New Roman"/>
          <w:color w:val="000000"/>
          <w:sz w:val="22"/>
        </w:rPr>
        <w:t>All comparisons are to the comparable prior-year period, unless otherwise noted.</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Share Repurchase Program</w:t>
      </w:r>
    </w:p>
    <w:p>
      <w:pPr>
        <w:pStyle w:val="TextBody"/>
        <w:bidi w:val="0"/>
        <w:jc w:val="left"/>
        <w:rPr>
          <w:rFonts w:ascii="Times New Roman" w:hAnsi="Times New Roman"/>
          <w:color w:val="000000"/>
          <w:sz w:val="22"/>
        </w:rPr>
      </w:pPr>
      <w:r>
        <w:rPr>
          <w:rFonts w:ascii="Times New Roman" w:hAnsi="Times New Roman"/>
          <w:color w:val="000000"/>
          <w:sz w:val="22"/>
        </w:rPr>
        <w:t>On August 3, 2026, the company’s Board of Directors authorized an additional share repurchase program for the repurchase of shares of the company’s common stock, in an aggregate amount of up to $1.0 billion (the “August 2026 Share Repurchase Program”) over a period of up to 24 months. Repurchases under this program will be made in the open market, through privately negotiated transactions or other means, including pursuant to 10b5-1 plans, and in compliance with applicable securities laws and other requirements. The timing, manner, price, and amount of the August 2026 Share Repurchase Program will be subject to the discretion of the company’s management. The August 2026 Share Repurchase Program does not obligate the company to acquire a specified number of shares, and may be suspended, modified, or terminated at any time, without prior notice.</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2"/>
        </w:rPr>
        <w:t>Business Outlook</w:t>
        <w:br/>
      </w:r>
      <w:r>
        <w:rPr>
          <w:rFonts w:ascii="Times New Roman" w:hAnsi="Times New Roman"/>
          <w:color w:val="000000"/>
          <w:sz w:val="22"/>
        </w:rPr>
        <w:t>Based on information available as of August 5, 2026, HubSpot is issuing guidance for the third quarter and full year of 2026 as indicated below.</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Third Quarter 2026:</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Total revenue is expected to be in the range of $924.0 million to $925.0 million, up 14% year over year on an as-reported basis and 15% in constant currency.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Non-GAAP operating income is expected to be in the range of $187.0 million to $188.0 million, representing a 20% operating income margin.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Non-GAAP net income per common share is expected to be in the range of $3.25 to $3.27. This assumes approximately 49.3 million weighted average diluted shares outstanding.</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Full Year 2026:</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Total revenue is expected to be in the range of $3.678 billion to $3.686 billion, up 18% year over year on an as-reported basis and 16% in constant currency.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Non-GAAP operating income is expected to be in the range of $762.0 million to $766.0 million, representing a 21% operating income margin.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Non-GAAP net income per common share is expected to be in the range of $13.23 to $13.31. This assumes approximately 50.0 million weighted average diluted shares outstanding.</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For Use of Non-GAAP Financial Measures</w:t>
      </w:r>
    </w:p>
    <w:p>
      <w:pPr>
        <w:pStyle w:val="TextBody"/>
        <w:bidi w:val="0"/>
        <w:jc w:val="left"/>
        <w:rPr>
          <w:rFonts w:ascii="Times New Roman" w:hAnsi="Times New Roman"/>
          <w:sz w:val="20"/>
        </w:rPr>
      </w:pPr>
      <w:r>
        <w:rPr>
          <w:rFonts w:ascii="Times New Roman" w:hAnsi="Times New Roman"/>
          <w:color w:val="000000"/>
          <w:sz w:val="22"/>
        </w:rPr>
        <w:t xml:space="preserve">In our earnings press releases, conference calls, slide presentations, and webcasts, we may use or discuss non-GAAP financial measures, as defined by Regulation G. The GAAP financial measure most directly comparable to each non-GAAP financial measure used or discussed, and a reconciliation of the differences between each non-GAAP financial measure and the comparable GAAP financial measure, are included in this press release after the consolidated financial statements. Our earnings press releases containing such non-GAAP reconciliations can be found in the Investors section of our website </w:t>
      </w:r>
      <w:r>
        <w:rPr>
          <w:rFonts w:ascii="Times New Roman" w:hAnsi="Times New Roman"/>
          <w:sz w:val="22"/>
        </w:rPr>
        <w:t>ir.hubspot.com</w:t>
      </w:r>
      <w:r>
        <w:rPr>
          <w:rFonts w:ascii="Times New Roman" w:hAnsi="Times New Roman"/>
          <w:color w:val="1155CC"/>
          <w:sz w:val="22"/>
          <w:u w:val="single"/>
        </w:rPr>
        <w: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br/>
      </w:r>
      <w:r>
        <w:rPr>
          <w:rFonts w:ascii="Times New Roman" w:hAnsi="Times New Roman"/>
          <w:color w:val="000000"/>
          <w:sz w:val="20"/>
        </w:rPr>
        <w:t> </w:t>
      </w:r>
    </w:p>
    <w:p>
      <w:pPr>
        <w:pStyle w:val="TextBody"/>
        <w:bidi w:val="0"/>
        <w:jc w:val="left"/>
        <w:rPr>
          <w:rFonts w:ascii="Times New Roman" w:hAnsi="Times New Roman"/>
          <w:b/>
          <w:color w:val="000000"/>
          <w:sz w:val="22"/>
        </w:rPr>
      </w:pPr>
      <w:r>
        <w:rPr>
          <w:rFonts w:ascii="Times New Roman" w:hAnsi="Times New Roman"/>
          <w:b/>
          <w:color w:val="000000"/>
          <w:sz w:val="22"/>
        </w:rPr>
        <w:t>Conference Call Information</w:t>
      </w:r>
    </w:p>
    <w:p>
      <w:pPr>
        <w:pStyle w:val="TextBody"/>
        <w:bidi w:val="0"/>
        <w:jc w:val="right"/>
        <w:rPr>
          <w:rFonts w:ascii="Times New Roman" w:hAnsi="Times New Roman"/>
          <w:color w:val="000000"/>
          <w:sz w:val="18"/>
        </w:rPr>
      </w:pPr>
      <w:r>
        <w:rPr>
          <w:rFonts w:ascii="Times New Roman" w:hAnsi="Times New Roman"/>
          <w:color w:val="000000"/>
          <w:sz w:val="18"/>
        </w:rPr>
        <w:t>Page | 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HubSpot will host a conference call on Wednesday, August 5, 2026 at 4:30 p.m. Eastern Time (ET) to discuss the company’s second quarter 2026 financial results and its business outlook. To register for this conference call, please use </w:t>
      </w:r>
      <w:r>
        <w:rPr>
          <w:rFonts w:ascii="Times New Roman" w:hAnsi="Times New Roman"/>
          <w:sz w:val="22"/>
        </w:rPr>
        <w:t>this registration link</w:t>
      </w:r>
      <w:r>
        <w:rPr>
          <w:rFonts w:ascii="Times New Roman" w:hAnsi="Times New Roman"/>
          <w:color w:val="000000"/>
          <w:sz w:val="20"/>
        </w:rPr>
        <w:t xml:space="preserve"> </w:t>
      </w:r>
      <w:r>
        <w:rPr>
          <w:rFonts w:ascii="Times New Roman" w:hAnsi="Times New Roman"/>
          <w:color w:val="000000"/>
          <w:sz w:val="22"/>
        </w:rPr>
        <w:t xml:space="preserve">or visit HubSpot's Investor Relations website at </w:t>
      </w:r>
      <w:r>
        <w:rPr>
          <w:rFonts w:ascii="Times New Roman" w:hAnsi="Times New Roman"/>
          <w:sz w:val="22"/>
        </w:rPr>
        <w:t>ir.hubspot.com</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An archived webcast of this conference call will also be available on HubSpot's Investor Relations website at </w:t>
      </w:r>
      <w:r>
        <w:rPr>
          <w:rFonts w:ascii="Times New Roman" w:hAnsi="Times New Roman"/>
          <w:sz w:val="22"/>
        </w:rPr>
        <w:t>ir.hubspot.com</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company has used, and intends to continue to use, the investor relations portion of its website and/or its social media channels, such as the company’s LinkedIn account (www.linkedin.com/company/hubspot), as a means of disclosing material non-public information and for complying with disclosure obligations under Regulation FD.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About HubSpot</w:t>
      </w:r>
      <w:r>
        <w:rPr>
          <w:rFonts w:ascii="Times New Roman" w:hAnsi="Times New Roman"/>
          <w:color w:val="000000"/>
          <w:sz w:val="22"/>
        </w:rPr>
        <w:br/>
        <w:t xml:space="preserve">HubSpot is the agentic customer platform that helps businesses connect and grow better. HubSpot delivers seamless connection for customer-facing teams with a unified platform that includes AI-powered engagement hubs, a Smart CRM, and a connected ecosystem with over 2,000 App Marketplace integrations, a community network, and educational content. Learn more at </w:t>
      </w:r>
      <w:r>
        <w:rPr>
          <w:rFonts w:ascii="Times New Roman" w:hAnsi="Times New Roman"/>
          <w:sz w:val="22"/>
        </w:rPr>
        <w:t>www.hubspot.com</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2"/>
        </w:rPr>
        <w:t>Cautionary Language Concerning Forward-Looking Statements</w:t>
      </w:r>
      <w:r>
        <w:rPr>
          <w:rFonts w:ascii="Times New Roman" w:hAnsi="Times New Roman"/>
          <w:color w:val="000000"/>
          <w:sz w:val="22"/>
        </w:rPr>
        <w:br/>
        <w:t>This press release includes certain “forward-looking statements” within the meaning of the Private Securities Litigation Reform Act of 1995, including statements regarding management’s expectations of future financial and operational performance, including our ability to manage expenses, the timing and level of our investments, and our ability to achieve and sustain profitability, expected growth, foreign currency movement, and business outlook, including our financial guidance for the third fiscal quarter of and full year 2026 and our long-term financial framework; statements regarding our share repurchase programs; statements regarding our positioning for future growth and market leadership; statements regarding the strength of our agentic customer platform; statements regarding the growth or maintenance of our upmarket business; statements regarding the economic environment; and statements regarding expected market trends, future priorities and related investments, and market opportunities, including the adoption, performance and impact of changes to our pricing, packaging and go-to-market strategies. These forward-looking statements include, but are not limited to, plans, objectives, expectations and intentions and other statements contained in this press release that are not historical facts and statements identified by words such as “expects,” “anticipates,” “intends,” “plans,” “believes,” “seeks,” “estimates” or words of similar meaning.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will be affected by a variety of risks and factors that are beyond our control including, without limitation, risks associated with our history of losses; our ability to retain existing customers and add new customers; the continued growth of the market for a customer platform; our ability to develop new products and technologies and differentiate our platform from competing products and technologies, including artificial intelligence and machine learning technologies; our ability to manage our growth effectively over the long-term to maintain our high level of service; changes in our investment priorities, the timing of hiring and other expenses, and our ability to manage costs and achieve efficiencies; our ability to maintain and expand relationships with our solutions partners; the price volatility of our common stock; the impact of geopolitical conflicts, inflation, foreign currency movement, and macroeconomic instability on our business, the broader economy, our workforce and operations, the markets in which we and our partners and customers operate, and our ability to forecast our future financial performance, including variability in the intra-quarter linearity of our business; regulatory and legislative developments on the use of artificial intelligence and machine learning; and other risks set forth under the caption “Risk Factors” in our U.S Securities and Exchange Commission filings. We assume no obligation to update any forward-looking statements contained in this document as a result of new information, future events or otherwise.</w:t>
      </w:r>
      <w:r>
        <w:rPr>
          <w:rFonts w:ascii="Times New Roman" w:hAnsi="Times New Roman"/>
          <w:color w:val="000000"/>
          <w:sz w:val="20"/>
        </w:rPr>
        <w:t xml:space="preserve"> </w:t>
      </w:r>
    </w:p>
    <w:p>
      <w:pPr>
        <w:pStyle w:val="TextBody"/>
        <w:bidi w:val="0"/>
        <w:jc w:val="right"/>
        <w:rPr>
          <w:rFonts w:ascii="Times New Roman" w:hAnsi="Times New Roman"/>
          <w:color w:val="000000"/>
          <w:sz w:val="18"/>
        </w:rPr>
      </w:pPr>
      <w:r>
        <w:rPr>
          <w:rFonts w:ascii="Times New Roman" w:hAnsi="Times New Roman"/>
          <w:color w:val="000000"/>
          <w:sz w:val="18"/>
        </w:rPr>
        <w:t>Page | 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Consolidated Balance Sheets</w:t>
      </w:r>
    </w:p>
    <w:p>
      <w:pPr>
        <w:pStyle w:val="TextBody"/>
        <w:bidi w:val="0"/>
        <w:jc w:val="both"/>
        <w:rPr>
          <w:rFonts w:ascii="Times New Roman" w:hAnsi="Times New Roman"/>
          <w:color w:val="000000"/>
          <w:sz w:val="18"/>
        </w:rPr>
      </w:pPr>
      <w:r>
        <w:rPr>
          <w:rFonts w:ascii="Times New Roman" w:hAnsi="Times New Roman"/>
          <w:color w:val="000000"/>
          <w:sz w:val="18"/>
        </w:rPr>
        <w:t>(in thousands)</w:t>
      </w:r>
    </w:p>
    <w:tbl>
      <w:tblPr>
        <w:tblW w:w="7484" w:type="dxa"/>
        <w:jc w:val="left"/>
        <w:tblInd w:w="0" w:type="dxa"/>
        <w:tblLayout w:type="fixed"/>
        <w:tblCellMar>
          <w:top w:w="28" w:type="dxa"/>
          <w:left w:w="28" w:type="dxa"/>
          <w:bottom w:w="28" w:type="dxa"/>
          <w:right w:w="28" w:type="dxa"/>
        </w:tblCellMar>
      </w:tblPr>
      <w:tblGrid>
        <w:gridCol w:w="4351"/>
        <w:gridCol w:w="146"/>
        <w:gridCol w:w="211"/>
        <w:gridCol w:w="931"/>
        <w:gridCol w:w="166"/>
        <w:gridCol w:w="146"/>
        <w:gridCol w:w="211"/>
        <w:gridCol w:w="931"/>
        <w:gridCol w:w="39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821,552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2,449,735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development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commission expense,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3,504,395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3,854,151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1,004,945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1,467,471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1,787,907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2,814,843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(753,898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2,066,244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3,504,395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3,854,151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right"/>
        <w:rPr>
          <w:rFonts w:ascii="Times New Roman" w:hAnsi="Times New Roman"/>
          <w:color w:val="000000"/>
          <w:sz w:val="18"/>
        </w:rPr>
      </w:pPr>
      <w:r>
        <w:rPr>
          <w:rFonts w:ascii="Times New Roman" w:hAnsi="Times New Roman"/>
          <w:color w:val="000000"/>
          <w:sz w:val="18"/>
        </w:rPr>
        <w:t>Page | 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Consolidated Statements of Operations</w:t>
      </w:r>
    </w:p>
    <w:p>
      <w:pPr>
        <w:pStyle w:val="TextBody"/>
        <w:bidi w:val="0"/>
        <w:jc w:val="both"/>
        <w:rPr>
          <w:rFonts w:ascii="Times New Roman" w:hAnsi="Times New Roman"/>
          <w:color w:val="000000"/>
          <w:sz w:val="18"/>
        </w:rPr>
      </w:pPr>
      <w:r>
        <w:rPr>
          <w:rFonts w:ascii="Times New Roman" w:hAnsi="Times New Roman"/>
          <w:color w:val="000000"/>
          <w:sz w:val="18"/>
        </w:rPr>
        <w:t>(in thousands, except per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390"/>
        <w:gridCol w:w="211"/>
        <w:gridCol w:w="781"/>
        <w:gridCol w:w="166"/>
        <w:gridCol w:w="146"/>
        <w:gridCol w:w="211"/>
        <w:gridCol w:w="781"/>
        <w:gridCol w:w="166"/>
        <w:gridCol w:w="146"/>
        <w:gridCol w:w="211"/>
        <w:gridCol w:w="931"/>
        <w:gridCol w:w="166"/>
        <w:gridCol w:w="146"/>
        <w:gridCol w:w="211"/>
        <w:gridCol w:w="931"/>
        <w:gridCol w:w="611"/>
      </w:tblGrid>
      <w:tr>
        <w:trPr/>
        <w:tc>
          <w:tcPr>
            <w:tcW w:w="4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1,443,260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760,866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1,792,735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1,475,003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237,268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1,237,735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457,438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666,578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1,289,831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(52,096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used in computing </w:t>
              <w:br/>
              <w:t>   basic net income (loss) per share: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used in computing </w:t>
              <w:br/>
              <w:t>   diluted net income (loss) per share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right"/>
        <w:rPr>
          <w:rFonts w:ascii="Times New Roman" w:hAnsi="Times New Roman"/>
          <w:color w:val="000000"/>
          <w:sz w:val="18"/>
        </w:rPr>
      </w:pPr>
      <w:r>
        <w:rPr>
          <w:rFonts w:ascii="Times New Roman" w:hAnsi="Times New Roman"/>
          <w:color w:val="000000"/>
          <w:sz w:val="18"/>
        </w:rPr>
        <w:t>Page | 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Consolidated Statements of Cash Flows</w:t>
      </w:r>
    </w:p>
    <w:p>
      <w:pPr>
        <w:pStyle w:val="TextBody"/>
        <w:bidi w:val="0"/>
        <w:jc w:val="both"/>
        <w:rPr>
          <w:rFonts w:ascii="Times New Roman" w:hAnsi="Times New Roman"/>
          <w:color w:val="000000"/>
          <w:sz w:val="18"/>
        </w:rPr>
      </w:pPr>
      <w:r>
        <w:rPr>
          <w:rFonts w:ascii="Times New Roman" w:hAnsi="Times New Roman"/>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1995"/>
        <w:gridCol w:w="196"/>
        <w:gridCol w:w="751"/>
        <w:gridCol w:w="566"/>
        <w:gridCol w:w="546"/>
        <w:gridCol w:w="196"/>
        <w:gridCol w:w="751"/>
        <w:gridCol w:w="566"/>
        <w:gridCol w:w="546"/>
        <w:gridCol w:w="196"/>
        <w:gridCol w:w="751"/>
        <w:gridCol w:w="566"/>
        <w:gridCol w:w="546"/>
        <w:gridCol w:w="196"/>
        <w:gridCol w:w="826"/>
        <w:gridCol w:w="1011"/>
      </w:tblGrid>
      <w:tr>
        <w:trPr/>
        <w:tc>
          <w:tcPr>
            <w:tcW w:w="19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(loss)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43,338</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(3,258</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75,892</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(25,051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(loss) income to net cash and cash equivalents provided</w:t>
              <w:br/>
              <w:t>   by operating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44,396</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33,194</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84,635</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62,024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128,482</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140,975</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244,227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257,668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strategic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(1,754</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Impairment of strategic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2,371</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3,014</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Benefit from deferred income taxes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(1,779</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(1,852</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debt discount and issuance costs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Accretion of bond discount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(3,532</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(10,595</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(24,443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Unrealized currency translation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(5,494</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2,590</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assets and liabilities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receivable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(24,504</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(15,625</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33,934</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Prepaid expenses and other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(23,688</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(57,849</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(50,080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Deferred commission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(15,983</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(22,431</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(38,075</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(49,590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Right-of-use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6,522</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13,924</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12,828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(27,775</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(8,913</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3,544</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Accrued expenses and other liabilities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57,373</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61,100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32,664</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59,876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Operating lease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(10,018</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(10,204</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(23,877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(17,656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Deferred revenue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21,075</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24,466</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59,456</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63,888</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and cash equivalents provided by operating activities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222,755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164,362</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421,580</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325,932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investments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(155,829</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(358,691</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(830,204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Maturities of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413,094</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502,450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900,784</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1,305,509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(19,652</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(16,025</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(35,074</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(29,370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strategic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(7,825</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(13,932</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(18,825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Capitalization of software development costs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(39,953</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(35,436</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(74,292</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(65,857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Business acquisitions, net of cash acquired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(19,108</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(18,477</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(27,449</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(69,833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and cash equivalents provided by investing activities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326,241</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268,602</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390,819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291,164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Employee taxes paid related to the net share settlement of stock-based awards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(2,219</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(4,742</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(5,413</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debt issuance costs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2025 Convertible Notes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(369,243</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(459,811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related to the issuance of common stock under stock plans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6,925</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19,356</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23,238</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38,664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Repurchases of common stock</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(536,199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(125,004</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(742,880</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and cash equivalents used in financing activities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(531,493</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(479,633</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(727,675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(559,963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(3,126</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21,486</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(8,652</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30,046</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in cash, cash equivalents and restricted cash</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14,377</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(25,183</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76,072</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87,179</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beginning of period</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946,640</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629,082</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884,945</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516,720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end of period</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961,017</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603,899</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961,017</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603,899</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color w:val="000000"/>
          <w:sz w:val="18"/>
        </w:rPr>
      </w:pPr>
      <w:r>
        <w:rPr>
          <w:rFonts w:ascii="Times New Roman" w:hAnsi="Times New Roman"/>
          <w:color w:val="000000"/>
          <w:sz w:val="18"/>
        </w:rPr>
        <w:t>Page | 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Reconciliation of non-GAAP operating income and operating margin</w:t>
      </w:r>
      <w:r>
        <w:rPr>
          <w:rFonts w:ascii="Times New Roman" w:hAnsi="Times New Roman"/>
          <w:color w:val="000000"/>
          <w:sz w:val="20"/>
        </w:rPr>
        <w:t xml:space="preserve"> </w:t>
      </w:r>
    </w:p>
    <w:p>
      <w:pPr>
        <w:pStyle w:val="TextBody"/>
        <w:bidi w:val="0"/>
        <w:jc w:val="left"/>
        <w:rPr>
          <w:rFonts w:ascii="Times New Roman" w:hAnsi="Times New Roman"/>
          <w:color w:val="000000"/>
          <w:sz w:val="18"/>
        </w:rPr>
      </w:pPr>
      <w:r>
        <w:rPr>
          <w:rFonts w:ascii="Times New Roman" w:hAnsi="Times New Roman"/>
          <w:color w:val="000000"/>
          <w:sz w:val="18"/>
        </w:rPr>
        <w:t>(in thousands, except percentages)</w:t>
      </w:r>
    </w:p>
    <w:p>
      <w:pPr>
        <w:pStyle w:val="TextBody"/>
        <w:bidi w:val="0"/>
        <w:jc w:val="left"/>
        <w:rPr/>
      </w:pPr>
      <w:r>
        <w:rPr/>
        <w:t> </w:t>
      </w:r>
    </w:p>
    <w:tbl>
      <w:tblPr>
        <w:tblW w:w="8928" w:type="dxa"/>
        <w:jc w:val="left"/>
        <w:tblInd w:w="0" w:type="dxa"/>
        <w:tblLayout w:type="fixed"/>
        <w:tblCellMar>
          <w:top w:w="28" w:type="dxa"/>
          <w:left w:w="28" w:type="dxa"/>
          <w:bottom w:w="28" w:type="dxa"/>
          <w:right w:w="28" w:type="dxa"/>
        </w:tblCellMar>
      </w:tblPr>
      <w:tblGrid>
        <w:gridCol w:w="3556"/>
        <w:gridCol w:w="212"/>
        <w:gridCol w:w="784"/>
        <w:gridCol w:w="272"/>
        <w:gridCol w:w="212"/>
        <w:gridCol w:w="784"/>
        <w:gridCol w:w="331"/>
        <w:gridCol w:w="146"/>
        <w:gridCol w:w="211"/>
        <w:gridCol w:w="781"/>
        <w:gridCol w:w="271"/>
        <w:gridCol w:w="211"/>
        <w:gridCol w:w="781"/>
        <w:gridCol w:w="376"/>
      </w:tblGrid>
      <w:tr>
        <w:trPr/>
        <w:tc>
          <w:tcPr>
            <w:tcW w:w="355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operating income (loss)</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43,319</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(52,096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128,482</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140,975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257,668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related expense</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9,358</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income</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185,342</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129,142</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342,105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229,428</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operating margin</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margin</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Reconciliation of non-GAAP net income</w:t>
      </w:r>
    </w:p>
    <w:p>
      <w:pPr>
        <w:pStyle w:val="TextBody"/>
        <w:bidi w:val="0"/>
        <w:jc w:val="left"/>
        <w:rPr>
          <w:rFonts w:ascii="Times New Roman" w:hAnsi="Times New Roman"/>
          <w:color w:val="000000"/>
          <w:sz w:val="18"/>
        </w:rPr>
      </w:pPr>
      <w:r>
        <w:rPr>
          <w:rFonts w:ascii="Times New Roman" w:hAnsi="Times New Roman"/>
          <w:color w:val="000000"/>
          <w:sz w:val="18"/>
        </w:rPr>
        <w:t>(in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42"/>
        <w:gridCol w:w="211"/>
        <w:gridCol w:w="781"/>
        <w:gridCol w:w="346"/>
        <w:gridCol w:w="211"/>
        <w:gridCol w:w="781"/>
        <w:gridCol w:w="366"/>
        <w:gridCol w:w="346"/>
        <w:gridCol w:w="211"/>
        <w:gridCol w:w="781"/>
        <w:gridCol w:w="346"/>
        <w:gridCol w:w="211"/>
        <w:gridCol w:w="781"/>
        <w:gridCol w:w="391"/>
      </w:tblGrid>
      <w:tr>
        <w:trPr/>
        <w:tc>
          <w:tcPr>
            <w:tcW w:w="4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75,892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128,482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140,975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244,227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related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intangibles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interest expense for amortization of debt issuance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(gain on) strategic investments,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effects of non-GAAP items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income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164,789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117,298</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307,826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Non-GAAP net income per share:</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used in non-GAAP per share calculations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52,696</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right"/>
        <w:rPr>
          <w:rFonts w:ascii="Times New Roman" w:hAnsi="Times New Roman"/>
          <w:color w:val="000000"/>
          <w:sz w:val="18"/>
        </w:rPr>
      </w:pPr>
      <w:r>
        <w:rPr>
          <w:rFonts w:ascii="Times New Roman" w:hAnsi="Times New Roman"/>
          <w:color w:val="000000"/>
          <w:sz w:val="18"/>
        </w:rPr>
        <w:t>Page | 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Reconciliation of non-GAAP expense and expense as a percentage of revenue</w:t>
      </w:r>
      <w:r>
        <w:rPr>
          <w:rFonts w:ascii="Times New Roman" w:hAnsi="Times New Roman"/>
          <w:color w:val="000000"/>
          <w:sz w:val="20"/>
        </w:rPr>
        <w:t xml:space="preserve"> </w:t>
      </w:r>
    </w:p>
    <w:p>
      <w:pPr>
        <w:pStyle w:val="TextBody"/>
        <w:bidi w:val="0"/>
        <w:jc w:val="left"/>
        <w:rPr>
          <w:rFonts w:ascii="Times New Roman" w:hAnsi="Times New Roman"/>
          <w:color w:val="000000"/>
          <w:sz w:val="18"/>
        </w:rPr>
      </w:pPr>
      <w:r>
        <w:rPr>
          <w:rFonts w:ascii="Times New Roman" w:hAnsi="Times New Roman"/>
          <w:color w:val="000000"/>
          <w:sz w:val="18"/>
        </w:rPr>
        <w:t>(in thousands, except percentages)</w:t>
      </w:r>
    </w:p>
    <w:p>
      <w:pPr>
        <w:pStyle w:val="TextBody"/>
        <w:bidi w:val="0"/>
        <w:jc w:val="left"/>
        <w:rPr/>
      </w:pPr>
      <w:r>
        <w:rPr/>
        <w:t> </w:t>
      </w:r>
    </w:p>
    <w:tbl>
      <w:tblPr>
        <w:tblW w:w="11012" w:type="dxa"/>
        <w:jc w:val="left"/>
        <w:tblInd w:w="0" w:type="dxa"/>
        <w:tblLayout w:type="fixed"/>
        <w:tblCellMar>
          <w:top w:w="28" w:type="dxa"/>
          <w:left w:w="28" w:type="dxa"/>
          <w:bottom w:w="28" w:type="dxa"/>
          <w:right w:w="28" w:type="dxa"/>
        </w:tblCellMar>
      </w:tblPr>
      <w:tblGrid>
        <w:gridCol w:w="1091"/>
        <w:gridCol w:w="181"/>
        <w:gridCol w:w="586"/>
        <w:gridCol w:w="211"/>
        <w:gridCol w:w="181"/>
        <w:gridCol w:w="511"/>
        <w:gridCol w:w="211"/>
        <w:gridCol w:w="181"/>
        <w:gridCol w:w="586"/>
        <w:gridCol w:w="211"/>
        <w:gridCol w:w="181"/>
        <w:gridCol w:w="586"/>
        <w:gridCol w:w="211"/>
        <w:gridCol w:w="181"/>
        <w:gridCol w:w="556"/>
        <w:gridCol w:w="211"/>
        <w:gridCol w:w="146"/>
        <w:gridCol w:w="181"/>
        <w:gridCol w:w="586"/>
        <w:gridCol w:w="211"/>
        <w:gridCol w:w="181"/>
        <w:gridCol w:w="511"/>
        <w:gridCol w:w="211"/>
        <w:gridCol w:w="181"/>
        <w:gridCol w:w="586"/>
        <w:gridCol w:w="211"/>
        <w:gridCol w:w="181"/>
        <w:gridCol w:w="586"/>
        <w:gridCol w:w="211"/>
        <w:gridCol w:w="181"/>
        <w:gridCol w:w="556"/>
        <w:gridCol w:w="416"/>
      </w:tblGrid>
      <w:tr>
        <w:trPr/>
        <w:tc>
          <w:tcPr>
            <w:tcW w:w="10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5"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June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 Subs-</w:t>
              <w:br/>
              <w:t>cription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 Prof. services &amp; 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R&amp;D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S&amp;M</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G&amp;A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 Subs-</w:t>
              <w:br/>
              <w:t>cription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 Prof. services &amp; 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R&amp;D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S&amp;M</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G&amp;A</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GAAP expense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145,957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225,823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397,707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82,936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106,670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237,340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339,879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84,995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 -based compensation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(60,681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(34,470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(70,807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(24,340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 xml:space="preserve">Amortization of acquired </w:t>
              <w:br/>
              <w:t>  intangible assets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 xml:space="preserve">Acquisition related </w:t>
              <w:br/>
              <w:t>   expense</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(952</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Non-GAAP expense</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131,821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14,076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160,454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359,110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60,937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96,222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14,240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158,931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302,733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59,598</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 xml:space="preserve">GAAP expense as a </w:t>
              <w:br/>
              <w:t>   percentage of revenue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 xml:space="preserve">Non-GAAP expense as a </w:t>
              <w:br/>
              <w:t>  percentage of revenue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left"/>
        <w:rPr/>
      </w:pPr>
      <w:r>
        <w:rPr/>
        <w:t> </w:t>
      </w:r>
    </w:p>
    <w:tbl>
      <w:tblPr>
        <w:tblW w:w="11162" w:type="dxa"/>
        <w:jc w:val="left"/>
        <w:tblInd w:w="0" w:type="dxa"/>
        <w:tblLayout w:type="fixed"/>
        <w:tblCellMar>
          <w:top w:w="28" w:type="dxa"/>
          <w:left w:w="28" w:type="dxa"/>
          <w:bottom w:w="28" w:type="dxa"/>
          <w:right w:w="28" w:type="dxa"/>
        </w:tblCellMar>
      </w:tblPr>
      <w:tblGrid>
        <w:gridCol w:w="1091"/>
        <w:gridCol w:w="181"/>
        <w:gridCol w:w="586"/>
        <w:gridCol w:w="211"/>
        <w:gridCol w:w="181"/>
        <w:gridCol w:w="511"/>
        <w:gridCol w:w="211"/>
        <w:gridCol w:w="181"/>
        <w:gridCol w:w="631"/>
        <w:gridCol w:w="211"/>
        <w:gridCol w:w="181"/>
        <w:gridCol w:w="586"/>
        <w:gridCol w:w="211"/>
        <w:gridCol w:w="181"/>
        <w:gridCol w:w="586"/>
        <w:gridCol w:w="211"/>
        <w:gridCol w:w="146"/>
        <w:gridCol w:w="181"/>
        <w:gridCol w:w="586"/>
        <w:gridCol w:w="211"/>
        <w:gridCol w:w="181"/>
        <w:gridCol w:w="511"/>
        <w:gridCol w:w="211"/>
        <w:gridCol w:w="181"/>
        <w:gridCol w:w="631"/>
        <w:gridCol w:w="211"/>
        <w:gridCol w:w="181"/>
        <w:gridCol w:w="586"/>
        <w:gridCol w:w="211"/>
        <w:gridCol w:w="181"/>
        <w:gridCol w:w="586"/>
        <w:gridCol w:w="416"/>
      </w:tblGrid>
      <w:tr>
        <w:trPr/>
        <w:tc>
          <w:tcPr>
            <w:tcW w:w="10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5"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 Subs-</w:t>
              <w:br/>
              <w:t>cription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 Prof. services &amp; 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R&amp;D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S&amp;M</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G&amp;A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 Subs-</w:t>
              <w:br/>
              <w:t>cription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 Prof. services &amp; 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R&amp;D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S&amp;M</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G&amp;A</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GAAP expense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274,681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31,891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460,017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784,138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168,576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206,900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457,438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666,578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163,629</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 -based compensation</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(114,490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(65,658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(40,564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(127,604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(68,192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(44,005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 xml:space="preserve">Amortization of acquired </w:t>
              <w:br/>
              <w:t>  intangible assets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 xml:space="preserve">Acquisition related </w:t>
              <w:br/>
              <w:t>   expense</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(1,026</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Non-GAAP expense</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247,741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30,156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335,193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712,714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124,826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186,577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27,988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315,346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597,276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118,388</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 xml:space="preserve">GAAP expense as a </w:t>
              <w:br/>
              <w:t>   percentage of revenue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 xml:space="preserve">Non-GAAP expense as a </w:t>
              <w:br/>
              <w:t>  percentage of revenue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color w:val="000000"/>
          <w:sz w:val="18"/>
        </w:rPr>
      </w:pPr>
      <w:r>
        <w:rPr>
          <w:rFonts w:ascii="Times New Roman" w:hAnsi="Times New Roman"/>
          <w:color w:val="000000"/>
          <w:sz w:val="18"/>
        </w:rPr>
        <w:t>Page | 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Reconciliation of non-GAAP subscription margin</w:t>
      </w:r>
    </w:p>
    <w:p>
      <w:pPr>
        <w:pStyle w:val="TextBody"/>
        <w:bidi w:val="0"/>
        <w:jc w:val="left"/>
        <w:rPr>
          <w:rFonts w:ascii="Times New Roman" w:hAnsi="Times New Roman"/>
          <w:color w:val="000000"/>
          <w:sz w:val="18"/>
        </w:rPr>
      </w:pPr>
      <w:r>
        <w:rPr>
          <w:rFonts w:ascii="Times New Roman" w:hAnsi="Times New Roman"/>
          <w:color w:val="000000"/>
          <w:sz w:val="18"/>
        </w:rPr>
        <w:t>(in thousands, except percentages)</w:t>
      </w:r>
    </w:p>
    <w:p>
      <w:pPr>
        <w:pStyle w:val="TextBody"/>
        <w:bidi w:val="0"/>
        <w:jc w:val="left"/>
        <w:rPr/>
      </w:pPr>
      <w:r>
        <w:rPr/>
        <w:t> </w:t>
      </w:r>
    </w:p>
    <w:tbl>
      <w:tblPr>
        <w:tblW w:w="9945" w:type="dxa"/>
        <w:jc w:val="left"/>
        <w:tblInd w:w="0" w:type="dxa"/>
        <w:tblLayout w:type="fixed"/>
        <w:tblCellMar>
          <w:top w:w="28" w:type="dxa"/>
          <w:left w:w="28" w:type="dxa"/>
          <w:bottom w:w="28" w:type="dxa"/>
          <w:right w:w="28" w:type="dxa"/>
        </w:tblCellMar>
      </w:tblPr>
      <w:tblGrid>
        <w:gridCol w:w="3631"/>
        <w:gridCol w:w="346"/>
        <w:gridCol w:w="211"/>
        <w:gridCol w:w="781"/>
        <w:gridCol w:w="346"/>
        <w:gridCol w:w="211"/>
        <w:gridCol w:w="781"/>
        <w:gridCol w:w="346"/>
        <w:gridCol w:w="346"/>
        <w:gridCol w:w="211"/>
        <w:gridCol w:w="931"/>
        <w:gridCol w:w="346"/>
        <w:gridCol w:w="211"/>
        <w:gridCol w:w="931"/>
        <w:gridCol w:w="316"/>
      </w:tblGrid>
      <w:tr>
        <w:trPr/>
        <w:tc>
          <w:tcPr>
            <w:tcW w:w="36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subscription margin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748,068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637,862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1,481,608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1,236,360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8,190</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subscription margin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762,204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648,310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1,508,548</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1,256,683</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subscription margin percentage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subscription margin percentage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Reconciliation of free cash flow</w:t>
      </w:r>
    </w:p>
    <w:p>
      <w:pPr>
        <w:pStyle w:val="TextBody"/>
        <w:bidi w:val="0"/>
        <w:jc w:val="left"/>
        <w:rPr>
          <w:rFonts w:ascii="Times New Roman" w:hAnsi="Times New Roman"/>
          <w:sz w:val="20"/>
        </w:rPr>
      </w:pPr>
      <w:r>
        <w:rPr>
          <w:rFonts w:ascii="Times New Roman" w:hAnsi="Times New Roman"/>
          <w:color w:val="000000"/>
          <w:sz w:val="18"/>
        </w:rPr>
        <w:t>(in thousands)</w:t>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4076"/>
        <w:gridCol w:w="346"/>
        <w:gridCol w:w="211"/>
        <w:gridCol w:w="781"/>
        <w:gridCol w:w="346"/>
        <w:gridCol w:w="211"/>
        <w:gridCol w:w="781"/>
        <w:gridCol w:w="366"/>
        <w:gridCol w:w="346"/>
        <w:gridCol w:w="211"/>
        <w:gridCol w:w="781"/>
        <w:gridCol w:w="346"/>
        <w:gridCol w:w="211"/>
        <w:gridCol w:w="781"/>
        <w:gridCol w:w="411"/>
      </w:tblGrid>
      <w:tr>
        <w:trPr/>
        <w:tc>
          <w:tcPr>
            <w:tcW w:w="40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cash and cash equivalents provided by 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222,755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164,362</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421,580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325,932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(16,025</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Capitalization of software development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(35,436</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restructuring charges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free cash flow</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167,878</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116,249</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321,607</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238,558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Supplemental disclosures: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Holdback payments to key employees related to acquisitions</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2"/>
        </w:rPr>
        <w:t>(1)</w:t>
      </w:r>
      <w:r>
        <w:rPr>
          <w:rFonts w:ascii="Times New Roman" w:hAnsi="Times New Roman"/>
          <w:color w:val="000000"/>
          <w:sz w:val="20"/>
        </w:rPr>
        <w:t xml:space="preserve"> </w:t>
      </w:r>
      <w:r>
        <w:rPr>
          <w:rFonts w:ascii="Times New Roman" w:hAnsi="Times New Roman"/>
          <w:color w:val="000000"/>
          <w:sz w:val="18"/>
        </w:rPr>
        <w:t>Includes payments related to employee holdbacks pertaining to our acquisitions. The related expenses are recognized within operating expenses over the required service periods.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Reconciliation of operating cash flow</w:t>
      </w:r>
    </w:p>
    <w:p>
      <w:pPr>
        <w:pStyle w:val="TextBody"/>
        <w:bidi w:val="0"/>
        <w:jc w:val="left"/>
        <w:rPr>
          <w:rFonts w:ascii="Times New Roman" w:hAnsi="Times New Roman"/>
          <w:sz w:val="20"/>
        </w:rPr>
      </w:pPr>
      <w:r>
        <w:rPr>
          <w:rFonts w:ascii="Times New Roman" w:hAnsi="Times New Roman"/>
          <w:color w:val="000000"/>
          <w:sz w:val="18"/>
        </w:rPr>
        <w:t>(in thousands)</w:t>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4116"/>
        <w:gridCol w:w="346"/>
        <w:gridCol w:w="211"/>
        <w:gridCol w:w="781"/>
        <w:gridCol w:w="346"/>
        <w:gridCol w:w="211"/>
        <w:gridCol w:w="781"/>
        <w:gridCol w:w="346"/>
        <w:gridCol w:w="346"/>
        <w:gridCol w:w="211"/>
        <w:gridCol w:w="781"/>
        <w:gridCol w:w="346"/>
        <w:gridCol w:w="211"/>
        <w:gridCol w:w="781"/>
        <w:gridCol w:w="391"/>
      </w:tblGrid>
      <w:tr>
        <w:trPr/>
        <w:tc>
          <w:tcPr>
            <w:tcW w:w="41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cash and cash equivalents provided by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222,755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164,362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421,580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restructuring charges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cash flow</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227,483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167,710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430,973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333,785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Supplemental disclosures: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Holdback payments to key employees related to acquisitions</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b/>
          <w:color w:val="000000"/>
          <w:sz w:val="12"/>
        </w:rPr>
        <w:br/>
        <w:t>(1)</w:t>
      </w:r>
      <w:r>
        <w:rPr>
          <w:rFonts w:ascii="Times New Roman" w:hAnsi="Times New Roman"/>
          <w:color w:val="000000"/>
          <w:sz w:val="20"/>
        </w:rPr>
        <w:t xml:space="preserve"> </w:t>
      </w:r>
      <w:r>
        <w:rPr>
          <w:rFonts w:ascii="Times New Roman" w:hAnsi="Times New Roman"/>
          <w:color w:val="000000"/>
          <w:sz w:val="18"/>
        </w:rPr>
        <w:t>Includes payments related to employee holdbacks pertaining to our acquisitions. The related expenses are recognized within operating expenses over the required service periods.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color w:val="000000"/>
          <w:sz w:val="18"/>
        </w:rPr>
      </w:pPr>
      <w:r>
        <w:rPr>
          <w:rFonts w:ascii="Times New Roman" w:hAnsi="Times New Roman"/>
          <w:color w:val="000000"/>
          <w:sz w:val="18"/>
        </w:rPr>
        <w:t>Page | 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Reconciliation of forecasted non-GAAP operating income</w:t>
      </w:r>
    </w:p>
    <w:p>
      <w:pPr>
        <w:pStyle w:val="TextBody"/>
        <w:bidi w:val="0"/>
        <w:jc w:val="left"/>
        <w:rPr>
          <w:rFonts w:ascii="Times New Roman" w:hAnsi="Times New Roman"/>
          <w:sz w:val="20"/>
        </w:rPr>
      </w:pPr>
      <w:r>
        <w:rPr>
          <w:rFonts w:ascii="Times New Roman" w:hAnsi="Times New Roman"/>
          <w:color w:val="000000"/>
          <w:sz w:val="18"/>
        </w:rPr>
        <w:t>(in thousands, except percentages)</w:t>
        <w:br/>
      </w:r>
      <w:r>
        <w:rPr>
          <w:rFonts w:ascii="Times New Roman" w:hAnsi="Times New Roman"/>
          <w:color w:val="000000"/>
          <w:sz w:val="20"/>
        </w:rPr>
        <w:t> </w:t>
      </w:r>
    </w:p>
    <w:tbl>
      <w:tblPr>
        <w:tblW w:w="7889" w:type="dxa"/>
        <w:jc w:val="left"/>
        <w:tblInd w:w="0" w:type="dxa"/>
        <w:tblLayout w:type="fixed"/>
        <w:tblCellMar>
          <w:top w:w="28" w:type="dxa"/>
          <w:left w:w="28" w:type="dxa"/>
          <w:bottom w:w="28" w:type="dxa"/>
          <w:right w:w="28" w:type="dxa"/>
        </w:tblCellMar>
      </w:tblPr>
      <w:tblGrid>
        <w:gridCol w:w="3756"/>
        <w:gridCol w:w="271"/>
        <w:gridCol w:w="1454"/>
        <w:gridCol w:w="146"/>
        <w:gridCol w:w="146"/>
        <w:gridCol w:w="271"/>
        <w:gridCol w:w="1454"/>
        <w:gridCol w:w="391"/>
      </w:tblGrid>
      <w:tr>
        <w:trPr/>
        <w:tc>
          <w:tcPr>
            <w:tcW w:w="37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Year Ended </w:t>
              <w:br/>
              <w:t>December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 operating income range</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$37,563-$38,563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$197,156-$201,156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511,271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related expense</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Non-GAAP operating income range</w:t>
            </w:r>
          </w:p>
        </w:tc>
        <w:tc>
          <w:tcPr>
            <w:tcW w:w="17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$187,000-$188,000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$762,000-$766,000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Non-GAAP operating margin range</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 - 20.3%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 - 20.8%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Reconciliation of forecasted non-GAAP net income and non-GAAP net income per share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8"/>
        </w:rPr>
        <w:t>(in thousands)</w:t>
        <w:br/>
      </w:r>
      <w:r>
        <w:rPr>
          <w:rFonts w:ascii="Times New Roman" w:hAnsi="Times New Roman"/>
          <w:color w:val="000000"/>
          <w:sz w:val="20"/>
        </w:rPr>
        <w:t> </w:t>
      </w:r>
    </w:p>
    <w:tbl>
      <w:tblPr>
        <w:tblW w:w="9729" w:type="dxa"/>
        <w:jc w:val="left"/>
        <w:tblInd w:w="0" w:type="dxa"/>
        <w:tblLayout w:type="fixed"/>
        <w:tblCellMar>
          <w:top w:w="28" w:type="dxa"/>
          <w:left w:w="28" w:type="dxa"/>
          <w:bottom w:w="28" w:type="dxa"/>
          <w:right w:w="28" w:type="dxa"/>
        </w:tblCellMar>
      </w:tblPr>
      <w:tblGrid>
        <w:gridCol w:w="5196"/>
        <w:gridCol w:w="271"/>
        <w:gridCol w:w="1454"/>
        <w:gridCol w:w="346"/>
        <w:gridCol w:w="346"/>
        <w:gridCol w:w="271"/>
        <w:gridCol w:w="1454"/>
        <w:gridCol w:w="391"/>
      </w:tblGrid>
      <w:tr>
        <w:trPr/>
        <w:tc>
          <w:tcPr>
            <w:tcW w:w="51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Year Ended </w:t>
              <w:br/>
              <w:t>December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 net income range</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$33,179-$34,179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$180,004-$184,004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135,055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511,271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related expense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strategic investments, net</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effects of non-GAAP items</w:t>
            </w:r>
          </w:p>
        </w:tc>
        <w:tc>
          <w:tcPr>
            <w:tcW w:w="17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(22,416)</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Non-GAAP net income range</w:t>
            </w:r>
          </w:p>
        </w:tc>
        <w:tc>
          <w:tcPr>
            <w:tcW w:w="1725"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$160,200-$161,200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$662,200-$666,200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 net income per basic and diluted share</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$0.67-$0.69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Non-GAAP net income per diluted share</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$3.25-$3.27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$13.23-$13.31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used in computing GAAP</w:t>
              <w:br/>
              <w:t>   basic net income per share: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used in computing GAAP</w:t>
              <w:br/>
              <w:t>   and non-GAAP diluted net income per share:</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HubSpot’s estimates of stock-based compensation, amortization of acquired intangible assets, interest expense for amortization of one-time upfront debt issuance costs, restructuring charges, and income tax effects of non-GAAP items assume, among other things, the occurrence of no additional acquisitions, changes in value of strategic investments, and no further revisions to stock-based compensation and related expenses.</w:t>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Non-GAAP Financial Measures</w:t>
      </w:r>
      <w:r>
        <w:rPr>
          <w:rFonts w:ascii="Times New Roman" w:hAnsi="Times New Roman"/>
          <w:color w:val="000000"/>
          <w:sz w:val="22"/>
        </w:rPr>
        <w:br/>
        <w:t>We report our financial results in accordance with accounting principles generally accepted in the United States of America, or GAAP. However, management believes that, in order to properly understand our short-term and long-term financial and operational trends, investors may wish to consider the impact of certain non-cash or non-recurring items when used as a supplement to financial performance measures in accordance with GAAP. These items result from facts and circumstances that vary in frequency and impact on continuing operations. In this release, HubSpot’s non-GAAP operating income, operating margin, subscription margin, expense, expense as a percentage of revenue, net income, operating and free cash flow are not presented in accordance with GAAP and are not intended to be used in lieu of GAAP presentations of results of operations.</w:t>
      </w:r>
      <w:r>
        <w:rPr>
          <w:rFonts w:ascii="Times New Roman" w:hAnsi="Times New Roman"/>
          <w:color w:val="000000"/>
          <w:sz w:val="20"/>
        </w:rPr>
        <w:t xml:space="preserve"> </w:t>
      </w:r>
    </w:p>
    <w:p>
      <w:pPr>
        <w:pStyle w:val="TextBody"/>
        <w:bidi w:val="0"/>
        <w:jc w:val="right"/>
        <w:rPr>
          <w:rFonts w:ascii="Times New Roman" w:hAnsi="Times New Roman"/>
          <w:color w:val="000000"/>
          <w:sz w:val="18"/>
        </w:rPr>
      </w:pPr>
      <w:r>
        <w:rPr>
          <w:rFonts w:ascii="Times New Roman" w:hAnsi="Times New Roman"/>
          <w:color w:val="000000"/>
          <w:sz w:val="18"/>
        </w:rPr>
        <w:t>Page | 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Calculated billings is defined as total revenue recognized in a period plus the sequential change in total deferred revenue in the corresponding period. Non-GAAP operating cash flow is defined as cash and cash equivalents provided by or used in operating activities plus payment of restructuring charges. Non-GAAP free cash flow is defined as cash and cash equivalents provided by or used in operating activities less purchases of property and equipment and capitalization of software development costs, plus payment of restructuring charges. Although non-GAAP operating cash flow and non-GAAP free cash flow are not residual cash flow available for our discretionary expenditures, we believe information regarding non-GAAP operating cash flow and non-GAAP free cash flow provide useful information to investors in understanding and evaluating the strength of our liquidity and provides a comparable framework for assessing how our business performed when compared to prior periods which were not impacted by restructuring charges paid from operating cash flow.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Constant currency amounts are presented to provide a framework for assessing our operating performance excluding the effect of foreign exchange rate fluctuations. To exclude the effect of foreign currency rate fluctuations, current period results for entities reporting in currencies other than U.S. Dollars (“USD”) are converted into USD at the average exchange rates for the comparative period rather than the actual average exchange rates in effect during the respective periods.</w:t>
      </w:r>
    </w:p>
    <w:p>
      <w:pPr>
        <w:pStyle w:val="TextBody"/>
        <w:bidi w:val="0"/>
        <w:jc w:val="left"/>
        <w:rPr>
          <w:rFonts w:ascii="Times New Roman" w:hAnsi="Times New Roman"/>
          <w:color w:val="000000"/>
          <w:sz w:val="22"/>
        </w:rPr>
      </w:pPr>
      <w:r>
        <w:rPr>
          <w:rFonts w:ascii="Times New Roman" w:hAnsi="Times New Roman"/>
          <w:color w:val="000000"/>
          <w:sz w:val="22"/>
        </w:rPr>
        <w:t>Management believes that these non-GAAP financial measures provide additional means of evaluating period-over-period operating performance. Specifically, these non-GAAP financial measures provide management with additional means to understand and evaluate the operating results and trends in our ongoing business by eliminating certain non-cash expenses and other items that management believes might otherwise make comparisons of our ongoing business with prior periods more difficult, obscure trends in ongoing operations, or reduce management’s ability to make useful forecasts. In addition, management understands that some investors and financial analysts find this information helpful in analyzing our financial and operational performance and comparing this performance to our peers and competitors. However, these non-GAAP financial measures have limitations as an analytical tool and are not intended to be an alternative to financial measures prepared in accordance with GAAP. In addition, it should be noted that these non-GAAP financial measures may be different from non-GAAP measures used by other companies. We intend to provide these non-GAAP financial measures as part of our future earnings discussions and, therefore, the inclusion of these non-GAAP financial measures will provide consistency in our financial reporting. Management may, however, utilize other measures to illustrate performance in the future. Investors are encouraged to review the reconciliation of these non-GAAP measures to their most directly comparable GAAP financial measures. A reconciliation of our non-GAAP financial measures to their most directly comparable GAAP measures has been provided in the financial statement tables included above in this press release.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These non-GAAP measures exclude stock-based compensation, amortization of acquired intangible assets, acquisition related expenses, disposition related income, interest expense for the amortization of one-time upfront debt issuance costs, gain or impairment losses on strategic investments, restructuring charges, and account for the income tax effects of the exclusion of these non-GAAP items. We believe investors may want to incorporate the effects of these items in order to compare our financial performance with that of other companies and between time periods:</w:t>
        <w:br/>
      </w:r>
      <w:r>
        <w:rPr>
          <w:rFonts w:ascii="Times New Roman" w:hAnsi="Times New Roman"/>
          <w:color w:val="000000"/>
          <w:sz w:val="20"/>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w:t>
      </w:r>
    </w:p>
    <w:p>
      <w:pPr>
        <w:pStyle w:val="TextBody"/>
        <w:bidi w:val="0"/>
        <w:jc w:val="left"/>
        <w:rPr>
          <w:rFonts w:ascii="Times New Roman" w:hAnsi="Times New Roman"/>
          <w:color w:val="000000"/>
          <w:sz w:val="22"/>
        </w:rPr>
      </w:pPr>
      <w:r>
        <w:rPr>
          <w:rFonts w:ascii="Times New Roman" w:hAnsi="Times New Roman"/>
          <w:color w:val="000000"/>
          <w:sz w:val="22"/>
        </w:rPr>
        <w:t>Stock-based compensation is a non-cash expense accounted for in accordance with FASB ASC Topic 718. We believe that the exclusion of stock-based compensation expense allows for financial results that are more indicative of our operational performance and provide for a useful comparison of our operating results to prior periods and to our peer companies because stock-based compensation expense varies from period to period and company to company due to such things as differing valuation methodologies and changes in stock price.</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w:t>
      </w:r>
    </w:p>
    <w:p>
      <w:pPr>
        <w:pStyle w:val="TextBody"/>
        <w:bidi w:val="0"/>
        <w:jc w:val="left"/>
        <w:rPr>
          <w:rFonts w:ascii="Times New Roman" w:hAnsi="Times New Roman"/>
          <w:color w:val="000000"/>
          <w:sz w:val="22"/>
        </w:rPr>
      </w:pPr>
      <w:r>
        <w:rPr>
          <w:rFonts w:ascii="Times New Roman" w:hAnsi="Times New Roman"/>
          <w:color w:val="000000"/>
          <w:sz w:val="22"/>
        </w:rPr>
        <w:t xml:space="preserve">Expense for the amortization of acquired intangible assets is excluded from non-GAAP expense and income measures as HubSpot views amortization of these assets as arising from pre-acquisition activities determined at the time of an acquisition. While these intangible assets are evaluated for impairment regularly, amortization of the cost of purchased intangibles is a non-cash expense that is not typically affected by operations during any particular period. Valuation and subsequent amortization of intangible assets can also be inconsistent in amount </w:t>
      </w:r>
    </w:p>
    <w:p>
      <w:pPr>
        <w:pStyle w:val="TextBody"/>
        <w:bidi w:val="0"/>
        <w:jc w:val="right"/>
        <w:rPr>
          <w:rFonts w:ascii="Times New Roman" w:hAnsi="Times New Roman"/>
          <w:color w:val="000000"/>
          <w:sz w:val="18"/>
        </w:rPr>
      </w:pPr>
      <w:r>
        <w:rPr>
          <w:rFonts w:ascii="Times New Roman" w:hAnsi="Times New Roman"/>
          <w:color w:val="000000"/>
          <w:sz w:val="18"/>
        </w:rPr>
        <w:t>Page |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rFonts w:ascii="Times New Roman" w:hAnsi="Times New Roman"/>
          <w:color w:val="000000"/>
          <w:sz w:val="22"/>
        </w:rPr>
        <w:t>and frequency because they can significantly vary based on the timing and size of acquisitions and the inherently subjective nature of the degree to which a purchase price is allocated to intangible assets. We believe that the exclusion of this amortization expense provides for a useful comparison of our operating results to prior periods, for which we have historically excluded amortization expense, and to our peer companies, which commonly exclude acquired intangible asset amortization. It is important to note that although we exclude amortization of acquired intangible assets from our non-GAAP expense and income measures, revenue generated from such intangibles is included within our non-GAAP income measures. The use of these intangible assets contributed to our revenues earned during the periods presented and will contribute to future periods as well.</w:t>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w:t>
      </w:r>
    </w:p>
    <w:p>
      <w:pPr>
        <w:pStyle w:val="TextBody"/>
        <w:bidi w:val="0"/>
        <w:jc w:val="left"/>
        <w:rPr>
          <w:rFonts w:ascii="Times New Roman" w:hAnsi="Times New Roman"/>
          <w:color w:val="000000"/>
          <w:sz w:val="22"/>
        </w:rPr>
      </w:pPr>
      <w:r>
        <w:rPr>
          <w:rFonts w:ascii="Times New Roman" w:hAnsi="Times New Roman"/>
          <w:color w:val="000000"/>
          <w:sz w:val="22"/>
        </w:rPr>
        <w:t>Acquisition related expenses, such as transaction costs, retention payments, and holdback payments, and disposition related income, such as proceeds from sale of assets, are transactions that are not necessarily reflective of our operational performance during a period. We believe that the exclusion of these expenses and income provides for a useful comparison of our operating results to prior periods and to our peer companies, which commonly exclude these expenses and income. Payments for acquisition related expenses are included in our non-GAAP operating cash flow and free cash flow.</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w:t>
      </w:r>
    </w:p>
    <w:p>
      <w:pPr>
        <w:pStyle w:val="TextBody"/>
        <w:bidi w:val="0"/>
        <w:jc w:val="left"/>
        <w:rPr>
          <w:rFonts w:ascii="Times New Roman" w:hAnsi="Times New Roman"/>
          <w:color w:val="000000"/>
          <w:sz w:val="22"/>
        </w:rPr>
      </w:pPr>
      <w:r>
        <w:rPr>
          <w:rFonts w:ascii="Times New Roman" w:hAnsi="Times New Roman"/>
          <w:color w:val="000000"/>
          <w:sz w:val="22"/>
        </w:rPr>
        <w:t>In June 2020, we issued $460 million of convertible notes due in 2025 with a coupon interest rate of 0.375%. The issuance cost of the debt is amortized as interest expense over the remaining term of the debt. We believe the exclusion of this interest expense for one-time upfront issuance costs provides for a useful comparison of our operating results to prior periods and to our peer companies. The Notes matured in June 2025, and no additional expense has been recognized thereafter.</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E.</w:t>
      </w:r>
    </w:p>
    <w:p>
      <w:pPr>
        <w:pStyle w:val="TextBody"/>
        <w:bidi w:val="0"/>
        <w:jc w:val="left"/>
        <w:rPr>
          <w:rFonts w:ascii="Times New Roman" w:hAnsi="Times New Roman"/>
          <w:color w:val="000000"/>
          <w:sz w:val="22"/>
        </w:rPr>
      </w:pPr>
      <w:r>
        <w:rPr>
          <w:rFonts w:ascii="Times New Roman" w:hAnsi="Times New Roman"/>
          <w:color w:val="000000"/>
          <w:sz w:val="22"/>
        </w:rPr>
        <w:t>Strategic investments consist of non-controlling equity investments in privately held companies. The recognition of gains, impairment losses, or the proportionate share of net earnings can vary significantly across periods and we do not view them to be indicative of our fundamental operating activities and believe the exclusion provides for a useful comparison of our operating results to prior periods and to our peer companies.</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F.</w:t>
      </w:r>
    </w:p>
    <w:p>
      <w:pPr>
        <w:pStyle w:val="TextBody"/>
        <w:bidi w:val="0"/>
        <w:jc w:val="left"/>
        <w:rPr>
          <w:rFonts w:ascii="Times New Roman" w:hAnsi="Times New Roman"/>
          <w:color w:val="000000"/>
          <w:sz w:val="22"/>
        </w:rPr>
      </w:pPr>
      <w:r>
        <w:rPr>
          <w:rFonts w:ascii="Times New Roman" w:hAnsi="Times New Roman"/>
          <w:color w:val="000000"/>
          <w:sz w:val="22"/>
        </w:rPr>
        <w:t>Restructuring charges are related to severance, employee related benefits, facilities and other costs associated with the restructuring plan implemented in January 2023. Restructuring charges fluctuate in amount and frequency and are not reflective of our core business operating results. In addition to the restructuring charges related to facilities we abandoned during the year ended 2023, through 2027, we expect to both incur incremental restructuring charges and make cash payments related to such facilities. The abandonment of facilities is part of the restructuring plan we authorized on January 25, 2023 and is intended to consolidate our lease space and create higher density across our workspaces. The incremental charges we expect to incur relate to continuing costs for the abandoned facilities and are expected to be in the range of $5-6 million. We also expect to make cash payments of approximately $20 million in fixed rent payments for the abandoned facilities that will be made in monthly installments through 2027, for which we have taken the full restructuring charge during the year ended 2023. We plan on excluding both the incremental charges and cash payments and the related restructuring cash rent payments from our non-GAAP earnings, operating cash flow, and free cash flow metrics. We believe exclusion of these charges and cash payments provides useful information to investors in understanding and evaluating the strength of earnings and liquidity and provides a comparable framework for assessing how our business performed when compared to prior periods which were not impacted by excluded restructuring charges paid from operating cash flow.</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G.</w:t>
      </w:r>
    </w:p>
    <w:p>
      <w:pPr>
        <w:pStyle w:val="TextBody"/>
        <w:bidi w:val="0"/>
        <w:jc w:val="left"/>
        <w:rPr>
          <w:rFonts w:ascii="Times New Roman" w:hAnsi="Times New Roman"/>
          <w:color w:val="000000"/>
          <w:sz w:val="22"/>
        </w:rPr>
      </w:pPr>
      <w:r>
        <w:rPr>
          <w:rFonts w:ascii="Times New Roman" w:hAnsi="Times New Roman"/>
          <w:color w:val="000000"/>
          <w:sz w:val="22"/>
        </w:rPr>
        <w:t xml:space="preserve">The effects of income taxes on non-GAAP items reflect a fixed long-term projected tax rate of 15% to provide better consistency across reporting periods. In 2026, we updated our fixed long-term projected tax rate from 20% to 15% to reflect regulatory changes from the One Big Beautiful Bill that was signed into law on July 4, 2025. To determine this long-term non-GAAP tax rate, we exclude the impact of other non-GAAP adjustments and take into account other factors such as our current operating structure and existing tax positions in various jurisdictions. We will periodically reevaluate this tax rate, as necessary, for significant events such as relevant tax law changes and material changes in our forecasted geographic earnings mix. For a comparison of our prior-year </w:t>
      </w:r>
    </w:p>
    <w:p>
      <w:pPr>
        <w:pStyle w:val="TextBody"/>
        <w:bidi w:val="0"/>
        <w:jc w:val="right"/>
        <w:rPr>
          <w:rFonts w:ascii="Times New Roman" w:hAnsi="Times New Roman"/>
          <w:color w:val="000000"/>
          <w:sz w:val="18"/>
        </w:rPr>
      </w:pPr>
      <w:r>
        <w:rPr>
          <w:rFonts w:ascii="Times New Roman" w:hAnsi="Times New Roman"/>
          <w:color w:val="000000"/>
          <w:sz w:val="18"/>
        </w:rPr>
        <w:t>Page | 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non-GAAP results, as if we had adopted the 15% long-term projected tax rate in 2025, refer to our Form 8-K filed with the SEC on February 11,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Investor Relations Contact:</w:t>
        <w:br/>
      </w:r>
      <w:r>
        <w:rPr>
          <w:rFonts w:ascii="Times New Roman" w:hAnsi="Times New Roman"/>
          <w:color w:val="000000"/>
          <w:sz w:val="22"/>
        </w:rPr>
        <w:t>investors@hubspot.com</w:t>
        <w:br/>
        <w:br/>
      </w:r>
      <w:r>
        <w:rPr>
          <w:rFonts w:ascii="Times New Roman" w:hAnsi="Times New Roman"/>
          <w:b/>
          <w:color w:val="000000"/>
          <w:sz w:val="22"/>
        </w:rPr>
        <w:t>Media Contact:</w:t>
        <w:br/>
      </w:r>
      <w:r>
        <w:rPr>
          <w:rFonts w:ascii="Times New Roman" w:hAnsi="Times New Roman"/>
          <w:color w:val="000000"/>
          <w:sz w:val="22"/>
        </w:rPr>
        <w:t>media@hubspot.com</w:t>
      </w:r>
      <w:r>
        <w:rPr>
          <w:rFonts w:ascii="Times New Roman" w:hAnsi="Times New Roman"/>
          <w:b/>
          <w:color w:val="000000"/>
          <w:sz w:val="22"/>
        </w:rPr>
        <w:br/>
      </w:r>
      <w:r>
        <w:rPr>
          <w:rFonts w:ascii="Times New Roman" w:hAnsi="Times New Roman"/>
          <w:color w:val="000000"/>
          <w:sz w:val="22"/>
        </w:rPr>
        <w:br/>
      </w:r>
      <w:r>
        <w:rPr>
          <w:rFonts w:ascii="Times New Roman" w:hAnsi="Times New Roman"/>
          <w:color w:val="000000"/>
          <w:sz w:val="20"/>
        </w:rPr>
        <w:t> </w:t>
      </w:r>
    </w:p>
    <w:p>
      <w:pPr>
        <w:pStyle w:val="TextBody"/>
        <w:bidi w:val="0"/>
        <w:jc w:val="right"/>
        <w:rPr>
          <w:rFonts w:ascii="Times New Roman" w:hAnsi="Times New Roman"/>
          <w:color w:val="000000"/>
          <w:sz w:val="18"/>
        </w:rPr>
      </w:pPr>
      <w:r>
        <w:rPr>
          <w:rFonts w:ascii="Times New Roman" w:hAnsi="Times New Roman"/>
          <w:color w:val="000000"/>
          <w:sz w:val="18"/>
        </w:rPr>
        <w:t>Page | 13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4" w:name="hubs-ex99_2.htm"/>
      <w:bookmarkStart w:id="5" w:name="kshubsex99_2"/>
      <w:bookmarkEnd w:id="4"/>
      <w:bookmarkEnd w:id="5"/>
      <w:r>
        <w:rPr>
          <w:rFonts w:ascii="Times New Roman" w:hAnsi="Times New Roman"/>
          <w:color w:val="000000"/>
          <w:sz w:val="20"/>
        </w:rPr>
        <w:t>Exhibit 99.2</w:t>
      </w:r>
      <w:r>
        <w:br w:type="page"/>
      </w:r>
    </w:p>
    <w:p>
      <w:pPr>
        <w:pStyle w:val="TextBody"/>
        <w:bidi w:val="0"/>
        <w:jc w:val="left"/>
        <w:rPr/>
      </w:pPr>
      <w:r>
        <w:rPr/>
        <w:t> </w:t>
      </w:r>
    </w:p>
    <w:p>
      <w:pPr>
        <w:pStyle w:val="TextBody"/>
        <w:bidi w:val="0"/>
        <w:spacing w:before="240" w:after="240"/>
        <w:jc w:val="center"/>
        <w:rPr>
          <w:rFonts w:ascii="Times New Roman" w:hAnsi="Times New Roman"/>
          <w:b/>
          <w:color w:val="000000"/>
          <w:sz w:val="22"/>
        </w:rPr>
      </w:pPr>
      <w:r>
        <w:rPr>
          <w:rFonts w:ascii="Times New Roman" w:hAnsi="Times New Roman"/>
          <w:b/>
          <w:color w:val="000000"/>
          <w:sz w:val="22"/>
        </w:rPr>
        <w:t>HubSpot Announces Jerry Dischler Joins Board of Directors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CAMBRIDGE, MA (August 5, 2026) — HubSpot, Inc. (NYSE: HUBS), the agentic customer platform for scaling companies, announced today that Jerry Dischler has been appointed to the company's Board of Directors, effective August 5, 2026. Dischler brings nearly 20 years of executive experience at Google, most recently leading the development of AI agents for customer service and sales. He joins HubSpot's Board as the company deepens its investment in AI and agentic technology.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Dischler is currently a Partner at Angular Ventures, where he invests in early-stage AI and enterprise technology companies. Prior to that, he served as President of Cloud Applications at Google, accelerating the deployment of AI within Google Workspace and leading the development of AI-first business applications.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Prior to Cloud Applications, for 15+ years, Dischler also served in various roles of increasing responsibility in Google’s Ads business, most recently serving as Vice President and General Manager of Advertising at Google, where he oversaw all advertising products including search, display, shopping, travel, and video, as well as analytics. In this role, oversaw the launch of Performance Max, the industry's first completely AI-driven advertising product. His experience building AI-powered advertising products at scale maps closely to HubSpot's work of helping businesses attract and engage customers.</w:t>
      </w:r>
    </w:p>
    <w:p>
      <w:pPr>
        <w:pStyle w:val="TextBody"/>
        <w:bidi w:val="0"/>
        <w:spacing w:before="0" w:after="240"/>
        <w:jc w:val="left"/>
        <w:rPr>
          <w:rFonts w:ascii="Times New Roman" w:hAnsi="Times New Roman"/>
          <w:sz w:val="20"/>
        </w:rPr>
      </w:pPr>
      <w:r>
        <w:rPr>
          <w:rFonts w:ascii="Times New Roman" w:hAnsi="Times New Roman"/>
          <w:color w:val="000000"/>
          <w:sz w:val="22"/>
        </w:rPr>
        <w:t>Before Google, Dischler served as Director of Engineering at Avolent, and also held engineering and leadership roles at Hyperion, Sana Security, and Accenture.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"Jerry is a remarkable leader who deeply understands both the transformative potential of AI and what it takes to build and scale AI-first products," said Yamini Rangan, CEO of HubSpot. "His experience shaping AI-driven product strategy, building products grounded in real customer needs, and turning emerging technology into measurable customer outcomes will be invaluable as HubSpot continues to help scaling companies grow. Jerry is one of the most accomplished AI product leaders in our industry, and we're thrilled to welcome him to our Board."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"I've seen firsthand how AI reshapes the way businesses connect with their customers," said Dischler. "HubSpot has built the platform to make that real at scale, and I'm excited to be part of what comes next."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Dischler holds a bachelor's degree from the University of Chicago and an MBA from The Wharton School of Business.</w:t>
      </w:r>
    </w:p>
    <w:p>
      <w:pPr>
        <w:pStyle w:val="TextBody"/>
        <w:bidi w:val="0"/>
        <w:spacing w:before="0" w:after="240"/>
        <w:jc w:val="left"/>
        <w:rPr>
          <w:rFonts w:ascii="Times New Roman" w:hAnsi="Times New Roman"/>
          <w:sz w:val="20"/>
        </w:rPr>
      </w:pPr>
      <w:r>
        <w:rPr>
          <w:rFonts w:ascii="Times New Roman" w:hAnsi="Times New Roman"/>
          <w:b/>
          <w:color w:val="000000"/>
          <w:sz w:val="22"/>
        </w:rPr>
        <w:t>About HubSpot</w:t>
      </w:r>
      <w:r>
        <w:rPr>
          <w:rFonts w:ascii="Times New Roman" w:hAnsi="Times New Roman"/>
          <w:color w:val="000000"/>
          <w:sz w:val="22"/>
        </w:rPr>
        <w:br/>
        <w:t>HubSpot (NYSE: HUBS) is the agentic customer platform that helps businesses connect and grow better. HubSpot delivers seamless connection for customer-facing teams with a unified platform that includes AI-powered engagement hubs, a Smart CRM, and a connected ecosystem with over 2,000 App Marketplace integrations, a community network, and educational content. Learn more at www.hubspot.com.</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6958</Words>
  <Characters>38507</Characters>
  <CharactersWithSpaces>45941</CharactersWithSpaces>
  <Paragraphs>3249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