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1700" w:type="dxa"/>
        <w:tblCellMar>
          <w:top w:w="0" w:type="dxa"/>
          <w:left w:w="0" w:type="dxa"/>
          <w:bottom w:w="0" w:type="dxa"/>
          <w:right w:w="0" w:type="dxa"/>
        </w:tblCellMar>
      </w:tblPr>
      <w:tr>
        <w:trPr>
          <w:trHeight w:val="184"/>
        </w:trPr>
        <w:tc>
          <w:tcPr>
            <w:tcW w:w="4500" w:type="dxa"/>
            <w:vAlign w:val="bottom"/>
            <w:gridSpan w:val="2"/>
          </w:tcPr>
          <w:p>
            <w:pPr>
              <w:ind w:left="1420"/>
              <w:spacing w:after="0"/>
              <w:rPr>
                <w:sz w:val="20"/>
                <w:szCs w:val="20"/>
                <w:color w:val="auto"/>
              </w:rPr>
            </w:pPr>
            <w:r>
              <w:rPr>
                <w:rFonts w:ascii="Arial" w:cs="Arial" w:eastAsia="Arial" w:hAnsi="Arial"/>
                <w:sz w:val="16"/>
                <w:szCs w:val="16"/>
                <w:b w:val="1"/>
                <w:bCs w:val="1"/>
                <w:color w:val="auto"/>
              </w:rPr>
              <w:t>FOR THE TRANSITION PERIOD FROM</w:t>
            </w:r>
          </w:p>
        </w:tc>
        <w:tc>
          <w:tcPr>
            <w:tcW w:w="800" w:type="dxa"/>
            <w:vAlign w:val="bottom"/>
            <w:tcBorders>
              <w:bottom w:val="single" w:sz="8" w:color="auto"/>
            </w:tcBorders>
            <w:gridSpan w:val="3"/>
          </w:tcPr>
          <w:p>
            <w:pPr>
              <w:spacing w:after="0"/>
              <w:rPr>
                <w:sz w:val="16"/>
                <w:szCs w:val="16"/>
                <w:color w:val="auto"/>
              </w:rPr>
            </w:pPr>
          </w:p>
        </w:tc>
        <w:tc>
          <w:tcPr>
            <w:tcW w:w="3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r>
      <w:tr>
        <w:trPr>
          <w:trHeight w:val="312"/>
        </w:trPr>
        <w:tc>
          <w:tcPr>
            <w:tcW w:w="7420" w:type="dxa"/>
            <w:vAlign w:val="bottom"/>
            <w:gridSpan w:val="8"/>
          </w:tcPr>
          <w:p>
            <w:pPr>
              <w:jc w:val="center"/>
              <w:ind w:left="342"/>
              <w:spacing w:after="0"/>
              <w:rPr>
                <w:sz w:val="20"/>
                <w:szCs w:val="20"/>
                <w:color w:val="auto"/>
              </w:rPr>
            </w:pPr>
            <w:r>
              <w:rPr>
                <w:rFonts w:ascii="Arial" w:cs="Arial" w:eastAsia="Arial" w:hAnsi="Arial"/>
                <w:sz w:val="16"/>
                <w:szCs w:val="16"/>
                <w:b w:val="1"/>
                <w:bCs w:val="1"/>
                <w:color w:val="auto"/>
              </w:rPr>
              <w:t>COMMISSION FILE NUMBER 001-36680</w:t>
            </w:r>
          </w:p>
        </w:tc>
      </w:tr>
      <w:tr>
        <w:trPr>
          <w:trHeight w:val="222"/>
        </w:trPr>
        <w:tc>
          <w:tcPr>
            <w:tcW w:w="28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574"/>
        </w:trPr>
        <w:tc>
          <w:tcPr>
            <w:tcW w:w="5300" w:type="dxa"/>
            <w:vAlign w:val="bottom"/>
            <w:gridSpan w:val="5"/>
          </w:tcPr>
          <w:p>
            <w:pPr>
              <w:jc w:val="center"/>
              <w:ind w:left="2442"/>
              <w:spacing w:after="0"/>
              <w:rPr>
                <w:sz w:val="20"/>
                <w:szCs w:val="20"/>
                <w:color w:val="auto"/>
              </w:rPr>
            </w:pPr>
            <w:r>
              <w:rPr>
                <w:rFonts w:ascii="Arial" w:cs="Arial" w:eastAsia="Arial" w:hAnsi="Arial"/>
                <w:sz w:val="40"/>
                <w:szCs w:val="40"/>
                <w:b w:val="1"/>
                <w:bCs w:val="1"/>
                <w:color w:val="auto"/>
                <w:w w:val="91"/>
              </w:rPr>
              <w:t>HubSpot, Inc.</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0"/>
        </w:trPr>
        <w:tc>
          <w:tcPr>
            <w:tcW w:w="7420" w:type="dxa"/>
            <w:vAlign w:val="bottom"/>
            <w:gridSpan w:val="8"/>
          </w:tcPr>
          <w:p>
            <w:pPr>
              <w:jc w:val="center"/>
              <w:ind w:left="342"/>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222"/>
        </w:trPr>
        <w:tc>
          <w:tcPr>
            <w:tcW w:w="280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06"/>
        </w:trPr>
        <w:tc>
          <w:tcPr>
            <w:tcW w:w="5300" w:type="dxa"/>
            <w:vAlign w:val="bottom"/>
            <w:gridSpan w:val="5"/>
          </w:tcPr>
          <w:p>
            <w:pPr>
              <w:jc w:val="center"/>
              <w:ind w:right="3180"/>
              <w:spacing w:after="0"/>
              <w:rPr>
                <w:sz w:val="20"/>
                <w:szCs w:val="20"/>
                <w:color w:val="auto"/>
              </w:rPr>
            </w:pPr>
            <w:r>
              <w:rPr>
                <w:rFonts w:ascii="Arial" w:cs="Arial" w:eastAsia="Arial" w:hAnsi="Arial"/>
                <w:sz w:val="16"/>
                <w:szCs w:val="16"/>
                <w:b w:val="1"/>
                <w:bCs w:val="1"/>
                <w:color w:val="auto"/>
                <w:w w:val="91"/>
              </w:rPr>
              <w:t>Delaware</w:t>
            </w:r>
          </w:p>
        </w:tc>
        <w:tc>
          <w:tcPr>
            <w:tcW w:w="2120" w:type="dxa"/>
            <w:vAlign w:val="bottom"/>
            <w:gridSpan w:val="3"/>
          </w:tcPr>
          <w:p>
            <w:pPr>
              <w:jc w:val="center"/>
              <w:ind w:left="779"/>
              <w:spacing w:after="0"/>
              <w:rPr>
                <w:sz w:val="20"/>
                <w:szCs w:val="20"/>
                <w:color w:val="auto"/>
              </w:rPr>
            </w:pPr>
            <w:r>
              <w:rPr>
                <w:rFonts w:ascii="Arial" w:cs="Arial" w:eastAsia="Arial" w:hAnsi="Arial"/>
                <w:sz w:val="16"/>
                <w:szCs w:val="16"/>
                <w:b w:val="1"/>
                <w:bCs w:val="1"/>
                <w:color w:val="auto"/>
                <w:w w:val="91"/>
              </w:rPr>
              <w:t>20-2632791</w:t>
            </w:r>
          </w:p>
        </w:tc>
      </w:tr>
      <w:tr>
        <w:trPr>
          <w:trHeight w:val="222"/>
        </w:trPr>
        <w:tc>
          <w:tcPr>
            <w:tcW w:w="5300" w:type="dxa"/>
            <w:vAlign w:val="bottom"/>
            <w:gridSpan w:val="5"/>
          </w:tcPr>
          <w:p>
            <w:pPr>
              <w:jc w:val="center"/>
              <w:ind w:right="3180"/>
              <w:spacing w:after="0"/>
              <w:rPr>
                <w:sz w:val="20"/>
                <w:szCs w:val="20"/>
                <w:color w:val="auto"/>
              </w:rPr>
            </w:pPr>
            <w:r>
              <w:rPr>
                <w:rFonts w:ascii="Arial" w:cs="Arial" w:eastAsia="Arial" w:hAnsi="Arial"/>
                <w:sz w:val="16"/>
                <w:szCs w:val="16"/>
                <w:b w:val="1"/>
                <w:bCs w:val="1"/>
                <w:color w:val="auto"/>
                <w:w w:val="92"/>
              </w:rPr>
              <w:t>(State or other jurisdiction of</w:t>
            </w:r>
          </w:p>
        </w:tc>
        <w:tc>
          <w:tcPr>
            <w:tcW w:w="320" w:type="dxa"/>
            <w:vAlign w:val="bottom"/>
          </w:tcPr>
          <w:p>
            <w:pPr>
              <w:spacing w:after="0"/>
              <w:rPr>
                <w:sz w:val="19"/>
                <w:szCs w:val="19"/>
                <w:color w:val="auto"/>
              </w:rPr>
            </w:pPr>
          </w:p>
        </w:tc>
        <w:tc>
          <w:tcPr>
            <w:tcW w:w="18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300" w:type="dxa"/>
            <w:vAlign w:val="bottom"/>
            <w:gridSpan w:val="5"/>
          </w:tcPr>
          <w:p>
            <w:pPr>
              <w:jc w:val="center"/>
              <w:ind w:right="3180"/>
              <w:spacing w:after="0"/>
              <w:rPr>
                <w:sz w:val="20"/>
                <w:szCs w:val="20"/>
                <w:color w:val="auto"/>
              </w:rPr>
            </w:pPr>
            <w:r>
              <w:rPr>
                <w:rFonts w:ascii="Arial" w:cs="Arial" w:eastAsia="Arial" w:hAnsi="Arial"/>
                <w:sz w:val="16"/>
                <w:szCs w:val="16"/>
                <w:b w:val="1"/>
                <w:bCs w:val="1"/>
                <w:color w:val="auto"/>
                <w:w w:val="92"/>
              </w:rPr>
              <w:t>incorporation or organization)</w:t>
            </w:r>
          </w:p>
        </w:tc>
        <w:tc>
          <w:tcPr>
            <w:tcW w:w="320" w:type="dxa"/>
            <w:vAlign w:val="bottom"/>
          </w:tcPr>
          <w:p>
            <w:pPr>
              <w:spacing w:after="0"/>
              <w:rPr>
                <w:sz w:val="18"/>
                <w:szCs w:val="18"/>
                <w:color w:val="auto"/>
              </w:rPr>
            </w:pPr>
          </w:p>
        </w:tc>
        <w:tc>
          <w:tcPr>
            <w:tcW w:w="180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3"/>
              </w:rPr>
              <w:t>Identification No.)</w:t>
            </w:r>
          </w:p>
        </w:tc>
      </w:tr>
    </w:tbl>
    <w:p>
      <w:pPr>
        <w:spacing w:after="0" w:line="100"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25 First Street</w:t>
      </w:r>
    </w:p>
    <w:p>
      <w:pPr>
        <w:spacing w:after="0" w:line="2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Cambridge, Massachusetts 02141</w:t>
      </w:r>
    </w:p>
    <w:p>
      <w:pPr>
        <w:spacing w:after="0" w:line="19"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(888) 482-7768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40" w:type="dxa"/>
            <w:vAlign w:val="bottom"/>
          </w:tcPr>
          <w:p>
            <w:pPr>
              <w:spacing w:after="0"/>
              <w:rPr>
                <w:sz w:val="19"/>
                <w:szCs w:val="19"/>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0"/>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1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w w:val="96"/>
              </w:rPr>
              <w:t>HUBS</w:t>
            </w: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3" w:lineRule="exact"/>
        <w:rPr>
          <w:sz w:val="24"/>
          <w:szCs w:val="24"/>
          <w:color w:val="auto"/>
        </w:rPr>
      </w:pPr>
    </w:p>
    <w:p>
      <w:pPr>
        <w:ind w:firstLine="509"/>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80" w:firstLine="509"/>
        <w:spacing w:after="0" w:line="20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0980" w:type="dxa"/>
            <w:vAlign w:val="bottom"/>
            <w:gridSpan w:val="3"/>
          </w:tcPr>
          <w:p>
            <w:pPr>
              <w:spacing w:after="0"/>
              <w:rPr>
                <w:sz w:val="20"/>
                <w:szCs w:val="20"/>
                <w:color w:val="auto"/>
              </w:rPr>
            </w:pPr>
            <w:r>
              <w:rPr>
                <w:rFonts w:ascii="Arial" w:cs="Arial" w:eastAsia="Arial" w:hAnsi="Arial"/>
                <w:sz w:val="16"/>
                <w:szCs w:val="16"/>
                <w:color w:val="auto"/>
                <w:w w:val="93"/>
              </w:rPr>
              <w:t>growth company. See the definitions of “large accelerated filer,” “accelerated filer,” “smaller reporting company,” and “emerging growth company” in Rule 12b-2 of the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Exchange Act.</w:t>
            </w:r>
          </w:p>
        </w:tc>
        <w:tc>
          <w:tcPr>
            <w:tcW w:w="3140" w:type="dxa"/>
            <w:vAlign w:val="bottom"/>
            <w:vMerge w:val="restart"/>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17"/>
                <w:szCs w:val="17"/>
                <w:color w:val="auto"/>
              </w:rPr>
            </w:pPr>
          </w:p>
        </w:tc>
        <w:tc>
          <w:tcPr>
            <w:tcW w:w="20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40" w:type="dxa"/>
            <w:vAlign w:val="bottom"/>
            <w:vMerge w:val="continue"/>
          </w:tcPr>
          <w:p>
            <w:pPr>
              <w:spacing w:after="0"/>
              <w:rPr>
                <w:sz w:val="18"/>
                <w:szCs w:val="18"/>
                <w:color w:val="auto"/>
              </w:rPr>
            </w:pPr>
          </w:p>
        </w:tc>
        <w:tc>
          <w:tcPr>
            <w:tcW w:w="536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4"/>
        </w:trPr>
        <w:tc>
          <w:tcPr>
            <w:tcW w:w="248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4"/>
          <w:szCs w:val="24"/>
          <w:color w:val="auto"/>
        </w:rPr>
      </w:pPr>
    </w:p>
    <w:p>
      <w:pPr>
        <w:jc w:val="both"/>
        <w:ind w:right="80" w:firstLine="50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04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47,005,359 shares of the registrant’s Common Stock issued and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gridSpan w:val="11"/>
          </w:tcPr>
          <w:p>
            <w:pPr>
              <w:jc w:val="center"/>
              <w:ind w:right="3760"/>
              <w:spacing w:after="0"/>
              <w:rPr>
                <w:sz w:val="20"/>
                <w:szCs w:val="20"/>
                <w:color w:val="auto"/>
              </w:rPr>
            </w:pPr>
            <w:r>
              <w:rPr>
                <w:rFonts w:ascii="Arial" w:cs="Arial" w:eastAsia="Arial" w:hAnsi="Arial"/>
                <w:sz w:val="18"/>
                <w:szCs w:val="18"/>
                <w:b w:val="1"/>
                <w:bCs w:val="1"/>
                <w:color w:val="auto"/>
                <w:w w:val="98"/>
              </w:rPr>
              <w:t>HUBSPOT, INC.</w:t>
            </w:r>
          </w:p>
        </w:tc>
        <w:tc>
          <w:tcPr>
            <w:tcW w:w="76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11"/>
          </w:tcPr>
          <w:p>
            <w:pPr>
              <w:jc w:val="center"/>
              <w:ind w:right="3760"/>
              <w:spacing w:after="0"/>
              <w:rPr>
                <w:sz w:val="20"/>
                <w:szCs w:val="20"/>
                <w:color w:val="auto"/>
              </w:rPr>
            </w:pPr>
            <w:r>
              <w:rPr>
                <w:rFonts w:ascii="Arial" w:cs="Arial" w:eastAsia="Arial" w:hAnsi="Arial"/>
                <w:sz w:val="18"/>
                <w:szCs w:val="18"/>
                <w:b w:val="1"/>
                <w:bCs w:val="1"/>
                <w:color w:val="auto"/>
                <w:w w:val="89"/>
              </w:rPr>
              <w:t>Table of Contents</w:t>
            </w:r>
          </w:p>
        </w:tc>
        <w:tc>
          <w:tcPr>
            <w:tcW w:w="7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60" w:type="dxa"/>
            <w:vAlign w:val="bottom"/>
            <w:gridSpan w:val="12"/>
          </w:tcPr>
          <w:p>
            <w:pPr>
              <w:jc w:val="center"/>
              <w:ind w:right="3640"/>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Part I — Financial Information</w:t>
              </w:r>
            </w:hyperlink>
          </w:p>
        </w:tc>
        <w:tc>
          <w:tcPr>
            <w:tcW w:w="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Financial Statements:</w:t>
              </w:r>
            </w:hyperlink>
          </w:p>
        </w:tc>
        <w:tc>
          <w:tcPr>
            <w:tcW w:w="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Consolidated Balance Sheets as of June 30, 2021 and December 31,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Unaudited Consolidated Statements of Operations for the Three and Six Months Ended June 30, 2021 and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Unaudited Consolidated Statements of Comprehensive Loss for the Three and Six Months Ended June 30, 2021 and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Unaudited Consolidated Statements of Cash Flows for the Six Months Ended June 30, 2021 and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0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gridSpan w:val="11"/>
          </w:tcPr>
          <w:p>
            <w:pPr>
              <w:jc w:val="center"/>
              <w:ind w:right="3740"/>
              <w:spacing w:after="0"/>
              <w:rPr>
                <w:rFonts w:ascii="Arial" w:cs="Arial" w:eastAsia="Arial" w:hAnsi="Arial"/>
                <w:sz w:val="18"/>
                <w:szCs w:val="18"/>
                <w:b w:val="1"/>
                <w:bCs w:val="1"/>
                <w:color w:val="0000FF"/>
                <w:w w:val="96"/>
              </w:rPr>
            </w:pPr>
            <w:hyperlink w:anchor="page34">
              <w:r>
                <w:rPr>
                  <w:rFonts w:ascii="Arial" w:cs="Arial" w:eastAsia="Arial" w:hAnsi="Arial"/>
                  <w:sz w:val="18"/>
                  <w:szCs w:val="18"/>
                  <w:b w:val="1"/>
                  <w:bCs w:val="1"/>
                  <w:color w:val="0000FF"/>
                  <w:w w:val="96"/>
                </w:rPr>
                <w:t>Part II — Other Information</w:t>
              </w:r>
            </w:hyperlink>
          </w:p>
        </w:tc>
        <w:tc>
          <w:tcPr>
            <w:tcW w:w="7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gridSpan w:val="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2220" w:type="dxa"/>
            <w:vAlign w:val="bottom"/>
            <w:tcBorders>
              <w:top w:val="single" w:sz="8" w:color="0000FF"/>
            </w:tcBorders>
            <w:gridSpan w:val="4"/>
          </w:tcPr>
          <w:p>
            <w:pPr>
              <w:spacing w:after="0"/>
              <w:rPr>
                <w:sz w:val="24"/>
                <w:szCs w:val="24"/>
                <w:color w:val="auto"/>
              </w:rPr>
            </w:pPr>
          </w:p>
        </w:tc>
        <w:tc>
          <w:tcPr>
            <w:tcW w:w="37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Default Upon Senior Securities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tcPr>
          <w:p>
            <w:pPr>
              <w:spacing w:after="0"/>
              <w:rPr>
                <w:sz w:val="19"/>
                <w:szCs w:val="19"/>
                <w:color w:val="auto"/>
              </w:rPr>
            </w:pPr>
          </w:p>
        </w:tc>
        <w:tc>
          <w:tcPr>
            <w:tcW w:w="1160" w:type="dxa"/>
            <w:vAlign w:val="bottom"/>
            <w:gridSpan w:val="2"/>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Signatures</w:t>
              </w:r>
            </w:hyperlink>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20" w:type="dxa"/>
            <w:vAlign w:val="bottom"/>
            <w:tcBorders>
              <w:top w:val="single" w:sz="8" w:color="0000EE"/>
            </w:tcBorders>
          </w:tcPr>
          <w:p>
            <w:pPr>
              <w:spacing w:after="0"/>
              <w:rPr>
                <w:sz w:val="22"/>
                <w:szCs w:val="22"/>
                <w:color w:val="auto"/>
              </w:rPr>
            </w:pPr>
          </w:p>
        </w:tc>
        <w:tc>
          <w:tcPr>
            <w:tcW w:w="7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EX-31.1</w:t>
            </w:r>
          </w:p>
        </w:tc>
        <w:tc>
          <w:tcPr>
            <w:tcW w:w="400" w:type="dxa"/>
            <w:vAlign w:val="bottom"/>
          </w:tcPr>
          <w:p>
            <w:pPr>
              <w:spacing w:after="0"/>
              <w:rPr>
                <w:sz w:val="22"/>
                <w:szCs w:val="22"/>
                <w:color w:val="auto"/>
              </w:rPr>
            </w:pPr>
          </w:p>
        </w:tc>
        <w:tc>
          <w:tcPr>
            <w:tcW w:w="9300" w:type="dxa"/>
            <w:vAlign w:val="bottom"/>
            <w:gridSpan w:val="18"/>
          </w:tcPr>
          <w:p>
            <w:pPr>
              <w:spacing w:after="0"/>
              <w:rPr>
                <w:sz w:val="20"/>
                <w:szCs w:val="20"/>
                <w:color w:val="auto"/>
              </w:rPr>
            </w:pPr>
            <w:r>
              <w:rPr>
                <w:rFonts w:ascii="Arial" w:cs="Arial" w:eastAsia="Arial" w:hAnsi="Arial"/>
                <w:sz w:val="18"/>
                <w:szCs w:val="18"/>
                <w:color w:val="auto"/>
              </w:rPr>
              <w:t>CERTIFICATION OF THE CEO PURSUANT TO SECTION 302</w:t>
            </w:r>
          </w:p>
        </w:tc>
        <w:tc>
          <w:tcPr>
            <w:tcW w:w="76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EX-31.2</w:t>
            </w:r>
          </w:p>
        </w:tc>
        <w:tc>
          <w:tcPr>
            <w:tcW w:w="9300" w:type="dxa"/>
            <w:vAlign w:val="bottom"/>
            <w:gridSpan w:val="18"/>
          </w:tcPr>
          <w:p>
            <w:pPr>
              <w:spacing w:after="0"/>
              <w:rPr>
                <w:sz w:val="20"/>
                <w:szCs w:val="20"/>
                <w:color w:val="auto"/>
              </w:rPr>
            </w:pPr>
            <w:r>
              <w:rPr>
                <w:rFonts w:ascii="Arial" w:cs="Arial" w:eastAsia="Arial" w:hAnsi="Arial"/>
                <w:sz w:val="18"/>
                <w:szCs w:val="18"/>
                <w:color w:val="auto"/>
              </w:rPr>
              <w:t>CERTIFICATION OF THE CFO PURSUANT TO SECTION 302</w:t>
            </w:r>
          </w:p>
        </w:tc>
        <w:tc>
          <w:tcPr>
            <w:tcW w:w="7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EX-32.1</w:t>
            </w:r>
          </w:p>
        </w:tc>
        <w:tc>
          <w:tcPr>
            <w:tcW w:w="9300" w:type="dxa"/>
            <w:vAlign w:val="bottom"/>
            <w:gridSpan w:val="18"/>
          </w:tcPr>
          <w:p>
            <w:pPr>
              <w:spacing w:after="0"/>
              <w:rPr>
                <w:sz w:val="20"/>
                <w:szCs w:val="20"/>
                <w:color w:val="auto"/>
              </w:rPr>
            </w:pPr>
            <w:r>
              <w:rPr>
                <w:rFonts w:ascii="Arial" w:cs="Arial" w:eastAsia="Arial" w:hAnsi="Arial"/>
                <w:sz w:val="18"/>
                <w:szCs w:val="18"/>
                <w:color w:val="auto"/>
              </w:rPr>
              <w:t>CERTIFICATION OF THE CEO AND CFO PURSUANT TO SECTION 906</w:t>
            </w:r>
          </w:p>
        </w:tc>
        <w:tc>
          <w:tcPr>
            <w:tcW w:w="760" w:type="dxa"/>
            <w:vAlign w:val="bottom"/>
          </w:tcPr>
          <w:p>
            <w:pPr>
              <w:spacing w:after="0"/>
              <w:rPr>
                <w:sz w:val="21"/>
                <w:szCs w:val="21"/>
                <w:color w:val="auto"/>
              </w:rPr>
            </w:pPr>
          </w:p>
        </w:tc>
      </w:tr>
      <w:tr>
        <w:trPr>
          <w:trHeight w:val="1262"/>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4" w:lineRule="exact"/>
        <w:rPr>
          <w:sz w:val="20"/>
          <w:szCs w:val="20"/>
          <w:color w:val="auto"/>
        </w:rPr>
      </w:pPr>
    </w:p>
    <w:p>
      <w:pPr>
        <w:ind w:firstLine="509"/>
        <w:spacing w:after="0" w:line="30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Quarterly Report on Form 10-Q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9" w:lineRule="exact"/>
        <w:rPr>
          <w:sz w:val="20"/>
          <w:szCs w:val="20"/>
          <w:color w:val="auto"/>
        </w:rPr>
      </w:pPr>
    </w:p>
    <w:p>
      <w:pPr>
        <w:ind w:left="960" w:right="280"/>
        <w:spacing w:after="0" w:line="349" w:lineRule="auto"/>
        <w:rPr>
          <w:sz w:val="20"/>
          <w:szCs w:val="20"/>
          <w:color w:val="auto"/>
        </w:rPr>
      </w:pPr>
      <w:r>
        <w:rPr>
          <w:rFonts w:ascii="Arial" w:cs="Arial" w:eastAsia="Arial" w:hAnsi="Arial"/>
          <w:sz w:val="18"/>
          <w:szCs w:val="18"/>
          <w:color w:val="auto"/>
        </w:rPr>
        <w:t>our future financial performance, including our expectations regarding our revenue, cost of revenue, gross margin and operating expenses; maintaining and expanding our customer base and increasing our average subscription revenue per customer; the impact of competition in our industry and innovation by our competitors;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anticipated growth and expectations regarding our ability to manage our future growth;</w:t>
      </w:r>
    </w:p>
    <w:p>
      <w:pPr>
        <w:spacing w:after="0" w:line="90" w:lineRule="exact"/>
        <w:rPr>
          <w:sz w:val="20"/>
          <w:szCs w:val="20"/>
          <w:color w:val="auto"/>
        </w:rPr>
      </w:pPr>
    </w:p>
    <w:p>
      <w:pPr>
        <w:ind w:left="960" w:right="40"/>
        <w:spacing w:after="0" w:line="293" w:lineRule="auto"/>
        <w:rPr>
          <w:sz w:val="20"/>
          <w:szCs w:val="20"/>
          <w:color w:val="auto"/>
        </w:rPr>
      </w:pPr>
      <w:r>
        <w:rPr>
          <w:rFonts w:ascii="Arial" w:cs="Arial" w:eastAsia="Arial" w:hAnsi="Arial"/>
          <w:sz w:val="18"/>
          <w:szCs w:val="18"/>
          <w:color w:val="auto"/>
        </w:rPr>
        <w:t>our expectations regarding the potential impact of the COVID-19 pandemic on our business, operations, and the markets in which we and our partners and customers operate;</w:t>
      </w:r>
    </w:p>
    <w:p>
      <w:pPr>
        <w:spacing w:after="0" w:line="21" w:lineRule="exact"/>
        <w:rPr>
          <w:sz w:val="20"/>
          <w:szCs w:val="20"/>
          <w:color w:val="auto"/>
        </w:rPr>
      </w:pPr>
    </w:p>
    <w:p>
      <w:pPr>
        <w:ind w:left="960" w:right="380"/>
        <w:spacing w:after="0" w:line="293" w:lineRule="auto"/>
        <w:rPr>
          <w:sz w:val="20"/>
          <w:szCs w:val="20"/>
          <w:color w:val="auto"/>
        </w:rPr>
      </w:pPr>
      <w:r>
        <w:rPr>
          <w:rFonts w:ascii="Arial" w:cs="Arial" w:eastAsia="Arial" w:hAnsi="Arial"/>
          <w:sz w:val="18"/>
          <w:szCs w:val="18"/>
          <w:color w:val="auto"/>
        </w:rPr>
        <w:t>our anticipated areas of investments, including sales and marketing, research and development, customer service and support, data center infrastructure and service capabilities, and expectations relating to such investments;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predictions about industry and market trends;</w:t>
      </w:r>
    </w:p>
    <w:p>
      <w:pPr>
        <w:spacing w:after="0" w:line="90" w:lineRule="exact"/>
        <w:rPr>
          <w:sz w:val="20"/>
          <w:szCs w:val="20"/>
          <w:color w:val="auto"/>
        </w:rPr>
      </w:pPr>
    </w:p>
    <w:p>
      <w:pPr>
        <w:ind w:left="960" w:right="380"/>
        <w:spacing w:after="0" w:line="323" w:lineRule="auto"/>
        <w:rPr>
          <w:sz w:val="20"/>
          <w:szCs w:val="20"/>
          <w:color w:val="auto"/>
        </w:rPr>
      </w:pPr>
      <w:r>
        <w:rPr>
          <w:rFonts w:ascii="Arial" w:cs="Arial" w:eastAsia="Arial" w:hAnsi="Arial"/>
          <w:sz w:val="17"/>
          <w:szCs w:val="17"/>
          <w:color w:val="auto"/>
        </w:rPr>
        <w:t>our ability to anticipate and address the evolution of technology and the technological needs of our customers, to roll-out upgrades to our existing software platform and to develop new and enhanced applications to meet the needs of our customers;</w:t>
      </w:r>
    </w:p>
    <w:p>
      <w:pPr>
        <w:ind w:left="960"/>
        <w:spacing w:after="0"/>
        <w:rPr>
          <w:sz w:val="20"/>
          <w:szCs w:val="20"/>
          <w:color w:val="auto"/>
        </w:rPr>
      </w:pPr>
      <w:r>
        <w:rPr>
          <w:rFonts w:ascii="Arial" w:cs="Arial" w:eastAsia="Arial" w:hAnsi="Arial"/>
          <w:sz w:val="18"/>
          <w:szCs w:val="18"/>
          <w:color w:val="auto"/>
        </w:rPr>
        <w:t>our ability to maintain our brand and inbound marketing, selling and servicing thought leadership position;</w:t>
      </w:r>
    </w:p>
    <w:p>
      <w:pPr>
        <w:spacing w:after="0" w:line="104" w:lineRule="exact"/>
        <w:rPr>
          <w:sz w:val="20"/>
          <w:szCs w:val="20"/>
          <w:color w:val="auto"/>
        </w:rPr>
      </w:pPr>
    </w:p>
    <w:p>
      <w:pPr>
        <w:ind w:left="960" w:right="720"/>
        <w:spacing w:after="0" w:line="349" w:lineRule="auto"/>
        <w:rPr>
          <w:sz w:val="20"/>
          <w:szCs w:val="20"/>
          <w:color w:val="auto"/>
        </w:rPr>
      </w:pPr>
      <w:r>
        <w:rPr>
          <w:rFonts w:ascii="Arial" w:cs="Arial" w:eastAsia="Arial" w:hAnsi="Arial"/>
          <w:sz w:val="18"/>
          <w:szCs w:val="18"/>
          <w:color w:val="auto"/>
        </w:rPr>
        <w:t>the impact of our corporate culture and our ability to attract, hire and retain necessary qualified employees to expand our operations; the anticipated effect on our business of litigation to which we are or may become a party; our ability to successfully acquire and integrate companies and assets;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regarding declaring or paying cash dividends in the foreseeable future; and</w:t>
      </w:r>
    </w:p>
    <w:p>
      <w:pPr>
        <w:spacing w:after="0" w:line="90"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142"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74"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40" w:lineRule="exact"/>
        <w:rPr>
          <w:sz w:val="20"/>
          <w:szCs w:val="20"/>
          <w:color w:val="auto"/>
        </w:rPr>
      </w:pPr>
    </w:p>
    <w:p>
      <w:pPr>
        <w:ind w:right="440" w:firstLine="509"/>
        <w:spacing w:after="0" w:line="27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5" w:lineRule="exact"/>
        <w:rPr>
          <w:sz w:val="20"/>
          <w:szCs w:val="20"/>
          <w:color w:val="auto"/>
        </w:rPr>
      </w:pPr>
    </w:p>
    <w:p>
      <w:pPr>
        <w:ind w:right="200" w:firstLine="509"/>
        <w:spacing w:after="0" w:line="293" w:lineRule="auto"/>
        <w:rPr>
          <w:sz w:val="20"/>
          <w:szCs w:val="20"/>
          <w:color w:val="auto"/>
        </w:rPr>
      </w:pPr>
      <w:r>
        <w:rPr>
          <w:rFonts w:ascii="Arial" w:cs="Arial" w:eastAsia="Arial" w:hAnsi="Arial"/>
          <w:sz w:val="18"/>
          <w:szCs w:val="18"/>
          <w:color w:val="auto"/>
        </w:rPr>
        <w:t>In this Quarterly Report on Form 10-Q, the terms “HubSpot,” “we,” “us,” and “our” refer to HubSpot, Inc. and its subsidiaries, unless the context indicates otherwise.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256" w:lineRule="exact"/>
        <w:rPr>
          <w:sz w:val="20"/>
          <w:szCs w:val="20"/>
          <w:color w:val="auto"/>
        </w:rPr>
      </w:pPr>
    </w:p>
    <w:p>
      <w:pPr>
        <w:ind w:firstLine="749"/>
        <w:spacing w:after="0" w:line="329" w:lineRule="auto"/>
        <w:rPr>
          <w:sz w:val="20"/>
          <w:szCs w:val="20"/>
          <w:color w:val="auto"/>
        </w:rPr>
      </w:pPr>
      <w:r>
        <w:rPr>
          <w:rFonts w:ascii="Arial" w:cs="Arial" w:eastAsia="Arial" w:hAnsi="Arial"/>
          <w:sz w:val="16"/>
          <w:szCs w:val="16"/>
          <w:i w:val="1"/>
          <w:iCs w:val="1"/>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61" w:lineRule="exact"/>
        <w:rPr>
          <w:sz w:val="20"/>
          <w:szCs w:val="20"/>
          <w:color w:val="auto"/>
        </w:rPr>
      </w:pPr>
    </w:p>
    <w:p>
      <w:pPr>
        <w:ind w:left="700" w:right="280"/>
        <w:spacing w:after="0" w:line="282" w:lineRule="auto"/>
        <w:rPr>
          <w:sz w:val="20"/>
          <w:szCs w:val="20"/>
          <w:color w:val="auto"/>
        </w:rPr>
      </w:pPr>
      <w:r>
        <w:rPr>
          <w:rFonts w:ascii="Arial" w:cs="Arial" w:eastAsia="Arial" w:hAnsi="Arial"/>
          <w:sz w:val="17"/>
          <w:szCs w:val="17"/>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ind w:left="700" w:right="160"/>
        <w:spacing w:after="0" w:line="266" w:lineRule="auto"/>
        <w:rPr>
          <w:sz w:val="20"/>
          <w:szCs w:val="20"/>
          <w:color w:val="auto"/>
        </w:rPr>
      </w:pPr>
      <w:r>
        <w:rPr>
          <w:rFonts w:ascii="Arial" w:cs="Arial" w:eastAsia="Arial" w:hAnsi="Arial"/>
          <w:sz w:val="18"/>
          <w:szCs w:val="18"/>
          <w:color w:val="auto"/>
        </w:rPr>
        <w:t>We are dependent upon customer renewals, the addition of new customers, increased revenue from existing customers and the continued growth of the market for a CRM Platform.</w:t>
      </w:r>
    </w:p>
    <w:p>
      <w:pPr>
        <w:ind w:left="700" w:right="260"/>
        <w:spacing w:after="0" w:line="266" w:lineRule="auto"/>
        <w:rPr>
          <w:sz w:val="20"/>
          <w:szCs w:val="20"/>
          <w:color w:val="auto"/>
        </w:rPr>
      </w:pPr>
      <w:r>
        <w:rPr>
          <w:rFonts w:ascii="Arial" w:cs="Arial" w:eastAsia="Arial" w:hAnsi="Arial"/>
          <w:sz w:val="18"/>
          <w:szCs w:val="18"/>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ind w:left="700" w:right="160"/>
        <w:spacing w:after="0" w:line="266" w:lineRule="auto"/>
        <w:rPr>
          <w:sz w:val="20"/>
          <w:szCs w:val="20"/>
          <w:color w:val="auto"/>
        </w:rPr>
      </w:pPr>
      <w:r>
        <w:rPr>
          <w:rFonts w:ascii="Arial" w:cs="Arial" w:eastAsia="Arial" w:hAnsi="Arial"/>
          <w:sz w:val="18"/>
          <w:szCs w:val="18"/>
          <w:color w:val="auto"/>
        </w:rPr>
        <w:t>Failure to effectively develop and expand our marketing, sales, customer service, and content management capabilities could harm our ability to increase our customer base and achieve broader market acceptance of our platform.</w:t>
      </w:r>
    </w:p>
    <w:p>
      <w:pPr>
        <w:ind w:left="700" w:right="800"/>
        <w:spacing w:after="0" w:line="266" w:lineRule="auto"/>
        <w:rPr>
          <w:sz w:val="20"/>
          <w:szCs w:val="20"/>
          <w:color w:val="auto"/>
        </w:rPr>
      </w:pPr>
      <w:r>
        <w:rPr>
          <w:rFonts w:ascii="Arial" w:cs="Arial" w:eastAsia="Arial" w:hAnsi="Arial"/>
          <w:sz w:val="18"/>
          <w:szCs w:val="18"/>
          <w:color w:val="auto"/>
        </w:rPr>
        <w:t>If we fail to adapt and respond effectively to rapidly changing technology, evolving industry standards and changing customer needs or requirements, our CRM Platform may become less competitive.</w:t>
      </w:r>
    </w:p>
    <w:p>
      <w:pPr>
        <w:ind w:left="700" w:right="240"/>
        <w:spacing w:after="0" w:line="299" w:lineRule="auto"/>
        <w:rPr>
          <w:sz w:val="20"/>
          <w:szCs w:val="20"/>
          <w:color w:val="auto"/>
        </w:rPr>
      </w:pPr>
      <w:r>
        <w:rPr>
          <w:rFonts w:ascii="Arial" w:cs="Arial" w:eastAsia="Arial" w:hAnsi="Arial"/>
          <w:sz w:val="16"/>
          <w:szCs w:val="16"/>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 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 w:lineRule="exact"/>
        <w:rPr>
          <w:sz w:val="20"/>
          <w:szCs w:val="20"/>
          <w:color w:val="auto"/>
        </w:rPr>
      </w:pPr>
    </w:p>
    <w:p>
      <w:pPr>
        <w:ind w:left="700" w:right="240"/>
        <w:spacing w:after="0" w:line="266" w:lineRule="auto"/>
        <w:rPr>
          <w:sz w:val="20"/>
          <w:szCs w:val="20"/>
          <w:color w:val="auto"/>
        </w:rPr>
      </w:pPr>
      <w:r>
        <w:rPr>
          <w:rFonts w:ascii="Arial" w:cs="Arial" w:eastAsia="Arial" w:hAnsi="Arial"/>
          <w:sz w:val="18"/>
          <w:szCs w:val="18"/>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ind w:left="700" w:right="480"/>
        <w:spacing w:after="0" w:line="266" w:lineRule="auto"/>
        <w:rPr>
          <w:sz w:val="20"/>
          <w:szCs w:val="20"/>
          <w:color w:val="auto"/>
        </w:rPr>
      </w:pPr>
      <w:r>
        <w:rPr>
          <w:rFonts w:ascii="Arial" w:cs="Arial" w:eastAsia="Arial" w:hAnsi="Arial"/>
          <w:sz w:val="18"/>
          <w:szCs w:val="18"/>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 We have a history of losses and may not achieve profitability in the future.</w:t>
      </w:r>
    </w:p>
    <w:p>
      <w:pPr>
        <w:ind w:left="700" w:right="220"/>
        <w:spacing w:after="0" w:line="266" w:lineRule="auto"/>
        <w:rPr>
          <w:sz w:val="20"/>
          <w:szCs w:val="20"/>
          <w:color w:val="auto"/>
        </w:rPr>
      </w:pPr>
      <w:r>
        <w:rPr>
          <w:rFonts w:ascii="Arial" w:cs="Arial" w:eastAsia="Arial" w:hAnsi="Arial"/>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ind w:left="700" w:right="820"/>
        <w:spacing w:after="0" w:line="266" w:lineRule="auto"/>
        <w:rPr>
          <w:sz w:val="20"/>
          <w:szCs w:val="20"/>
          <w:color w:val="auto"/>
        </w:rPr>
      </w:pPr>
      <w:r>
        <w:rPr>
          <w:rFonts w:ascii="Arial" w:cs="Arial" w:eastAsia="Arial" w:hAnsi="Arial"/>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ind w:left="700"/>
        <w:spacing w:after="0"/>
        <w:rPr>
          <w:sz w:val="20"/>
          <w:szCs w:val="20"/>
          <w:color w:val="auto"/>
        </w:rPr>
      </w:pPr>
      <w:r>
        <w:rPr>
          <w:rFonts w:ascii="Arial" w:cs="Arial" w:eastAsia="Arial" w:hAnsi="Arial"/>
          <w:sz w:val="18"/>
          <w:szCs w:val="18"/>
          <w:color w:val="auto"/>
        </w:rPr>
        <w:t>Our ability to raise capital in the future may be limited, and our failure to raise capital when needed could prevent us from growing.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338,336</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378,123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875,395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tcPr>
          <w:p>
            <w:pPr>
              <w:spacing w:after="0"/>
              <w:rPr>
                <w:sz w:val="21"/>
                <w:szCs w:val="21"/>
                <w:color w:val="auto"/>
              </w:rPr>
            </w:pPr>
          </w:p>
        </w:tc>
      </w:tr>
      <w:tr>
        <w:trPr>
          <w:trHeight w:val="24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 net of allowance for doubtful accounts of $1,388 and</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720" w:type="dxa"/>
            <w:vAlign w:val="bottom"/>
            <w:shd w:val="clear" w:color="auto" w:fill="CFF0FC"/>
          </w:tcPr>
          <w:p>
            <w:pPr>
              <w:ind w:left="400"/>
              <w:spacing w:after="0"/>
              <w:rPr>
                <w:sz w:val="20"/>
                <w:szCs w:val="20"/>
                <w:color w:val="auto"/>
              </w:rPr>
            </w:pPr>
            <w:r>
              <w:rPr>
                <w:rFonts w:ascii="Arial" w:cs="Arial" w:eastAsia="Arial" w:hAnsi="Arial"/>
                <w:sz w:val="18"/>
                <w:szCs w:val="18"/>
                <w:color w:val="auto"/>
              </w:rPr>
              <w:t>$1,993 at June 30, 2021 and December 31, 2020, respectively</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117,030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126,433</w:t>
            </w:r>
          </w:p>
        </w:tc>
        <w:tc>
          <w:tcPr>
            <w:tcW w:w="100" w:type="dxa"/>
            <w:vAlign w:val="bottom"/>
            <w:shd w:val="clear" w:color="auto" w:fill="CFF0FC"/>
          </w:tcPr>
          <w:p>
            <w:pPr>
              <w:spacing w:after="0"/>
              <w:rPr>
                <w:sz w:val="21"/>
                <w:szCs w:val="21"/>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Deferred commission expense</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52,941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44,576</w:t>
            </w:r>
          </w:p>
        </w:tc>
        <w:tc>
          <w:tcPr>
            <w:tcW w:w="100" w:type="dxa"/>
            <w:vAlign w:val="bottom"/>
          </w:tcPr>
          <w:p>
            <w:pPr>
              <w:spacing w:after="0"/>
              <w:rPr>
                <w:sz w:val="21"/>
                <w:szCs w:val="21"/>
                <w:color w:val="auto"/>
              </w:rPr>
            </w:pPr>
          </w:p>
        </w:tc>
      </w:tr>
      <w:tr>
        <w:trPr>
          <w:trHeight w:val="263"/>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42,626</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1,426,328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1,456,921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83,762</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97,885</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101,123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257,323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275,893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commission expense, net of current portion</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35,211</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28,296</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25,157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shd w:val="clear" w:color="auto" w:fill="CFF0FC"/>
          </w:tcPr>
          <w:p>
            <w:pPr>
              <w:spacing w:after="0"/>
              <w:rPr>
                <w:sz w:val="22"/>
                <w:szCs w:val="22"/>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47,789</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100" w:type="dxa"/>
            <w:vAlign w:val="bottom"/>
          </w:tcPr>
          <w:p>
            <w:pPr>
              <w:spacing w:after="0"/>
              <w:rPr>
                <w:sz w:val="22"/>
                <w:szCs w:val="22"/>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2,018,612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12,178</w:t>
            </w:r>
          </w:p>
        </w:tc>
        <w:tc>
          <w:tcPr>
            <w:tcW w:w="3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13,540</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compensation costs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51,986</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44,744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37,184</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senior notes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64,762</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31,410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30,020</w:t>
            </w:r>
          </w:p>
        </w:tc>
        <w:tc>
          <w:tcPr>
            <w:tcW w:w="100" w:type="dxa"/>
            <w:vAlign w:val="bottom"/>
          </w:tcPr>
          <w:p>
            <w:pPr>
              <w:spacing w:after="0"/>
              <w:rPr>
                <w:sz w:val="21"/>
                <w:szCs w:val="21"/>
                <w:color w:val="auto"/>
              </w:rPr>
            </w:pPr>
          </w:p>
        </w:tc>
      </w:tr>
      <w:tr>
        <w:trPr>
          <w:trHeight w:val="263"/>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358,830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312,866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563,910</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445,501</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259,696</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279,664</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12,056</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shd w:val="clear" w:color="auto" w:fill="CFF0FC"/>
          </w:tcPr>
          <w:p>
            <w:pPr>
              <w:spacing w:after="0"/>
              <w:rPr>
                <w:sz w:val="22"/>
                <w:szCs w:val="22"/>
                <w:color w:val="auto"/>
              </w:rPr>
            </w:pPr>
          </w:p>
        </w:tc>
      </w:tr>
      <w:tr>
        <w:trPr>
          <w:trHeight w:val="257"/>
        </w:trPr>
        <w:tc>
          <w:tcPr>
            <w:tcW w:w="772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373,863</w:t>
            </w: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471,099</w:t>
            </w:r>
          </w:p>
        </w:tc>
        <w:tc>
          <w:tcPr>
            <w:tcW w:w="100" w:type="dxa"/>
            <w:vAlign w:val="bottom"/>
          </w:tcPr>
          <w:p>
            <w:pPr>
              <w:spacing w:after="0"/>
              <w:rPr>
                <w:sz w:val="22"/>
                <w:szCs w:val="22"/>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1,212,928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1,334,301</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1,241,167</w:t>
            </w:r>
          </w:p>
        </w:tc>
        <w:tc>
          <w:tcPr>
            <w:tcW w:w="100" w:type="dxa"/>
            <w:vAlign w:val="bottom"/>
            <w:shd w:val="clear" w:color="auto" w:fill="CFF0FC"/>
          </w:tcPr>
          <w:p>
            <w:pPr>
              <w:spacing w:after="0"/>
              <w:rPr>
                <w:sz w:val="22"/>
                <w:szCs w:val="22"/>
                <w:color w:val="auto"/>
              </w:rPr>
            </w:pP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21"/>
                <w:szCs w:val="21"/>
                <w:color w:val="auto"/>
              </w:rPr>
            </w:pPr>
          </w:p>
        </w:tc>
      </w:tr>
      <w:tr>
        <w:trPr>
          <w:trHeight w:val="263"/>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(530,892 )</w:t>
            </w:r>
          </w:p>
        </w:tc>
        <w:tc>
          <w:tcPr>
            <w:tcW w:w="2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(483,161 )</w:t>
            </w:r>
          </w:p>
        </w:tc>
      </w:tr>
      <w:tr>
        <w:trPr>
          <w:trHeight w:val="250"/>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805,684</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762,655</w:t>
            </w:r>
          </w:p>
        </w:tc>
        <w:tc>
          <w:tcPr>
            <w:tcW w:w="100" w:type="dxa"/>
            <w:vAlign w:val="bottom"/>
            <w:tcBorders>
              <w:top w:val="single" w:sz="8" w:color="CFF0FC"/>
            </w:tcBorders>
          </w:tcPr>
          <w:p>
            <w:pPr>
              <w:spacing w:after="0"/>
              <w:rPr>
                <w:sz w:val="21"/>
                <w:szCs w:val="21"/>
                <w:color w:val="auto"/>
              </w:rPr>
            </w:pPr>
          </w:p>
        </w:tc>
      </w:tr>
      <w:tr>
        <w:trPr>
          <w:trHeight w:val="29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2,018,612</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1,973,366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-5320030</wp:posOffset>
            </wp:positionV>
            <wp:extent cx="18859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-5320030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-3676650</wp:posOffset>
            </wp:positionV>
            <wp:extent cx="188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-3659505</wp:posOffset>
            </wp:positionV>
            <wp:extent cx="1885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-2345055</wp:posOffset>
            </wp:positionV>
            <wp:extent cx="18859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-1350645</wp:posOffset>
            </wp:positionV>
            <wp:extent cx="18859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-365125</wp:posOffset>
            </wp:positionV>
            <wp:extent cx="18859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1885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188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 June 30,</w:t>
            </w:r>
          </w:p>
        </w:tc>
        <w:tc>
          <w:tcPr>
            <w:tcW w:w="120" w:type="dxa"/>
            <w:vAlign w:val="bottom"/>
          </w:tcPr>
          <w:p>
            <w:pPr>
              <w:spacing w:after="0"/>
              <w:rPr>
                <w:sz w:val="16"/>
                <w:szCs w:val="16"/>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96"/>
        </w:trPr>
        <w:tc>
          <w:tcPr>
            <w:tcW w:w="5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80"/>
              <w:spacing w:after="0"/>
              <w:rPr>
                <w:sz w:val="20"/>
                <w:szCs w:val="20"/>
                <w:color w:val="auto"/>
              </w:rPr>
            </w:pPr>
            <w:r>
              <w:rPr>
                <w:rFonts w:ascii="Arial" w:cs="Arial" w:eastAsia="Arial" w:hAnsi="Arial"/>
                <w:sz w:val="18"/>
                <w:szCs w:val="18"/>
                <w:color w:val="auto"/>
              </w:rPr>
              <w:t>Subscription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300,423</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196,415</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570,686</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387,643</w:t>
            </w:r>
          </w:p>
        </w:tc>
        <w:tc>
          <w:tcPr>
            <w:tcW w:w="100" w:type="dxa"/>
            <w:vAlign w:val="bottom"/>
          </w:tcPr>
          <w:p>
            <w:pPr>
              <w:spacing w:after="0"/>
              <w:rPr>
                <w:sz w:val="21"/>
                <w:szCs w:val="21"/>
                <w:color w:val="auto"/>
              </w:rPr>
            </w:pPr>
          </w:p>
        </w:tc>
      </w:tr>
      <w:tr>
        <w:trPr>
          <w:trHeight w:val="263"/>
        </w:trPr>
        <w:tc>
          <w:tcPr>
            <w:tcW w:w="5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Professional services and other</w:t>
            </w: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10,365</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21,467</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00" w:type="dxa"/>
            <w:vAlign w:val="bottom"/>
          </w:tcPr>
          <w:p>
            <w:pPr>
              <w:ind w:left="78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310,788</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592,153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402,575</w:t>
            </w:r>
          </w:p>
        </w:tc>
        <w:tc>
          <w:tcPr>
            <w:tcW w:w="100" w:type="dxa"/>
            <w:vAlign w:val="bottom"/>
          </w:tcPr>
          <w:p>
            <w:pPr>
              <w:spacing w:after="0"/>
              <w:rPr>
                <w:sz w:val="21"/>
                <w:szCs w:val="21"/>
                <w:color w:val="auto"/>
              </w:rPr>
            </w:pPr>
          </w:p>
        </w:tc>
      </w:tr>
      <w:tr>
        <w:trPr>
          <w:trHeight w:val="25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600" w:type="dxa"/>
            <w:vAlign w:val="bottom"/>
          </w:tcPr>
          <w:p>
            <w:pPr>
              <w:ind w:left="280"/>
              <w:spacing w:after="0"/>
              <w:rPr>
                <w:sz w:val="20"/>
                <w:szCs w:val="20"/>
                <w:color w:val="auto"/>
              </w:rPr>
            </w:pPr>
            <w:r>
              <w:rPr>
                <w:rFonts w:ascii="Arial" w:cs="Arial" w:eastAsia="Arial" w:hAnsi="Arial"/>
                <w:sz w:val="18"/>
                <w:szCs w:val="18"/>
                <w:color w:val="auto"/>
              </w:rPr>
              <w:t>Subscription</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51,134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94,986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60,135</w:t>
            </w:r>
          </w:p>
        </w:tc>
        <w:tc>
          <w:tcPr>
            <w:tcW w:w="100" w:type="dxa"/>
            <w:vAlign w:val="bottom"/>
          </w:tcPr>
          <w:p>
            <w:pPr>
              <w:spacing w:after="0"/>
              <w:rPr>
                <w:sz w:val="21"/>
                <w:szCs w:val="21"/>
                <w:color w:val="auto"/>
              </w:rPr>
            </w:pPr>
          </w:p>
        </w:tc>
      </w:tr>
      <w:tr>
        <w:trPr>
          <w:trHeight w:val="263"/>
        </w:trPr>
        <w:tc>
          <w:tcPr>
            <w:tcW w:w="5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Professional services and other</w:t>
            </w: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11,743</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22,625</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00" w:type="dxa"/>
            <w:vAlign w:val="bottom"/>
          </w:tcPr>
          <w:p>
            <w:pPr>
              <w:ind w:left="78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62,877</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77,061</w:t>
            </w:r>
          </w:p>
        </w:tc>
        <w:tc>
          <w:tcPr>
            <w:tcW w:w="100" w:type="dxa"/>
            <w:vAlign w:val="bottom"/>
          </w:tcPr>
          <w:p>
            <w:pPr>
              <w:spacing w:after="0"/>
              <w:rPr>
                <w:sz w:val="21"/>
                <w:szCs w:val="21"/>
                <w:color w:val="auto"/>
              </w:rPr>
            </w:pPr>
          </w:p>
        </w:tc>
      </w:tr>
      <w:tr>
        <w:trPr>
          <w:trHeight w:val="25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247,911</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164,831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474,542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72,104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95,573</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157,799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298,817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204,928</w:t>
            </w:r>
          </w:p>
        </w:tc>
        <w:tc>
          <w:tcPr>
            <w:tcW w:w="100" w:type="dxa"/>
            <w:vAlign w:val="bottom"/>
          </w:tcPr>
          <w:p>
            <w:pPr>
              <w:spacing w:after="0"/>
              <w:rPr>
                <w:sz w:val="21"/>
                <w:szCs w:val="21"/>
                <w:color w:val="auto"/>
              </w:rPr>
            </w:pPr>
          </w:p>
        </w:tc>
      </w:tr>
      <w:tr>
        <w:trPr>
          <w:trHeight w:val="263"/>
        </w:trPr>
        <w:tc>
          <w:tcPr>
            <w:tcW w:w="56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34,610</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26,484</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66,860</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264,513</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178,456</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506,177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353,242</w:t>
            </w:r>
          </w:p>
        </w:tc>
        <w:tc>
          <w:tcPr>
            <w:tcW w:w="100" w:type="dxa"/>
            <w:vAlign w:val="bottom"/>
          </w:tcPr>
          <w:p>
            <w:pPr>
              <w:spacing w:after="0"/>
              <w:rPr>
                <w:sz w:val="21"/>
                <w:szCs w:val="21"/>
                <w:color w:val="auto"/>
              </w:rPr>
            </w:pPr>
          </w:p>
        </w:tc>
      </w:tr>
      <w:tr>
        <w:trPr>
          <w:trHeight w:val="25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(16,602 )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(13,625 )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(31,635 )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(27,728 )</w:t>
            </w:r>
          </w:p>
        </w:tc>
      </w:tr>
      <w:tr>
        <w:trPr>
          <w:trHeight w:val="243"/>
        </w:trPr>
        <w:tc>
          <w:tcPr>
            <w:tcW w:w="5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expense:</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6,192</w:t>
            </w:r>
          </w:p>
        </w:tc>
        <w:tc>
          <w:tcPr>
            <w:tcW w:w="100" w:type="dxa"/>
            <w:vAlign w:val="bottom"/>
            <w:shd w:val="clear" w:color="auto" w:fill="CFF0FC"/>
          </w:tcPr>
          <w:p>
            <w:pPr>
              <w:spacing w:after="0"/>
              <w:rPr>
                <w:sz w:val="22"/>
                <w:szCs w:val="22"/>
                <w:color w:val="auto"/>
              </w:rPr>
            </w:pPr>
          </w:p>
        </w:tc>
      </w:tr>
      <w:tr>
        <w:trPr>
          <w:trHeight w:val="250"/>
        </w:trPr>
        <w:tc>
          <w:tcPr>
            <w:tcW w:w="56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(7,179 )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(16,809 )</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(16,578 )</w:t>
            </w: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(22,761 )</w:t>
            </w:r>
          </w:p>
        </w:tc>
      </w:tr>
      <w:tr>
        <w:trPr>
          <w:trHeight w:val="263"/>
        </w:trPr>
        <w:tc>
          <w:tcPr>
            <w:tcW w:w="5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(91 )</w:t>
            </w:r>
          </w:p>
        </w:tc>
        <w:tc>
          <w:tcPr>
            <w:tcW w:w="1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(1,143 )</w:t>
            </w:r>
          </w:p>
        </w:tc>
      </w:tr>
      <w:tr>
        <w:trPr>
          <w:trHeight w:val="20"/>
        </w:trPr>
        <w:tc>
          <w:tcPr>
            <w:tcW w:w="5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600" w:type="dxa"/>
            <w:vAlign w:val="bottom"/>
          </w:tcPr>
          <w:p>
            <w:pPr>
              <w:ind w:left="520"/>
              <w:spacing w:after="0"/>
              <w:rPr>
                <w:sz w:val="20"/>
                <w:szCs w:val="20"/>
                <w:color w:val="auto"/>
              </w:rPr>
            </w:pPr>
            <w:r>
              <w:rPr>
                <w:rFonts w:ascii="Arial" w:cs="Arial" w:eastAsia="Arial" w:hAnsi="Arial"/>
                <w:sz w:val="18"/>
                <w:szCs w:val="18"/>
                <w:color w:val="auto"/>
              </w:rPr>
              <w:t>Total other expense</w:t>
            </w:r>
          </w:p>
        </w:tc>
        <w:tc>
          <w:tcPr>
            <w:tcW w:w="1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(6,310 )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(14,765 )</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(14,574 )</w:t>
            </w:r>
          </w:p>
        </w:tc>
        <w:tc>
          <w:tcPr>
            <w:tcW w:w="26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(17,712 )</w:t>
            </w: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 expense</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(22,912 )</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(28,390 )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(46,209 )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(45,440 )</w:t>
            </w:r>
          </w:p>
        </w:tc>
      </w:tr>
      <w:tr>
        <w:trPr>
          <w:trHeight w:val="257"/>
        </w:trPr>
        <w:tc>
          <w:tcPr>
            <w:tcW w:w="5600" w:type="dxa"/>
            <w:vAlign w:val="bottom"/>
          </w:tcPr>
          <w:p>
            <w:pPr>
              <w:ind w:left="5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(1,660 )</w:t>
            </w:r>
          </w:p>
        </w:tc>
        <w:tc>
          <w:tcPr>
            <w:tcW w:w="3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(1,011 )</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(1,522 )</w:t>
            </w:r>
          </w:p>
        </w:tc>
        <w:tc>
          <w:tcPr>
            <w:tcW w:w="2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(1,677 )</w:t>
            </w: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(24,572 )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(29,401 )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(47,731 )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(47,117 )</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(0.53 )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(0.67 )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(1.08 )</w:t>
            </w: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used in</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computing basic and diluted net loss per share:</w:t>
            </w: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46,777</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-3845560</wp:posOffset>
            </wp:positionV>
            <wp:extent cx="171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-3845560</wp:posOffset>
            </wp:positionV>
            <wp:extent cx="1625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-3845560</wp:posOffset>
            </wp:positionV>
            <wp:extent cx="1543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-3845560</wp:posOffset>
            </wp:positionV>
            <wp:extent cx="685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-3176905</wp:posOffset>
            </wp:positionV>
            <wp:extent cx="1714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-3176905</wp:posOffset>
            </wp:positionV>
            <wp:extent cx="1625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-3176905</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-3176905</wp:posOffset>
            </wp:positionV>
            <wp:extent cx="685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-2834005</wp:posOffset>
            </wp:positionV>
            <wp:extent cx="17145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-2834005</wp:posOffset>
            </wp:positionV>
            <wp:extent cx="1625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-2834005</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-2834005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-2173605</wp:posOffset>
            </wp:positionV>
            <wp:extent cx="1714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-2173605</wp:posOffset>
            </wp:positionV>
            <wp:extent cx="1625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-2173605</wp:posOffset>
            </wp:positionV>
            <wp:extent cx="15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-1830705</wp:posOffset>
            </wp:positionV>
            <wp:extent cx="1714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-1830705</wp:posOffset>
            </wp:positionV>
            <wp:extent cx="1625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-1830705</wp:posOffset>
            </wp:positionV>
            <wp:extent cx="15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-1830705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-1170940</wp:posOffset>
            </wp:positionV>
            <wp:extent cx="1714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-1170940</wp:posOffset>
            </wp:positionV>
            <wp:extent cx="16256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-1170940</wp:posOffset>
            </wp:positionV>
            <wp:extent cx="1543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-1170940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-496570</wp:posOffset>
            </wp:positionV>
            <wp:extent cx="1714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-479425</wp:posOffset>
            </wp:positionV>
            <wp:extent cx="171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-496570</wp:posOffset>
            </wp:positionV>
            <wp:extent cx="1625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-479425</wp:posOffset>
            </wp:positionV>
            <wp:extent cx="1625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154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-479425</wp:posOffset>
            </wp:positionV>
            <wp:extent cx="154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For the Three Months Ended June 30,</w:t>
            </w:r>
          </w:p>
        </w:tc>
        <w:tc>
          <w:tcPr>
            <w:tcW w:w="160" w:type="dxa"/>
            <w:vAlign w:val="bottom"/>
          </w:tcPr>
          <w:p>
            <w:pPr>
              <w:spacing w:after="0"/>
              <w:rPr>
                <w:sz w:val="16"/>
                <w:szCs w:val="16"/>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(24,572 )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(29,401 )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(47,731 )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(47,117 )</w:t>
            </w:r>
          </w:p>
        </w:tc>
        <w:tc>
          <w:tcPr>
            <w:tcW w:w="0" w:type="dxa"/>
            <w:vAlign w:val="bottom"/>
          </w:tcPr>
          <w:p>
            <w:pPr>
              <w:spacing w:after="0"/>
              <w:rPr>
                <w:sz w:val="1"/>
                <w:szCs w:val="1"/>
                <w:color w:val="auto"/>
              </w:rPr>
            </w:pP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(1,955 )</w:t>
            </w:r>
          </w:p>
        </w:tc>
        <w:tc>
          <w:tcPr>
            <w:tcW w:w="28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540" w:type="dxa"/>
            <w:vAlign w:val="bottom"/>
          </w:tcPr>
          <w:p>
            <w:pPr>
              <w:ind w:left="280"/>
              <w:spacing w:after="0"/>
              <w:rPr>
                <w:sz w:val="20"/>
                <w:szCs w:val="20"/>
                <w:color w:val="auto"/>
              </w:rPr>
            </w:pPr>
            <w:r>
              <w:rPr>
                <w:rFonts w:ascii="Arial" w:cs="Arial" w:eastAsia="Arial" w:hAnsi="Arial"/>
                <w:sz w:val="18"/>
                <w:szCs w:val="18"/>
                <w:color w:val="auto"/>
              </w:rPr>
              <w:t>Changes in unrealized (loss) gain on investments, net of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income taxes of ($7) and ($43) for the three and six</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months ended June 30, 2021, and $0 and ($76) thousand</w:t>
            </w:r>
          </w:p>
        </w:tc>
        <w:tc>
          <w:tcPr>
            <w:tcW w:w="140" w:type="dxa"/>
            <w:vAlign w:val="bottom"/>
          </w:tcPr>
          <w:p>
            <w:pPr>
              <w:spacing w:after="0"/>
              <w:rPr>
                <w:sz w:val="19"/>
                <w:szCs w:val="19"/>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(180 )</w:t>
            </w:r>
          </w:p>
        </w:tc>
        <w:tc>
          <w:tcPr>
            <w:tcW w:w="3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(420 )</w:t>
            </w:r>
          </w:p>
        </w:tc>
        <w:tc>
          <w:tcPr>
            <w:tcW w:w="2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for the three and six months ended June 30, 2020</w:t>
            </w:r>
          </w:p>
        </w:tc>
        <w:tc>
          <w:tcPr>
            <w:tcW w:w="1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(24,218 )</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(28,110 )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(50,106 )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(46,320 )</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1714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714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714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71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154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For the Six Months Ended June 30,</w:t>
            </w:r>
          </w:p>
        </w:tc>
      </w:tr>
      <w:tr>
        <w:trPr>
          <w:trHeight w:val="196"/>
        </w:trPr>
        <w:tc>
          <w:tcPr>
            <w:tcW w:w="8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(47,731 )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(47,117 )</w:t>
            </w:r>
          </w:p>
        </w:tc>
      </w:tr>
      <w:tr>
        <w:trPr>
          <w:trHeight w:val="216"/>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loss to net cash and cash equivalents provided</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81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by operating activities</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21,736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17,683</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75,856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58,837</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rPr>
              <w:t>Loss on early extinguishment of 2022 Convertible Notes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10,493</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2022 Convertible Notes attributable to the debt discount</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(13,028 )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(48,675 )</w:t>
            </w: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rPr>
              <w:t>Gain on strategic investments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(1,022 )</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8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Benefit from deferred income taxes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(1,120 )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(422 )</w:t>
            </w: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12,512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11,662</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(accretion) of bond discount</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(3,490 )</w:t>
            </w:r>
          </w:p>
        </w:tc>
      </w:tr>
      <w:tr>
        <w:trPr>
          <w:trHeight w:val="220"/>
        </w:trPr>
        <w:tc>
          <w:tcPr>
            <w:tcW w:w="8120" w:type="dxa"/>
            <w:vAlign w:val="bottom"/>
          </w:tcPr>
          <w:p>
            <w:pPr>
              <w:ind w:left="380"/>
              <w:spacing w:after="0"/>
              <w:rPr>
                <w:sz w:val="20"/>
                <w:szCs w:val="20"/>
                <w:color w:val="auto"/>
              </w:rPr>
            </w:pPr>
            <w:r>
              <w:rPr>
                <w:rFonts w:ascii="Arial" w:cs="Arial" w:eastAsia="Arial" w:hAnsi="Arial"/>
                <w:sz w:val="16"/>
                <w:szCs w:val="16"/>
                <w:color w:val="auto"/>
              </w:rPr>
              <w:t>Unrealized currency translation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8,944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(7,694 )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(20,420 )</w:t>
            </w:r>
          </w:p>
        </w:tc>
      </w:tr>
      <w:tr>
        <w:trPr>
          <w:trHeight w:val="220"/>
        </w:trPr>
        <w:tc>
          <w:tcPr>
            <w:tcW w:w="8120" w:type="dxa"/>
            <w:vAlign w:val="bottom"/>
          </w:tcPr>
          <w:p>
            <w:pPr>
              <w:ind w:left="560"/>
              <w:spacing w:after="0"/>
              <w:rPr>
                <w:sz w:val="20"/>
                <w:szCs w:val="20"/>
                <w:color w:val="auto"/>
              </w:rPr>
            </w:pPr>
            <w:r>
              <w:rPr>
                <w:rFonts w:ascii="Arial" w:cs="Arial" w:eastAsia="Arial" w:hAnsi="Arial"/>
                <w:sz w:val="16"/>
                <w:szCs w:val="16"/>
                <w:color w:val="auto"/>
              </w:rPr>
              <w:t>Deferred commission expense</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(16,402 )</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(5,837 )</w:t>
            </w:r>
          </w:p>
        </w:tc>
      </w:tr>
      <w:tr>
        <w:trPr>
          <w:trHeight w:val="239"/>
        </w:trPr>
        <w:tc>
          <w:tcPr>
            <w:tcW w:w="81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Right-of-use assets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18,547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13,398</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(1,269 )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15,533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56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(18,374 )</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(12,314 )</w:t>
            </w:r>
          </w:p>
        </w:tc>
      </w:tr>
      <w:tr>
        <w:trPr>
          <w:trHeight w:val="236"/>
        </w:trPr>
        <w:tc>
          <w:tcPr>
            <w:tcW w:w="81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49,365</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8120" w:type="dxa"/>
            <w:vAlign w:val="bottom"/>
          </w:tcPr>
          <w:p>
            <w:pPr>
              <w:ind w:left="740"/>
              <w:spacing w:after="0"/>
              <w:rPr>
                <w:sz w:val="20"/>
                <w:szCs w:val="20"/>
                <w:color w:val="auto"/>
              </w:rPr>
            </w:pPr>
            <w:r>
              <w:rPr>
                <w:rFonts w:ascii="Arial" w:cs="Arial" w:eastAsia="Arial" w:hAnsi="Arial"/>
                <w:sz w:val="16"/>
                <w:szCs w:val="16"/>
                <w:color w:val="auto"/>
              </w:rPr>
              <w:t>Net cash and cash equivalents provided by (used in) operating activities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100,891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(10,679 )</w:t>
            </w:r>
          </w:p>
        </w:tc>
      </w:tr>
      <w:tr>
        <w:trPr>
          <w:trHeight w:val="226"/>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(654,063 )</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(967,028 )</w:t>
            </w: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Maturities of investments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596,602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710,002</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Sale of investments</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10,932</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(10,746 )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(19,897 )</w:t>
            </w: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Acquisition of a business, net of cash acquired</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(16,810 )</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strategic investments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(6,202 )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(1,000 )</w:t>
            </w: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(3,100 )</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6"/>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Capitalization of software development costs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(16,421 )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(10,163 )</w:t>
            </w:r>
          </w:p>
        </w:tc>
      </w:tr>
      <w:tr>
        <w:trPr>
          <w:trHeight w:val="20"/>
        </w:trPr>
        <w:tc>
          <w:tcPr>
            <w:tcW w:w="8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8120" w:type="dxa"/>
            <w:vAlign w:val="bottom"/>
          </w:tcPr>
          <w:p>
            <w:pPr>
              <w:ind w:left="740"/>
              <w:spacing w:after="0"/>
              <w:rPr>
                <w:sz w:val="20"/>
                <w:szCs w:val="20"/>
                <w:color w:val="auto"/>
              </w:rPr>
            </w:pPr>
            <w:r>
              <w:rPr>
                <w:rFonts w:ascii="Arial" w:cs="Arial" w:eastAsia="Arial" w:hAnsi="Arial"/>
                <w:sz w:val="16"/>
                <w:szCs w:val="16"/>
                <w:color w:val="auto"/>
              </w:rPr>
              <w:t>Net cash and cash equivalents used in investing activities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(110,740 )</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(277,154 )</w:t>
            </w:r>
          </w:p>
        </w:tc>
      </w:tr>
      <w:tr>
        <w:trPr>
          <w:trHeight w:val="226"/>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Proceeds from settlement of Convertible Note Hedges related to the 2022 Convertible Notes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362,492</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2025 Convertible Notes, net of issuance costs paid of $9.4 million</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450,614</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Payments for settlement of Warrants related to the 2022 Convertible Notes</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(327,543 )</w:t>
            </w: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2022 Convertible Notes attributable to the principal</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(45,409 )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(234,366 )</w:t>
            </w: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Payments for Capped Call Options related to the 2025 Convertible Notes</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(50,600 )</w:t>
            </w:r>
          </w:p>
        </w:tc>
      </w:tr>
      <w:tr>
        <w:trPr>
          <w:trHeight w:val="239"/>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Employee taxes paid related to the net share settlement of stock-based awards</w:t>
            </w:r>
          </w:p>
        </w:tc>
        <w:tc>
          <w:tcPr>
            <w:tcW w:w="2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(6,913 )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(2,200 )</w:t>
            </w:r>
          </w:p>
        </w:tc>
      </w:tr>
      <w:tr>
        <w:trPr>
          <w:trHeight w:val="220"/>
        </w:trPr>
        <w:tc>
          <w:tcPr>
            <w:tcW w:w="8120" w:type="dxa"/>
            <w:vAlign w:val="bottom"/>
          </w:tcPr>
          <w:p>
            <w:pPr>
              <w:ind w:left="200"/>
              <w:spacing w:after="0"/>
              <w:rPr>
                <w:sz w:val="20"/>
                <w:szCs w:val="20"/>
                <w:color w:val="auto"/>
              </w:rPr>
            </w:pPr>
            <w:r>
              <w:rPr>
                <w:rFonts w:ascii="Arial" w:cs="Arial" w:eastAsia="Arial" w:hAnsi="Arial"/>
                <w:sz w:val="16"/>
                <w:szCs w:val="16"/>
                <w:color w:val="auto"/>
              </w:rPr>
              <w:t>Proceeds related to the issuance of common stock under stock plans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24,868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15,208</w:t>
            </w:r>
          </w:p>
        </w:tc>
        <w:tc>
          <w:tcPr>
            <w:tcW w:w="100" w:type="dxa"/>
            <w:vAlign w:val="bottom"/>
          </w:tcPr>
          <w:p>
            <w:pPr>
              <w:spacing w:after="0"/>
              <w:rPr>
                <w:sz w:val="19"/>
                <w:szCs w:val="19"/>
                <w:color w:val="auto"/>
              </w:rPr>
            </w:pPr>
          </w:p>
        </w:tc>
      </w:tr>
      <w:tr>
        <w:trPr>
          <w:trHeight w:val="236"/>
        </w:trPr>
        <w:tc>
          <w:tcPr>
            <w:tcW w:w="8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of finance lease obligations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(28 )</w:t>
            </w:r>
          </w:p>
        </w:tc>
      </w:tr>
      <w:tr>
        <w:trPr>
          <w:trHeight w:val="20"/>
        </w:trPr>
        <w:tc>
          <w:tcPr>
            <w:tcW w:w="8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8120" w:type="dxa"/>
            <w:vAlign w:val="bottom"/>
          </w:tcPr>
          <w:p>
            <w:pPr>
              <w:ind w:left="740"/>
              <w:spacing w:after="0"/>
              <w:rPr>
                <w:sz w:val="20"/>
                <w:szCs w:val="20"/>
                <w:color w:val="auto"/>
              </w:rPr>
            </w:pPr>
            <w:r>
              <w:rPr>
                <w:rFonts w:ascii="Arial" w:cs="Arial" w:eastAsia="Arial" w:hAnsi="Arial"/>
                <w:sz w:val="16"/>
                <w:szCs w:val="16"/>
                <w:color w:val="auto"/>
              </w:rPr>
              <w:t>Net cash and cash equivalents (used in) provided by financing activities</w:t>
            </w:r>
          </w:p>
        </w:tc>
        <w:tc>
          <w:tcPr>
            <w:tcW w:w="26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(26,729 )</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213,577</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(3,209 )</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(144 )</w:t>
            </w:r>
          </w:p>
        </w:tc>
      </w:tr>
      <w:tr>
        <w:trPr>
          <w:trHeight w:val="20"/>
        </w:trPr>
        <w:tc>
          <w:tcPr>
            <w:tcW w:w="8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(39,787 )</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(74,400 )</w:t>
            </w:r>
          </w:p>
        </w:tc>
      </w:tr>
      <w:tr>
        <w:trPr>
          <w:trHeight w:val="236"/>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381,152</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278,515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81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341,365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204,115</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948</w:t>
            </w:r>
          </w:p>
        </w:tc>
        <w:tc>
          <w:tcPr>
            <w:tcW w:w="2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income taxes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3,767</w:t>
            </w:r>
          </w:p>
        </w:tc>
        <w:tc>
          <w:tcPr>
            <w:tcW w:w="2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51,742</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Issuance of common stock for repayment of 2022 Convertible Notes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209,859</w:t>
            </w:r>
          </w:p>
        </w:tc>
        <w:tc>
          <w:tcPr>
            <w:tcW w:w="2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330,497</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 incurred but not yet paid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FF0FC"/>
          </w:tcPr>
          <w:p>
            <w:pPr>
              <w:spacing w:after="0"/>
              <w:rPr>
                <w:sz w:val="20"/>
                <w:szCs w:val="20"/>
                <w:color w:val="auto"/>
              </w:rPr>
            </w:pPr>
          </w:p>
        </w:tc>
      </w:tr>
      <w:tr>
        <w:trPr>
          <w:trHeight w:val="220"/>
        </w:trPr>
        <w:tc>
          <w:tcPr>
            <w:tcW w:w="8120" w:type="dxa"/>
            <w:vAlign w:val="bottom"/>
          </w:tcPr>
          <w:p>
            <w:pPr>
              <w:ind w:left="20"/>
              <w:spacing w:after="0"/>
              <w:rPr>
                <w:sz w:val="20"/>
                <w:szCs w:val="20"/>
                <w:color w:val="auto"/>
              </w:rPr>
            </w:pPr>
            <w:r>
              <w:rPr>
                <w:rFonts w:ascii="Arial" w:cs="Arial" w:eastAsia="Arial" w:hAnsi="Arial"/>
                <w:sz w:val="16"/>
                <w:szCs w:val="16"/>
                <w:color w:val="auto"/>
              </w:rPr>
              <w:t>Asset retirement obligations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r>
      <w:tr>
        <w:trPr>
          <w:trHeight w:val="239"/>
        </w:trPr>
        <w:tc>
          <w:tcPr>
            <w:tcW w:w="8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 Convertible Notes issuance costs incurred but not paid</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-5045710</wp:posOffset>
            </wp:positionV>
            <wp:extent cx="17145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-5045710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-3571240</wp:posOffset>
            </wp:positionV>
            <wp:extent cx="17145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-3571240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-2096770</wp:posOffset>
            </wp:positionV>
            <wp:extent cx="17145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-2096770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-1788160</wp:posOffset>
            </wp:positionV>
            <wp:extent cx="17145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-1788160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-1487805</wp:posOffset>
            </wp:positionV>
            <wp:extent cx="1714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-1487805</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91"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HubSpot,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43" w:lineRule="exact"/>
        <w:rPr>
          <w:sz w:val="20"/>
          <w:szCs w:val="20"/>
          <w:color w:val="auto"/>
        </w:rPr>
      </w:pPr>
    </w:p>
    <w:p>
      <w:pPr>
        <w:ind w:right="80" w:firstLine="441"/>
        <w:spacing w:after="0" w:line="275" w:lineRule="auto"/>
        <w:rPr>
          <w:sz w:val="20"/>
          <w:szCs w:val="20"/>
          <w:color w:val="auto"/>
        </w:rPr>
      </w:pPr>
      <w:r>
        <w:rPr>
          <w:rFonts w:ascii="Arial" w:cs="Arial" w:eastAsia="Arial" w:hAnsi="Arial"/>
          <w:sz w:val="18"/>
          <w:szCs w:val="18"/>
          <w:color w:val="auto"/>
        </w:rPr>
        <w:t>HubSpot, Inc. (the “Company”) provides a cloud-based customer relationship management (“CRM”) Platform, that enables companies to attract, engage, and delight customers throughout the customer experience. The Company’s CRM Platform comprised of Marketing Hub, Sales Hub, Service Hub, content management system ("CMS") Hub and Operations Hub (released in April 2021) features integrated applications and tools that enable businesses to create a cohesive and adaptable customer experience.</w:t>
      </w:r>
    </w:p>
    <w:p>
      <w:pPr>
        <w:spacing w:after="0" w:line="185" w:lineRule="exact"/>
        <w:rPr>
          <w:sz w:val="20"/>
          <w:szCs w:val="20"/>
          <w:color w:val="auto"/>
        </w:rPr>
      </w:pPr>
    </w:p>
    <w:p>
      <w:pPr>
        <w:ind w:right="100" w:firstLine="441"/>
        <w:spacing w:after="0" w:line="290" w:lineRule="auto"/>
        <w:rPr>
          <w:sz w:val="20"/>
          <w:szCs w:val="20"/>
          <w:color w:val="auto"/>
        </w:rPr>
      </w:pPr>
      <w:r>
        <w:rPr>
          <w:rFonts w:ascii="Arial" w:cs="Arial" w:eastAsia="Arial" w:hAnsi="Arial"/>
          <w:sz w:val="17"/>
          <w:szCs w:val="17"/>
          <w:color w:val="auto"/>
        </w:rPr>
        <w:t xml:space="preserve">The accompanying unaudited consolidated </w:t>
      </w:r>
      <w:r>
        <w:rPr>
          <w:rFonts w:ascii="Arial" w:cs="Arial" w:eastAsia="Arial" w:hAnsi="Arial"/>
          <w:sz w:val="17"/>
          <w:szCs w:val="17"/>
          <w:color w:val="212529"/>
        </w:rPr>
        <w:t>financial statements have been prepared in accordance with generally accepted accounting principles in</w:t>
      </w:r>
      <w:r>
        <w:rPr>
          <w:rFonts w:ascii="Arial" w:cs="Arial" w:eastAsia="Arial" w:hAnsi="Arial"/>
          <w:sz w:val="17"/>
          <w:szCs w:val="17"/>
          <w:color w:val="auto"/>
        </w:rPr>
        <w:t xml:space="preserve"> </w:t>
      </w:r>
      <w:r>
        <w:rPr>
          <w:rFonts w:ascii="Arial" w:cs="Arial" w:eastAsia="Arial" w:hAnsi="Arial"/>
          <w:sz w:val="17"/>
          <w:szCs w:val="17"/>
          <w:color w:val="212529"/>
        </w:rPr>
        <w:t xml:space="preserve">the United States (“GAAP”) applicable to interim periods, under the rules and regulations of the United States Securities and Exchange Commission (“SEC”). In the opinion of management, the Company has prepared the accompanying unaudited consolidated financial statements on a basis substantially consistent with the audited consolidated financial statements of the Company as of and for the year ended </w:t>
      </w:r>
      <w:r>
        <w:rPr>
          <w:rFonts w:ascii="Arial" w:cs="Arial" w:eastAsia="Arial" w:hAnsi="Arial"/>
          <w:sz w:val="17"/>
          <w:szCs w:val="17"/>
          <w:color w:val="000000"/>
        </w:rPr>
        <w:t>December 31, 2020, and these consolidated</w:t>
      </w:r>
      <w:r>
        <w:rPr>
          <w:rFonts w:ascii="Arial" w:cs="Arial" w:eastAsia="Arial" w:hAnsi="Arial"/>
          <w:sz w:val="17"/>
          <w:szCs w:val="17"/>
          <w:color w:val="212529"/>
        </w:rPr>
        <w:t xml:space="preserve"> </w:t>
      </w:r>
      <w:r>
        <w:rPr>
          <w:rFonts w:ascii="Arial" w:cs="Arial" w:eastAsia="Arial" w:hAnsi="Arial"/>
          <w:sz w:val="17"/>
          <w:szCs w:val="17"/>
          <w:color w:val="000000"/>
        </w:rPr>
        <w:t>financial statements include all adjustments, consisting only of normal recurring adjustments, necessary for a fair statement of the results of the interim periods presented. All intercompany balances and transactions have been eliminated in consolidation.</w:t>
      </w:r>
    </w:p>
    <w:p>
      <w:pPr>
        <w:spacing w:after="0" w:line="176" w:lineRule="exact"/>
        <w:rPr>
          <w:sz w:val="20"/>
          <w:szCs w:val="20"/>
          <w:color w:val="auto"/>
        </w:rPr>
      </w:pPr>
    </w:p>
    <w:p>
      <w:pPr>
        <w:ind w:firstLine="441"/>
        <w:spacing w:after="0" w:line="275" w:lineRule="auto"/>
        <w:rPr>
          <w:sz w:val="20"/>
          <w:szCs w:val="20"/>
          <w:color w:val="auto"/>
        </w:rPr>
      </w:pPr>
      <w:r>
        <w:rPr>
          <w:rFonts w:ascii="Arial" w:cs="Arial" w:eastAsia="Arial" w:hAnsi="Arial"/>
          <w:sz w:val="18"/>
          <w:szCs w:val="18"/>
          <w:color w:val="auto"/>
        </w:rPr>
        <w:t>The results of operations for the interim periods presented are not necessarily indicative of the results to be expected for any subsequent quarter or for the entire year ending December 31, 2021. The year-end balance sheet data was derived from audited financial statements, but this Form 10-Q does not include all disclosures required under GAAP. Certain information and note disclosures normally included in annual financial statements prepared in accordance with GAAP have been omitted under the rules and regulations of the SEC.</w:t>
      </w:r>
    </w:p>
    <w:p>
      <w:pPr>
        <w:spacing w:after="0" w:line="185" w:lineRule="exact"/>
        <w:rPr>
          <w:sz w:val="20"/>
          <w:szCs w:val="20"/>
          <w:color w:val="auto"/>
        </w:rPr>
      </w:pPr>
    </w:p>
    <w:p>
      <w:pPr>
        <w:ind w:right="40" w:firstLine="441"/>
        <w:spacing w:after="0" w:line="275"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related notes contained in the Company’s Annual Report on Form 10-K filed with the SEC on February 16, 2021. There have been no changes in the Company’s significant accounting policies from those that were disclosed in the Company’s Annual Report on Form 10-K that have had a material impact on our consolidated financial statements and related notes.</w:t>
      </w:r>
    </w:p>
    <w:p>
      <w:pPr>
        <w:spacing w:after="0" w:line="185" w:lineRule="exact"/>
        <w:rPr>
          <w:sz w:val="20"/>
          <w:szCs w:val="20"/>
          <w:color w:val="auto"/>
        </w:rPr>
      </w:pPr>
    </w:p>
    <w:p>
      <w:pPr>
        <w:ind w:right="20" w:firstLine="441"/>
        <w:spacing w:after="0" w:line="319" w:lineRule="auto"/>
        <w:rPr>
          <w:sz w:val="20"/>
          <w:szCs w:val="20"/>
          <w:color w:val="auto"/>
        </w:rPr>
      </w:pPr>
      <w:r>
        <w:rPr>
          <w:rFonts w:ascii="Arial" w:cs="Arial" w:eastAsia="Arial" w:hAnsi="Arial"/>
          <w:sz w:val="16"/>
          <w:szCs w:val="16"/>
          <w:color w:val="auto"/>
        </w:rPr>
        <w:t>In March 2020, the World Health Organization (“WHO”) declared the outbreak of a disease caused by a novel strain of the coronavirus (“COVID-19”) to be a global pandemic (the “pandemic”). The Company has assessed the impact of the pandemic, and while the broader implications of the pandemic on the results of operations and overall financial performance remain uncertain, the Company assessed the potential impact on the June 30, 2021 financial statements and determined there were no material adjustments necessary with respect to these consolidated financial statements.</w:t>
      </w:r>
    </w:p>
    <w:p>
      <w:pPr>
        <w:spacing w:after="0" w:line="156" w:lineRule="exact"/>
        <w:rPr>
          <w:sz w:val="20"/>
          <w:szCs w:val="20"/>
          <w:color w:val="auto"/>
        </w:rPr>
      </w:pPr>
    </w:p>
    <w:p>
      <w:pPr>
        <w:ind w:right="140" w:firstLine="441"/>
        <w:spacing w:after="0" w:line="290" w:lineRule="auto"/>
        <w:rPr>
          <w:sz w:val="20"/>
          <w:szCs w:val="20"/>
          <w:color w:val="auto"/>
        </w:rPr>
      </w:pPr>
      <w:r>
        <w:rPr>
          <w:rFonts w:ascii="Arial" w:cs="Arial" w:eastAsia="Arial" w:hAnsi="Arial"/>
          <w:sz w:val="17"/>
          <w:szCs w:val="17"/>
          <w:color w:val="auto"/>
        </w:rPr>
        <w:t>In March 2020, the Coronavirus Aid, Relief, and Economic Security (“CARES”) Act was signed into law by the United States. The CARES Act provides a substantial stimulus and assistance package intended to address the impact of the pandemic, including tax relief and government loans, grants, and investments. In June 2020, the Jobs Support Scheme (“JSS”) was announced by the Singapore government to provide support to employers and help enterprises retain their local employees during the pandemic. In March 2021, the American Rescue Plan was passed to build upon the measures in the CARES Act and provide direct relief to those impacted by the pandemic. The CARES Act, the JSS and the American Rescue Plan did not have a material impact with respect to these consolidated financial statements.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440" w:firstLine="441"/>
        <w:spacing w:after="0" w:line="293" w:lineRule="auto"/>
        <w:rPr>
          <w:sz w:val="20"/>
          <w:szCs w:val="20"/>
          <w:color w:val="auto"/>
        </w:rPr>
      </w:pPr>
      <w:r>
        <w:rPr>
          <w:rFonts w:ascii="Arial" w:cs="Arial" w:eastAsia="Arial" w:hAnsi="Arial"/>
          <w:sz w:val="18"/>
          <w:szCs w:val="18"/>
          <w:color w:val="auto"/>
        </w:rPr>
        <w:t>Recent accounting standards not included below are not expected to have a material impact on our consolidated financial position and results of operations.</w:t>
      </w:r>
    </w:p>
    <w:p>
      <w:pPr>
        <w:spacing w:after="0" w:line="62" w:lineRule="exact"/>
        <w:rPr>
          <w:sz w:val="20"/>
          <w:szCs w:val="20"/>
          <w:color w:val="auto"/>
        </w:rPr>
      </w:pPr>
    </w:p>
    <w:p>
      <w:pPr>
        <w:ind w:firstLine="441"/>
        <w:spacing w:after="0" w:line="271" w:lineRule="auto"/>
        <w:rPr>
          <w:sz w:val="20"/>
          <w:szCs w:val="20"/>
          <w:color w:val="auto"/>
        </w:rPr>
      </w:pPr>
      <w:r>
        <w:rPr>
          <w:rFonts w:ascii="Arial" w:cs="Arial" w:eastAsia="Arial" w:hAnsi="Arial"/>
          <w:sz w:val="18"/>
          <w:szCs w:val="18"/>
          <w:color w:val="auto"/>
        </w:rPr>
        <w:t>In August 2020, the FASB issued guidance simplifying the accounting for convertible instruments by reducing the number of accounting models for convertible debt instruments and convertible preferred stock. Limiting the accounting models results in fewer embedded conversion features being bifurcated from the host contract and separately recognized as compared with current GAAP. In addition, it eliminates the treasury stock method for calculating diluted earnings per share for convertible instruments and requires the use of the if-converted method. The new standard will be effective for the Company on January 1, 2022, with early adoption permitted. The Company is currently evaluating the impact of adoption of the standard on its consolidated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8"/>
          <w:szCs w:val="18"/>
          <w:color w:val="auto"/>
        </w:rPr>
        <w:t>The Company provides disaggregation of revenue based on geographic region (Note 16)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 and Deferred Commission Expense</w:t>
      </w:r>
    </w:p>
    <w:p>
      <w:pPr>
        <w:spacing w:after="0" w:line="2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six months ended June 30, 2021 increased by $45.7 million resulting from $356.5 million of additional invoicing and was offset by revenue recognized of $310.8 million during the same period. $180.7 million of revenue was recognized during the three months ended June 30, 2021 that was included in deferred revenue at the beginning of the period. $240.1 million of revenue was recognized during the six months ended June 30, 2020 that was included in deferred revenue at the beginning of the period. As of June 30, 2021, approximately $305.8 million of revenue is expected to be recognized from remaining performance obligations for contracts with original performance obligations that exceed one year. The Company expects to recognize revenue on approximately 93% of these remaining performance obligations over the next 24 months, with the balance recognized thereafter.</w:t>
      </w:r>
    </w:p>
    <w:p>
      <w:pPr>
        <w:spacing w:after="0" w:line="24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8"/>
          <w:szCs w:val="18"/>
          <w:color w:val="auto"/>
        </w:rPr>
        <w:t>Additional contract liabilities of $1.9 million and $1.7 were included in accrued expenses and other current liabilities on the consolidated balance sheet as of June 30, 2021 and December 31, 2020.</w:t>
      </w:r>
    </w:p>
    <w:p>
      <w:pPr>
        <w:spacing w:after="0" w:line="170" w:lineRule="exact"/>
        <w:rPr>
          <w:sz w:val="20"/>
          <w:szCs w:val="20"/>
          <w:color w:val="auto"/>
        </w:rPr>
      </w:pPr>
    </w:p>
    <w:p>
      <w:pPr>
        <w:ind w:right="60" w:firstLine="441"/>
        <w:spacing w:after="0" w:line="311" w:lineRule="auto"/>
        <w:rPr>
          <w:sz w:val="20"/>
          <w:szCs w:val="20"/>
          <w:color w:val="auto"/>
        </w:rPr>
      </w:pPr>
      <w:r>
        <w:rPr>
          <w:rFonts w:ascii="Arial" w:cs="Arial" w:eastAsia="Arial" w:hAnsi="Arial"/>
          <w:sz w:val="16"/>
          <w:szCs w:val="16"/>
          <w:color w:val="auto"/>
        </w:rPr>
        <w:t>The incremental direct costs of obtaining a contract, which primarily consist of sales commissions paid for new subscription contracts, are deferred and amortized on a straight-line basis over a period of approximately one to three years. The one to three-year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217" w:lineRule="exact"/>
        <w:rPr>
          <w:sz w:val="20"/>
          <w:szCs w:val="20"/>
          <w:color w:val="auto"/>
        </w:rPr>
      </w:pPr>
    </w:p>
    <w:p>
      <w:pPr>
        <w:jc w:val="both"/>
        <w:ind w:right="60" w:firstLine="441"/>
        <w:spacing w:after="0" w:line="275" w:lineRule="auto"/>
        <w:rPr>
          <w:sz w:val="20"/>
          <w:szCs w:val="20"/>
          <w:color w:val="auto"/>
        </w:rPr>
      </w:pPr>
      <w:r>
        <w:rPr>
          <w:rFonts w:ascii="Arial" w:cs="Arial" w:eastAsia="Arial" w:hAnsi="Arial"/>
          <w:sz w:val="18"/>
          <w:szCs w:val="18"/>
          <w:color w:val="auto"/>
        </w:rPr>
        <w:t>Deferred commission expense during the three months ended June 30, 2021 increased by $10.3 million as a result of deferring incremental costs of obtaining a contract of $25.9 million and was offset by amortization of $15.6 million during the same period. Deferred commission expense during the six months ended June 30, 2021 increased by $15.3 million as a result of deferring incremental costs of obtaining a contract of $46.6 million and was offset by amortization of $31.3 million during the same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35" w:lineRule="exact"/>
        <w:rPr>
          <w:sz w:val="20"/>
          <w:szCs w:val="20"/>
          <w:color w:val="auto"/>
        </w:rPr>
      </w:pPr>
    </w:p>
    <w:p>
      <w:pPr>
        <w:ind w:right="160" w:firstLine="441"/>
        <w:spacing w:after="0" w:line="272"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the Warrants (defined in Note 9), the Conversion Option of the 2022 Notes, and the Conversion Option of the 2025 Notes (the “Conversion Options”) (Note 9) are considered to be potential common stock equivalents.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denominator used in the calculation of basic and diluted net loss per share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2"/>
        </w:trPr>
        <w:tc>
          <w:tcPr>
            <w:tcW w:w="51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5"/>
              </w:rPr>
              <w:t>(24,572 )</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8"/>
              </w:rPr>
              <w:t>(29,401 )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(47,731 )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(47,117 )</w:t>
            </w:r>
          </w:p>
        </w:tc>
        <w:tc>
          <w:tcPr>
            <w:tcW w:w="0" w:type="dxa"/>
            <w:vAlign w:val="bottom"/>
          </w:tcPr>
          <w:p>
            <w:pPr>
              <w:spacing w:after="0"/>
              <w:rPr>
                <w:sz w:val="1"/>
                <w:szCs w:val="1"/>
                <w:color w:val="auto"/>
              </w:rPr>
            </w:pPr>
          </w:p>
        </w:tc>
      </w:tr>
      <w:tr>
        <w:trPr>
          <w:trHeight w:val="230"/>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46,777</w:t>
            </w:r>
          </w:p>
        </w:tc>
        <w:tc>
          <w:tcPr>
            <w:tcW w:w="260" w:type="dxa"/>
            <w:vAlign w:val="bottom"/>
            <w:tcBorders>
              <w:top w:val="single" w:sz="8" w:color="CFF0F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44,130</w:t>
            </w:r>
          </w:p>
        </w:tc>
        <w:tc>
          <w:tcPr>
            <w:tcW w:w="1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46,603</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43,703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share equivalents resulting from</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options, RSUs, ESPP, Warrants and the Conversion</w:t>
            </w:r>
          </w:p>
        </w:tc>
        <w:tc>
          <w:tcPr>
            <w:tcW w:w="900" w:type="dxa"/>
            <w:vAlign w:val="bottom"/>
            <w:shd w:val="clear" w:color="auto" w:fill="CFF0FC"/>
          </w:tcPr>
          <w:p>
            <w:pPr>
              <w:spacing w:after="0"/>
              <w:rPr>
                <w:sz w:val="19"/>
                <w:szCs w:val="19"/>
                <w:color w:val="auto"/>
              </w:rPr>
            </w:pP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w:t>
            </w:r>
          </w:p>
        </w:tc>
        <w:tc>
          <w:tcPr>
            <w:tcW w:w="90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9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46,777</w:t>
            </w:r>
          </w:p>
        </w:tc>
        <w:tc>
          <w:tcPr>
            <w:tcW w:w="260" w:type="dxa"/>
            <w:vAlign w:val="bottom"/>
            <w:tcBorders>
              <w:top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44,130</w:t>
            </w:r>
          </w:p>
        </w:tc>
        <w:tc>
          <w:tcPr>
            <w:tcW w:w="18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46,603</w:t>
            </w:r>
          </w:p>
        </w:tc>
        <w:tc>
          <w:tcPr>
            <w:tcW w:w="2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900" w:type="dxa"/>
            <w:vAlign w:val="bottom"/>
            <w:shd w:val="clear" w:color="auto" w:fill="CFF0FC"/>
          </w:tcPr>
          <w:p>
            <w:pPr>
              <w:jc w:val="right"/>
              <w:ind w:right="71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(0.53 )</w:t>
            </w:r>
          </w:p>
        </w:tc>
        <w:tc>
          <w:tcPr>
            <w:tcW w:w="860" w:type="dxa"/>
            <w:vAlign w:val="bottom"/>
            <w:shd w:val="clear" w:color="auto" w:fill="CFF0FC"/>
          </w:tcPr>
          <w:p>
            <w:pPr>
              <w:jc w:val="right"/>
              <w:ind w:right="656"/>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(0.67 )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655"/>
        </w:trPr>
        <w:tc>
          <w:tcPr>
            <w:tcW w:w="518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jc w:val="right"/>
              <w:ind w:right="277"/>
              <w:spacing w:after="0"/>
              <w:rPr>
                <w:sz w:val="20"/>
                <w:szCs w:val="20"/>
                <w:color w:val="auto"/>
              </w:rPr>
            </w:pPr>
            <w:r>
              <w:rPr>
                <w:rFonts w:ascii="Arial" w:cs="Arial" w:eastAsia="Arial" w:hAnsi="Arial"/>
                <w:sz w:val="18"/>
                <w:szCs w:val="18"/>
                <w:color w:val="auto"/>
              </w:rPr>
              <w:t>10</w:t>
            </w: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-1508125</wp:posOffset>
            </wp:positionV>
            <wp:extent cx="162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-1490980</wp:posOffset>
            </wp:positionV>
            <wp:extent cx="162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-1508125</wp:posOffset>
            </wp:positionV>
            <wp:extent cx="120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-1490980</wp:posOffset>
            </wp:positionV>
            <wp:extent cx="120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-1487805</wp:posOffset>
            </wp:positionV>
            <wp:extent cx="14605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-1487805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-870585</wp:posOffset>
            </wp:positionV>
            <wp:extent cx="1625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-870585</wp:posOffset>
            </wp:positionV>
            <wp:extent cx="1200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-870585</wp:posOffset>
            </wp:positionV>
            <wp:extent cx="14605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-870585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-530860</wp:posOffset>
            </wp:positionV>
            <wp:extent cx="162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-513715</wp:posOffset>
            </wp:positionV>
            <wp:extent cx="1625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-530860</wp:posOffset>
            </wp:positionV>
            <wp:extent cx="1200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-513715</wp:posOffset>
            </wp:positionV>
            <wp:extent cx="120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-530860</wp:posOffset>
            </wp:positionV>
            <wp:extent cx="146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-513715</wp:posOffset>
            </wp:positionV>
            <wp:extent cx="1460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right="180" w:firstLine="441"/>
        <w:spacing w:after="0" w:line="279" w:lineRule="auto"/>
        <w:rPr>
          <w:sz w:val="20"/>
          <w:szCs w:val="20"/>
          <w:color w:val="auto"/>
        </w:rPr>
      </w:pPr>
      <w:r>
        <w:rPr>
          <w:rFonts w:ascii="Arial" w:cs="Arial" w:eastAsia="Arial" w:hAnsi="Arial"/>
          <w:sz w:val="18"/>
          <w:szCs w:val="18"/>
          <w:color w:val="auto"/>
        </w:rPr>
        <w:t>Since the Company incurred net losses for each of the periods presented, diluted net loss per share is the same as basic net loss per share. All of the Company’s outstanding stock options, RSUs, and shares issuable under the ESPP, as well as the Warrants and Conversion Options were excluded in the calculation of diluted net loss per share as the effect would be anti-dilutive.</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expects to settle the principal amount of the 2022 Notes and 2025 Notes (collectively, the “Notes”) (Note 9) in cash, and therefore,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uses the treasury stock method for calculating any potential dilutive effect of the Warrants and Conversion Options on diluted net income per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 if applicable. As a result, only the amount by which the conversion cost of the Notes, if settled in shares, exceeds the aggregated principal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Notes (the “Conversion Spread”) is considered in the diluted earnings per share computation. The Conversion Spread has a dilutive impact on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income per share when the average market price of the Company’s common stock for a given period of time exceeds the initial conversion price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$94.77 per share for the 2022 Notes and $282.52 for the 2025 Notes. The average stock price for the three months ended June 30, 2021 was $521.54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was $481.12.</w:t>
      </w:r>
    </w:p>
    <w:p>
      <w:pPr>
        <w:spacing w:after="0" w:line="319" w:lineRule="exact"/>
        <w:rPr>
          <w:sz w:val="20"/>
          <w:szCs w:val="20"/>
          <w:color w:val="auto"/>
        </w:rPr>
      </w:pPr>
    </w:p>
    <w:p>
      <w:pPr>
        <w:ind w:right="20" w:firstLine="441"/>
        <w:spacing w:after="0" w:line="311" w:lineRule="auto"/>
        <w:rPr>
          <w:sz w:val="20"/>
          <w:szCs w:val="20"/>
          <w:color w:val="auto"/>
        </w:rPr>
      </w:pPr>
      <w:r>
        <w:rPr>
          <w:rFonts w:ascii="Arial" w:cs="Arial" w:eastAsia="Arial" w:hAnsi="Arial"/>
          <w:sz w:val="16"/>
          <w:szCs w:val="16"/>
          <w:color w:val="auto"/>
        </w:rPr>
        <w:t>As the last reported sale price of the Company’s common stock for at least 20 trading days during the period of 30 consecutive trading days ending on the last trading day of the calendar quarter ended June 30, 2021 was equal to or greater than 130% of the conversion price of $94.77 on each applicable trading day, the 2022 Notes are convertible at the option of the holders thereof during the calendar quarter ended June 30, 2021. In the second quarter of 2021, the Company settled $12.7 million of principal balance of the 2022 Notes in cash. As of July 30, 2021, the Company has received conversion notices for approximately $46.4 million of the principal balance of the 2022 Notes, which will be settled in cash during the quarter ended September 30, 2021. For disclosure purposes, the potentially dilutive effect of the Conversion Spread is calculated and included in the table below.</w:t>
      </w:r>
    </w:p>
    <w:p>
      <w:pPr>
        <w:spacing w:after="0" w:line="244" w:lineRule="exact"/>
        <w:rPr>
          <w:sz w:val="20"/>
          <w:szCs w:val="20"/>
          <w:color w:val="auto"/>
        </w:rPr>
      </w:pPr>
    </w:p>
    <w:p>
      <w:pPr>
        <w:ind w:right="20" w:firstLine="441"/>
        <w:spacing w:after="0" w:line="272" w:lineRule="auto"/>
        <w:rPr>
          <w:sz w:val="20"/>
          <w:szCs w:val="20"/>
          <w:color w:val="auto"/>
        </w:rPr>
      </w:pPr>
      <w:r>
        <w:rPr>
          <w:rFonts w:ascii="Arial" w:cs="Arial" w:eastAsia="Arial" w:hAnsi="Arial"/>
          <w:sz w:val="18"/>
          <w:szCs w:val="18"/>
          <w:color w:val="auto"/>
        </w:rPr>
        <w:t>As the last reported sale price of the Company’s common stock for at least 20 trading days during the period of 30 consecutive trading days ending on the last trading day of the calendar quarter ended June 30, 2021 was equal to or greater than 130% of the conversion price of $282.52 on each applicable trading day, the 2025 Notes are convertible at the option of the holders thereof during the calendar quarter ended June 30, 2021. As of July 30, 2021, no holders have converted or indicated their intention to convert the 2025 Notes. For disclosure purposes, the potentially dilutive effect of the Conversion Spread is calculated and included in the table below.</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contains all potentially dilutive common stock equivalents.</w:t>
      </w:r>
    </w:p>
    <w:p>
      <w:pPr>
        <w:spacing w:after="0" w:line="200" w:lineRule="exact"/>
        <w:rPr>
          <w:sz w:val="20"/>
          <w:szCs w:val="20"/>
          <w:color w:val="auto"/>
        </w:rPr>
      </w:pP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As of June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0"/>
        </w:trPr>
        <w:tc>
          <w:tcPr>
            <w:tcW w:w="2280" w:type="dxa"/>
            <w:vAlign w:val="bottom"/>
          </w:tcPr>
          <w:p>
            <w:pPr>
              <w:spacing w:after="0"/>
              <w:rPr>
                <w:sz w:val="16"/>
                <w:szCs w:val="16"/>
                <w:color w:val="auto"/>
              </w:rPr>
            </w:pPr>
          </w:p>
        </w:tc>
        <w:tc>
          <w:tcPr>
            <w:tcW w:w="4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16"/>
                <w:szCs w:val="16"/>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08"/>
        </w:trPr>
        <w:tc>
          <w:tcPr>
            <w:tcW w:w="22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5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Options to purchase common shares</w:t>
            </w:r>
          </w:p>
        </w:tc>
        <w:tc>
          <w:tcPr>
            <w:tcW w:w="126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rPr>
              <w:t>749</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FF0FC"/>
          </w:tcPr>
          <w:p>
            <w:pPr>
              <w:spacing w:after="0"/>
              <w:rPr>
                <w:sz w:val="22"/>
                <w:szCs w:val="22"/>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8"/>
                <w:szCs w:val="18"/>
                <w:color w:val="auto"/>
              </w:rPr>
              <w:t>RSUs</w:t>
            </w:r>
          </w:p>
        </w:tc>
        <w:tc>
          <w:tcPr>
            <w:tcW w:w="3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jc w:val="right"/>
              <w:ind w:right="655"/>
              <w:spacing w:after="0"/>
              <w:rPr>
                <w:sz w:val="20"/>
                <w:szCs w:val="20"/>
                <w:color w:val="auto"/>
              </w:rPr>
            </w:pPr>
            <w:r>
              <w:rPr>
                <w:rFonts w:ascii="Arial" w:cs="Arial" w:eastAsia="Arial" w:hAnsi="Arial"/>
                <w:sz w:val="18"/>
                <w:szCs w:val="18"/>
                <w:color w:val="auto"/>
              </w:rPr>
              <w:t>1,462</w:t>
            </w:r>
          </w:p>
        </w:tc>
        <w:tc>
          <w:tcPr>
            <w:tcW w:w="1060" w:type="dxa"/>
            <w:vAlign w:val="bottom"/>
          </w:tcPr>
          <w:p>
            <w:pPr>
              <w:jc w:val="right"/>
              <w:spacing w:after="0"/>
              <w:rPr>
                <w:sz w:val="20"/>
                <w:szCs w:val="20"/>
                <w:color w:val="auto"/>
              </w:rPr>
            </w:pPr>
            <w:r>
              <w:rPr>
                <w:rFonts w:ascii="Arial" w:cs="Arial" w:eastAsia="Arial" w:hAnsi="Arial"/>
                <w:sz w:val="18"/>
                <w:szCs w:val="18"/>
                <w:color w:val="auto"/>
              </w:rPr>
              <w:t>1,865</w:t>
            </w:r>
          </w:p>
        </w:tc>
        <w:tc>
          <w:tcPr>
            <w:tcW w:w="80" w:type="dxa"/>
            <w:vAlign w:val="bottom"/>
          </w:tcPr>
          <w:p>
            <w:pPr>
              <w:spacing w:after="0"/>
              <w:rPr>
                <w:sz w:val="21"/>
                <w:szCs w:val="21"/>
                <w:color w:val="auto"/>
              </w:rPr>
            </w:pPr>
          </w:p>
        </w:tc>
      </w:tr>
      <w:tr>
        <w:trPr>
          <w:trHeight w:val="26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w w:val="92"/>
              </w:rPr>
              <w:t>Conversion Option of the 2022</w:t>
            </w:r>
          </w:p>
        </w:tc>
        <w:tc>
          <w:tcPr>
            <w:tcW w:w="4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Notes and Warrants</w:t>
            </w:r>
          </w:p>
        </w:tc>
        <w:tc>
          <w:tcPr>
            <w:tcW w:w="126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rPr>
              <w:t>1,830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80" w:type="dxa"/>
            <w:vAlign w:val="bottom"/>
            <w:shd w:val="clear" w:color="auto" w:fill="CFF0FC"/>
          </w:tcPr>
          <w:p>
            <w:pPr>
              <w:spacing w:after="0"/>
              <w:rPr>
                <w:sz w:val="22"/>
                <w:szCs w:val="22"/>
                <w:color w:val="auto"/>
              </w:rPr>
            </w:pPr>
          </w:p>
        </w:tc>
      </w:tr>
      <w:tr>
        <w:trPr>
          <w:trHeight w:val="250"/>
        </w:trPr>
        <w:tc>
          <w:tcPr>
            <w:tcW w:w="2280" w:type="dxa"/>
            <w:vAlign w:val="bottom"/>
          </w:tcPr>
          <w:p>
            <w:pPr>
              <w:spacing w:after="0"/>
              <w:rPr>
                <w:sz w:val="20"/>
                <w:szCs w:val="20"/>
                <w:color w:val="auto"/>
              </w:rPr>
            </w:pPr>
            <w:r>
              <w:rPr>
                <w:rFonts w:ascii="Arial" w:cs="Arial" w:eastAsia="Arial" w:hAnsi="Arial"/>
                <w:sz w:val="18"/>
                <w:szCs w:val="18"/>
                <w:color w:val="auto"/>
                <w:w w:val="92"/>
              </w:rPr>
              <w:t>Conversion Option of the 2025</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Notes</w:t>
            </w:r>
          </w:p>
        </w:tc>
        <w:tc>
          <w:tcPr>
            <w:tcW w:w="1260" w:type="dxa"/>
            <w:vAlign w:val="bottom"/>
          </w:tcPr>
          <w:p>
            <w:pPr>
              <w:jc w:val="right"/>
              <w:ind w:right="655"/>
              <w:spacing w:after="0"/>
              <w:rPr>
                <w:sz w:val="20"/>
                <w:szCs w:val="20"/>
                <w:color w:val="auto"/>
              </w:rPr>
            </w:pPr>
            <w:r>
              <w:rPr>
                <w:rFonts w:ascii="Arial" w:cs="Arial" w:eastAsia="Arial" w:hAnsi="Arial"/>
                <w:sz w:val="18"/>
                <w:szCs w:val="18"/>
                <w:color w:val="auto"/>
              </w:rPr>
              <w:t>664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33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655"/>
              <w:spacing w:after="0"/>
              <w:rPr>
                <w:sz w:val="20"/>
                <w:szCs w:val="20"/>
                <w:color w:val="auto"/>
              </w:rPr>
            </w:pPr>
            <w:r>
              <w:rPr>
                <w:rFonts w:ascii="Arial" w:cs="Arial" w:eastAsia="Arial" w:hAnsi="Arial"/>
                <w:sz w:val="18"/>
                <w:szCs w:val="18"/>
                <w:color w:val="auto"/>
              </w:rPr>
              <w:t>8</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35" w:lineRule="exact"/>
        <w:rPr>
          <w:sz w:val="20"/>
          <w:szCs w:val="20"/>
          <w:color w:val="auto"/>
        </w:rPr>
      </w:pPr>
    </w:p>
    <w:p>
      <w:pPr>
        <w:ind w:firstLine="441"/>
        <w:spacing w:after="0" w:line="303"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31" w:lineRule="exact"/>
        <w:rPr>
          <w:sz w:val="20"/>
          <w:szCs w:val="20"/>
          <w:color w:val="auto"/>
        </w:rPr>
      </w:pPr>
    </w:p>
    <w:p>
      <w:pPr>
        <w:ind w:left="900" w:right="120"/>
        <w:spacing w:after="0" w:line="329"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40"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Level 3 — Unobservable inputs to the valuation methodology that are significant to the measurement of fair value of assets or liabilities.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ind w:right="260" w:firstLine="441"/>
        <w:spacing w:after="0" w:line="293" w:lineRule="auto"/>
        <w:rPr>
          <w:sz w:val="20"/>
          <w:szCs w:val="20"/>
          <w:color w:val="auto"/>
        </w:rPr>
      </w:pPr>
      <w:r>
        <w:rPr>
          <w:rFonts w:ascii="Arial" w:cs="Arial" w:eastAsia="Arial" w:hAnsi="Arial"/>
          <w:sz w:val="18"/>
          <w:szCs w:val="18"/>
          <w:color w:val="auto"/>
        </w:rPr>
        <w:t>The following table details the fair value measurements within the fair value hierarchy of the Company’s financial assets and liabilities at June 30, 2021 and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 and investments: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166,818</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166,818</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201,194</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201,194</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213,190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213,190</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537,978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537,978</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26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2"/>
                <w:szCs w:val="22"/>
                <w:color w:val="auto"/>
              </w:rPr>
            </w:pPr>
          </w:p>
        </w:tc>
      </w:tr>
      <w:tr>
        <w:trPr>
          <w:trHeight w:val="29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166,818</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962,186</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1,129,004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7"/>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190"/>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2"/>
        </w:trPr>
        <w:tc>
          <w:tcPr>
            <w:tcW w:w="5620" w:type="dxa"/>
            <w:vAlign w:val="bottom"/>
          </w:tcPr>
          <w:p>
            <w:pPr>
              <w:ind w:left="20"/>
              <w:spacing w:after="0"/>
              <w:rPr>
                <w:sz w:val="20"/>
                <w:szCs w:val="20"/>
                <w:color w:val="auto"/>
              </w:rPr>
            </w:pPr>
            <w:r>
              <w:rPr>
                <w:rFonts w:ascii="Arial" w:cs="Arial" w:eastAsia="Arial" w:hAnsi="Arial"/>
                <w:sz w:val="18"/>
                <w:szCs w:val="18"/>
                <w:color w:val="auto"/>
              </w:rPr>
              <w:t>Cash equivalents and investments: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5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172,485</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12,233</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774,772</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tcPr>
          <w:p>
            <w:pPr>
              <w:spacing w:after="0"/>
              <w:rPr>
                <w:sz w:val="21"/>
                <w:szCs w:val="21"/>
                <w:color w:val="auto"/>
              </w:rPr>
            </w:pPr>
          </w:p>
        </w:tc>
      </w:tr>
      <w:tr>
        <w:trPr>
          <w:trHeight w:val="263"/>
        </w:trPr>
        <w:tc>
          <w:tcPr>
            <w:tcW w:w="5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172,485</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906,799</w:t>
            </w:r>
          </w:p>
        </w:tc>
        <w:tc>
          <w:tcPr>
            <w:tcW w:w="116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1,079,284</w:t>
            </w:r>
          </w:p>
        </w:tc>
        <w:tc>
          <w:tcPr>
            <w:tcW w:w="10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-2073910</wp:posOffset>
            </wp:positionV>
            <wp:extent cx="171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-2056765</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-2073910</wp:posOffset>
            </wp:positionV>
            <wp:extent cx="1625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-2056765</wp:posOffset>
            </wp:positionV>
            <wp:extent cx="1625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-2073910</wp:posOffset>
            </wp:positionV>
            <wp:extent cx="1543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-2056765</wp:posOffset>
            </wp:positionV>
            <wp:extent cx="154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-193675</wp:posOffset>
            </wp:positionV>
            <wp:extent cx="17145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-193675</wp:posOffset>
            </wp:positionV>
            <wp:extent cx="1625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-193675</wp:posOffset>
            </wp:positionV>
            <wp:extent cx="15430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80" w:firstLine="441"/>
        <w:spacing w:after="0" w:line="292" w:lineRule="auto"/>
        <w:rPr>
          <w:sz w:val="20"/>
          <w:szCs w:val="20"/>
          <w:color w:val="auto"/>
        </w:rPr>
      </w:pPr>
      <w:r>
        <w:rPr>
          <w:rFonts w:ascii="Arial" w:cs="Arial" w:eastAsia="Arial" w:hAnsi="Arial"/>
          <w:sz w:val="17"/>
          <w:szCs w:val="17"/>
          <w:color w:val="auto"/>
        </w:rPr>
        <w:t>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June 30, 2021 and December 31, 2020,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pacing w:after="0" w:line="228" w:lineRule="exact"/>
        <w:rPr>
          <w:sz w:val="20"/>
          <w:szCs w:val="20"/>
          <w:color w:val="auto"/>
        </w:rPr>
      </w:pPr>
    </w:p>
    <w:p>
      <w:pPr>
        <w:ind w:right="40" w:firstLine="471"/>
        <w:spacing w:after="0" w:line="279" w:lineRule="auto"/>
        <w:rPr>
          <w:sz w:val="20"/>
          <w:szCs w:val="20"/>
          <w:color w:val="auto"/>
        </w:rPr>
      </w:pPr>
      <w:r>
        <w:rPr>
          <w:rFonts w:ascii="Arial" w:cs="Arial" w:eastAsia="Arial" w:hAnsi="Arial"/>
          <w:sz w:val="18"/>
          <w:szCs w:val="18"/>
          <w:color w:val="auto"/>
        </w:rPr>
        <w:t>As of June 30, 2021, the fair value of the 2022 Notes was $421.3 million and the fair value of the 2025 Notes was $986.0 million. The fair value was determined based on the quoted price of the 2022 and 2025 Notes in an inactive market on the last trading day of the reporting period and has been classified as Level 2 within the fair value hierarchy.</w:t>
      </w:r>
    </w:p>
    <w:p>
      <w:pPr>
        <w:spacing w:after="0" w:line="237" w:lineRule="exact"/>
        <w:rPr>
          <w:sz w:val="20"/>
          <w:szCs w:val="20"/>
          <w:color w:val="auto"/>
        </w:rPr>
      </w:pPr>
    </w:p>
    <w:p>
      <w:pPr>
        <w:ind w:right="840" w:firstLine="441"/>
        <w:spacing w:after="0" w:line="293" w:lineRule="auto"/>
        <w:rPr>
          <w:sz w:val="20"/>
          <w:szCs w:val="20"/>
          <w:color w:val="auto"/>
        </w:rPr>
      </w:pPr>
      <w:r>
        <w:rPr>
          <w:rFonts w:ascii="Arial" w:cs="Arial" w:eastAsia="Arial" w:hAnsi="Arial"/>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83" w:lineRule="exact"/>
        <w:rPr>
          <w:sz w:val="20"/>
          <w:szCs w:val="20"/>
          <w:color w:val="auto"/>
        </w:rPr>
      </w:pPr>
    </w:p>
    <w:p>
      <w:pPr>
        <w:ind w:right="400" w:firstLine="441"/>
        <w:spacing w:after="0" w:line="293" w:lineRule="auto"/>
        <w:rPr>
          <w:sz w:val="20"/>
          <w:szCs w:val="20"/>
          <w:color w:val="auto"/>
        </w:rPr>
      </w:pPr>
      <w:r>
        <w:rPr>
          <w:rFonts w:ascii="Arial" w:cs="Arial" w:eastAsia="Arial" w:hAnsi="Arial"/>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83" w:lineRule="exact"/>
        <w:rPr>
          <w:sz w:val="20"/>
          <w:szCs w:val="20"/>
          <w:color w:val="auto"/>
        </w:rPr>
      </w:pPr>
    </w:p>
    <w:p>
      <w:pPr>
        <w:ind w:right="20" w:firstLine="441"/>
        <w:spacing w:after="0" w:line="306" w:lineRule="auto"/>
        <w:rPr>
          <w:sz w:val="20"/>
          <w:szCs w:val="20"/>
          <w:color w:val="auto"/>
        </w:rPr>
      </w:pPr>
      <w:r>
        <w:rPr>
          <w:rFonts w:ascii="Arial" w:cs="Arial" w:eastAsia="Arial" w:hAnsi="Arial"/>
          <w:sz w:val="16"/>
          <w:szCs w:val="16"/>
          <w:color w:val="auto"/>
        </w:rPr>
        <w:t>Strategic investments consist of non-controlling equity investments in privately held companies. The Company elected the measurement alternative for these investments without readily determinable fair values and for which the Company does not have the ability to exercise significant influence.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holds $14.0 million of strategic investments without readily determinable fair values at June 30, 2021 and $6.7 million of strategic investments without readily determinable fair values at December 31, 2020. These investments are included in other assets on the consolidated balance sheets. During the three months ended June 30, 2021, an acquisition of an entity in which the Company held a strategic investment was completed, which resulted in an observable price change. The Company adjusted the fair value of its investment and recognized a gain of $1.0 million reported in the consolidated statements of operations as other income. There were no other adjustments to the carrying value of the strategic investments resulting from impairments or observable price changes in the six months ended June 30,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The following tables summarize the composition of our short- and long-term investments at June 30, 2021 and December 31, 2020.</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June 30, 2021</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201,194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201,194</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213,191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213,190</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FF0FC"/>
          </w:tcPr>
          <w:p>
            <w:pPr>
              <w:spacing w:after="0"/>
              <w:rPr>
                <w:sz w:val="22"/>
                <w:szCs w:val="22"/>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537,964</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(15 )</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537,978</w:t>
            </w:r>
          </w:p>
        </w:tc>
        <w:tc>
          <w:tcPr>
            <w:tcW w:w="100" w:type="dxa"/>
            <w:vAlign w:val="bottom"/>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959,152</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959,157</w:t>
            </w:r>
          </w:p>
        </w:tc>
        <w:tc>
          <w:tcPr>
            <w:tcW w:w="100" w:type="dxa"/>
            <w:vAlign w:val="bottom"/>
            <w:shd w:val="clear" w:color="auto" w:fill="CFF0FC"/>
          </w:tcPr>
          <w:p>
            <w:pPr>
              <w:spacing w:after="0"/>
              <w:rPr>
                <w:sz w:val="23"/>
                <w:szCs w:val="23"/>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06"/>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12,233</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116,371</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774,667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774,772</w:t>
            </w:r>
          </w:p>
        </w:tc>
        <w:tc>
          <w:tcPr>
            <w:tcW w:w="100" w:type="dxa"/>
            <w:vAlign w:val="bottom"/>
            <w:shd w:val="clear" w:color="auto" w:fill="CFF0FC"/>
          </w:tcPr>
          <w:p>
            <w:pPr>
              <w:spacing w:after="0"/>
              <w:rPr>
                <w:sz w:val="22"/>
                <w:szCs w:val="22"/>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r>
      <w:tr>
        <w:trPr>
          <w:trHeight w:val="270"/>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4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shd w:val="clear" w:color="auto" w:fill="CFF0FC"/>
          </w:tcPr>
          <w:p>
            <w:pPr>
              <w:spacing w:after="0"/>
              <w:rPr>
                <w:sz w:val="23"/>
                <w:szCs w:val="23"/>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-1533525</wp:posOffset>
            </wp:positionV>
            <wp:extent cx="154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-1516380</wp:posOffset>
            </wp:positionV>
            <wp:extent cx="154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-1533525</wp:posOffset>
            </wp:positionV>
            <wp:extent cx="1460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-1516380</wp:posOffset>
            </wp:positionV>
            <wp:extent cx="146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-1533525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-1516380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-1533525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-1516380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154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1460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146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jc w:val="both"/>
        <w:ind w:right="60" w:firstLine="441"/>
        <w:spacing w:after="0" w:line="319" w:lineRule="auto"/>
        <w:rPr>
          <w:sz w:val="20"/>
          <w:szCs w:val="20"/>
          <w:color w:val="auto"/>
        </w:rPr>
      </w:pPr>
      <w:r>
        <w:rPr>
          <w:rFonts w:ascii="Arial" w:cs="Arial" w:eastAsia="Arial" w:hAnsi="Arial"/>
          <w:sz w:val="16"/>
          <w:szCs w:val="16"/>
          <w:color w:val="auto"/>
        </w:rPr>
        <w:t>For all of our securities for which the amortized cost basis was greater than the fair value at June 30, 2021,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Maturities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maturities of short-term and long-term investments held at June 30, 2021 and December 31, 2020 are as follows:</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r>
      <w:tr>
        <w:trPr>
          <w:trHeight w:val="179"/>
        </w:trPr>
        <w:tc>
          <w:tcPr>
            <w:tcW w:w="4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4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92"/>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96"/>
        </w:trPr>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0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62"/>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875,331</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875,395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872,637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873,073</w:t>
            </w:r>
          </w:p>
        </w:tc>
        <w:tc>
          <w:tcPr>
            <w:tcW w:w="100" w:type="dxa"/>
            <w:vAlign w:val="bottom"/>
            <w:shd w:val="clear" w:color="auto" w:fill="CFF0FC"/>
          </w:tcPr>
          <w:p>
            <w:pPr>
              <w:spacing w:after="0"/>
              <w:rPr>
                <w:sz w:val="22"/>
                <w:szCs w:val="22"/>
                <w:color w:val="auto"/>
              </w:rPr>
            </w:pPr>
          </w:p>
        </w:tc>
      </w:tr>
      <w:tr>
        <w:trPr>
          <w:trHeight w:val="257"/>
        </w:trPr>
        <w:tc>
          <w:tcPr>
            <w:tcW w:w="4540" w:type="dxa"/>
            <w:vAlign w:val="bottom"/>
          </w:tcPr>
          <w:p>
            <w:pPr>
              <w:spacing w:after="0"/>
              <w:rPr>
                <w:sz w:val="20"/>
                <w:szCs w:val="20"/>
                <w:color w:val="auto"/>
              </w:rPr>
            </w:pPr>
            <w:r>
              <w:rPr>
                <w:rFonts w:ascii="Arial" w:cs="Arial" w:eastAsia="Arial" w:hAnsi="Arial"/>
                <w:sz w:val="18"/>
                <w:szCs w:val="18"/>
                <w:color w:val="auto"/>
              </w:rPr>
              <w:t>Due after 1 year through 2 years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83,762</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30,640</w:t>
            </w:r>
          </w:p>
        </w:tc>
        <w:tc>
          <w:tcPr>
            <w:tcW w:w="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c>
          <w:tcPr>
            <w:tcW w:w="100" w:type="dxa"/>
            <w:vAlign w:val="bottom"/>
          </w:tcPr>
          <w:p>
            <w:pPr>
              <w:spacing w:after="0"/>
              <w:rPr>
                <w:sz w:val="22"/>
                <w:szCs w:val="22"/>
                <w:color w:val="auto"/>
              </w:rPr>
            </w:pPr>
          </w:p>
        </w:tc>
      </w:tr>
      <w:tr>
        <w:trPr>
          <w:trHeight w:val="290"/>
        </w:trPr>
        <w:tc>
          <w:tcPr>
            <w:tcW w:w="45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959,152</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959,157</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903,277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903,770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-24765</wp:posOffset>
            </wp:positionV>
            <wp:extent cx="1460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454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145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method investment</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8"/>
          <w:szCs w:val="18"/>
          <w:color w:val="auto"/>
        </w:rPr>
        <w:t>On March 9, 2021, the Company made a contribution of $2.3 million in cash in the Black Economic Development Fund (the “Fund”) managed by the Local Initiatives Support Corporation. In the three months ended June 30, 2021, the Company made an additional contribution of $0.8 million in cash for an aggregate of 5.0% ownership interest and income share in the Fund.</w:t>
      </w:r>
    </w:p>
    <w:p>
      <w:pPr>
        <w:spacing w:after="0" w:line="196" w:lineRule="exact"/>
        <w:rPr>
          <w:sz w:val="20"/>
          <w:szCs w:val="20"/>
          <w:color w:val="auto"/>
        </w:rPr>
      </w:pPr>
    </w:p>
    <w:p>
      <w:pPr>
        <w:ind w:firstLine="648"/>
        <w:spacing w:after="0" w:line="329" w:lineRule="auto"/>
        <w:rPr>
          <w:sz w:val="20"/>
          <w:szCs w:val="20"/>
          <w:color w:val="auto"/>
        </w:rPr>
      </w:pPr>
      <w:r>
        <w:rPr>
          <w:rFonts w:ascii="Arial" w:cs="Arial" w:eastAsia="Arial" w:hAnsi="Arial"/>
          <w:sz w:val="16"/>
          <w:szCs w:val="16"/>
          <w:color w:val="auto"/>
        </w:rPr>
        <w:t>The Company has commitments to contribute additional capital of $9.4 million to the Fund over the next three years. Given the level of ownership interest in the Fund, which is a limited liability company, and the fact that the Fund maintains specific ownership accounts for investors, the Company accounts for this investment using the equity method of accounting. The Fund is included in other assets on the consolidated balance sheet.</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Company's share of the Fund’s net earnings and impairment charges on investments are reported in the consolidated statements of operations as other income (expense), net of tax. As of June 30, 2021, the carrying amount of the Company’s investment in the Fund was $3.0 million. There was no material difference between the carrying value and the fair value of the underlying net assets of the Fund that would result in adjustments to the Company’s proportionate share of the Fund’s net earnings.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Restricted cash</w:t>
      </w:r>
    </w:p>
    <w:p>
      <w:pPr>
        <w:spacing w:after="0" w:line="256" w:lineRule="exact"/>
        <w:rPr>
          <w:sz w:val="20"/>
          <w:szCs w:val="20"/>
          <w:color w:val="auto"/>
        </w:rPr>
      </w:pPr>
    </w:p>
    <w:p>
      <w:pPr>
        <w:ind w:right="280" w:firstLine="648"/>
        <w:spacing w:after="0" w:line="359"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that sum to the total of the same such amounts shown in the statement of cash flows for the three months ended June 30, 2021 and 2020.</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Restricted cash, included in other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cash, cash equivalents, and restricted cash</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35"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June 30, 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r>
      <w:tr>
        <w:trPr>
          <w:trHeight w:val="190"/>
        </w:trPr>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338,336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201,086</w:t>
            </w:r>
          </w:p>
        </w:tc>
        <w:tc>
          <w:tcPr>
            <w:tcW w:w="5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378,123</w:t>
            </w:r>
          </w:p>
        </w:tc>
      </w:tr>
      <w:tr>
        <w:trPr>
          <w:trHeight w:val="263"/>
        </w:trPr>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r>
      <w:tr>
        <w:trPr>
          <w:trHeight w:val="25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341,365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204,115</w:t>
            </w:r>
          </w:p>
        </w:tc>
        <w:tc>
          <w:tcPr>
            <w:tcW w:w="58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381,152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-521970</wp:posOffset>
            </wp:positionV>
            <wp:extent cx="677227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-187960</wp:posOffset>
            </wp:positionV>
            <wp:extent cx="677227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22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tabs>
          <w:tab w:leader="none" w:pos="196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23495</wp:posOffset>
            </wp:positionV>
            <wp:extent cx="22459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5920" w:space="720"/>
            <w:col w:w="4560"/>
          </w:cols>
          <w:pgMar w:left="320" w:top="364" w:right="379" w:bottom="1440" w:gutter="0" w:footer="0" w:header="0"/>
          <w:type w:val="continuous"/>
        </w:sectPr>
      </w:pPr>
    </w:p>
    <w:tbl>
      <w:tblPr>
        <w:tblLayout w:type="fixed"/>
        <w:tblInd w:w="1140" w:type="dxa"/>
        <w:tblCellMar>
          <w:top w:w="0" w:type="dxa"/>
          <w:left w:w="0" w:type="dxa"/>
          <w:bottom w:w="0" w:type="dxa"/>
          <w:right w:w="0" w:type="dxa"/>
        </w:tblCellMar>
      </w:tblP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15,940</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15,128</w:t>
            </w:r>
          </w:p>
        </w:tc>
        <w:tc>
          <w:tcPr>
            <w:tcW w:w="80" w:type="dxa"/>
            <w:vAlign w:val="bottom"/>
            <w:shd w:val="clear" w:color="auto" w:fill="CFF0FC"/>
          </w:tcPr>
          <w:p>
            <w:pPr>
              <w:spacing w:after="0"/>
              <w:rPr>
                <w:sz w:val="21"/>
                <w:szCs w:val="21"/>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Employee related computer equipment</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25,379</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20,802</w:t>
            </w:r>
          </w:p>
        </w:tc>
        <w:tc>
          <w:tcPr>
            <w:tcW w:w="80" w:type="dxa"/>
            <w:vAlign w:val="bottom"/>
          </w:tcPr>
          <w:p>
            <w:pPr>
              <w:spacing w:after="0"/>
              <w:rPr>
                <w:sz w:val="21"/>
                <w:szCs w:val="21"/>
                <w:color w:val="auto"/>
              </w:rPr>
            </w:pPr>
          </w:p>
        </w:tc>
      </w:tr>
      <w:tr>
        <w:trPr>
          <w:trHeight w:val="26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21,770</w:t>
            </w:r>
          </w:p>
        </w:tc>
        <w:tc>
          <w:tcPr>
            <w:tcW w:w="2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20,204</w:t>
            </w:r>
          </w:p>
        </w:tc>
        <w:tc>
          <w:tcPr>
            <w:tcW w:w="80" w:type="dxa"/>
            <w:vAlign w:val="bottom"/>
            <w:shd w:val="clear" w:color="auto" w:fill="CFF0FC"/>
          </w:tcPr>
          <w:p>
            <w:pPr>
              <w:spacing w:after="0"/>
              <w:rPr>
                <w:sz w:val="22"/>
                <w:szCs w:val="22"/>
                <w:color w:val="auto"/>
              </w:rPr>
            </w:pPr>
          </w:p>
        </w:tc>
      </w:tr>
      <w:tr>
        <w:trPr>
          <w:trHeight w:val="250"/>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96,369</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89,850</w:t>
            </w:r>
          </w:p>
        </w:tc>
        <w:tc>
          <w:tcPr>
            <w:tcW w:w="80" w:type="dxa"/>
            <w:vAlign w:val="bottom"/>
          </w:tcPr>
          <w:p>
            <w:pPr>
              <w:spacing w:after="0"/>
              <w:rPr>
                <w:sz w:val="21"/>
                <w:szCs w:val="21"/>
                <w:color w:val="auto"/>
              </w:rPr>
            </w:pPr>
          </w:p>
        </w:tc>
      </w:tr>
      <w:tr>
        <w:trPr>
          <w:trHeight w:val="26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Internal-use software</w:t>
            </w:r>
          </w:p>
        </w:tc>
        <w:tc>
          <w:tcPr>
            <w:tcW w:w="5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16,495</w:t>
            </w:r>
          </w:p>
        </w:tc>
        <w:tc>
          <w:tcPr>
            <w:tcW w:w="2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12,528</w:t>
            </w:r>
          </w:p>
        </w:tc>
        <w:tc>
          <w:tcPr>
            <w:tcW w:w="80" w:type="dxa"/>
            <w:vAlign w:val="bottom"/>
            <w:shd w:val="clear" w:color="auto" w:fill="CFF0FC"/>
          </w:tcPr>
          <w:p>
            <w:pPr>
              <w:spacing w:after="0"/>
              <w:rPr>
                <w:sz w:val="22"/>
                <w:szCs w:val="22"/>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10,014</w:t>
            </w:r>
          </w:p>
        </w:tc>
        <w:tc>
          <w:tcPr>
            <w:tcW w:w="80" w:type="dxa"/>
            <w:vAlign w:val="bottom"/>
          </w:tcPr>
          <w:p>
            <w:pPr>
              <w:spacing w:after="0"/>
              <w:rPr>
                <w:sz w:val="22"/>
                <w:szCs w:val="22"/>
                <w:color w:val="auto"/>
              </w:rPr>
            </w:pPr>
          </w:p>
        </w:tc>
      </w:tr>
      <w:tr>
        <w:trPr>
          <w:trHeight w:val="25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5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176,373</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168,526</w:t>
            </w:r>
          </w:p>
        </w:tc>
        <w:tc>
          <w:tcPr>
            <w:tcW w:w="80" w:type="dxa"/>
            <w:vAlign w:val="bottom"/>
            <w:shd w:val="clear" w:color="auto" w:fill="CFF0FC"/>
          </w:tcPr>
          <w:p>
            <w:pPr>
              <w:spacing w:after="0"/>
              <w:rPr>
                <w:sz w:val="21"/>
                <w:szCs w:val="21"/>
                <w:color w:val="auto"/>
              </w:rPr>
            </w:pPr>
          </w:p>
        </w:tc>
      </w:tr>
      <w:tr>
        <w:trPr>
          <w:trHeight w:val="257"/>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58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(78,488 )</w:t>
            </w:r>
          </w:p>
        </w:tc>
        <w:tc>
          <w:tcPr>
            <w:tcW w:w="5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(67,403 )</w:t>
            </w:r>
          </w:p>
        </w:tc>
      </w:tr>
      <w:tr>
        <w:trPr>
          <w:trHeight w:val="290"/>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97,885</w:t>
            </w:r>
          </w:p>
        </w:tc>
        <w:tc>
          <w:tcPr>
            <w:tcW w:w="2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101,123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right="160" w:firstLine="648"/>
        <w:spacing w:after="0" w:line="359" w:lineRule="auto"/>
        <w:rPr>
          <w:sz w:val="20"/>
          <w:szCs w:val="20"/>
          <w:color w:val="auto"/>
        </w:rPr>
      </w:pPr>
      <w:r>
        <w:rPr>
          <w:rFonts w:ascii="Arial" w:cs="Arial" w:eastAsia="Arial" w:hAnsi="Arial"/>
          <w:sz w:val="16"/>
          <w:szCs w:val="16"/>
          <w:color w:val="auto"/>
        </w:rPr>
        <w:t>Depreciation and amortization expense on property and equipment was $6.1 million for the three months ended June 30, 2021, $12.1 million for the six months ended June 30, 2021, $4.9 million for the three months ended June 30, 2020 and $9.6 million for the six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Capitalized Software Development Costs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software development costs, exclusive of those recorded within property and equipment, consisted of the following:</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December 31, 2020</w:t>
            </w:r>
          </w:p>
        </w:tc>
        <w:tc>
          <w:tcPr>
            <w:tcW w:w="8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capitalized software development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103,231</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85,630</w:t>
            </w:r>
          </w:p>
        </w:tc>
        <w:tc>
          <w:tcPr>
            <w:tcW w:w="80" w:type="dxa"/>
            <w:vAlign w:val="bottom"/>
            <w:shd w:val="clear" w:color="auto" w:fill="CFF0FC"/>
          </w:tcPr>
          <w:p>
            <w:pPr>
              <w:spacing w:after="0"/>
              <w:rPr>
                <w:sz w:val="22"/>
                <w:szCs w:val="22"/>
                <w:color w:val="auto"/>
              </w:rPr>
            </w:pPr>
          </w:p>
        </w:tc>
      </w:tr>
      <w:tr>
        <w:trPr>
          <w:trHeight w:val="257"/>
        </w:trPr>
        <w:tc>
          <w:tcPr>
            <w:tcW w:w="5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(69,718 )</w:t>
            </w:r>
          </w:p>
        </w:tc>
        <w:tc>
          <w:tcPr>
            <w:tcW w:w="160" w:type="dxa"/>
            <w:vAlign w:val="bottom"/>
          </w:tcPr>
          <w:p>
            <w:pPr>
              <w:spacing w:after="0"/>
              <w:rPr>
                <w:sz w:val="22"/>
                <w:szCs w:val="22"/>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(60,687 )</w:t>
            </w:r>
          </w:p>
        </w:tc>
      </w:tr>
      <w:tr>
        <w:trPr>
          <w:trHeight w:val="29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Capitalized software development costs,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36" w:lineRule="exact"/>
        <w:rPr>
          <w:sz w:val="20"/>
          <w:szCs w:val="20"/>
          <w:color w:val="auto"/>
        </w:rPr>
      </w:pPr>
    </w:p>
    <w:p>
      <w:pPr>
        <w:ind w:firstLine="441"/>
        <w:spacing w:after="0" w:line="293" w:lineRule="auto"/>
        <w:rPr>
          <w:sz w:val="20"/>
          <w:szCs w:val="20"/>
          <w:color w:val="auto"/>
        </w:rPr>
      </w:pPr>
      <w:r>
        <w:rPr>
          <w:rFonts w:ascii="Arial" w:cs="Arial" w:eastAsia="Arial" w:hAnsi="Arial"/>
          <w:sz w:val="18"/>
          <w:szCs w:val="18"/>
          <w:color w:val="auto"/>
        </w:rPr>
        <w:t>These capitalized software development costs are associated with software developed for customer purchase. Capitalized software development costs recorded within property and equipment are associated with software developed for Company use.</w:t>
      </w:r>
    </w:p>
    <w:p>
      <w:pPr>
        <w:spacing w:after="0" w:line="264" w:lineRule="exact"/>
        <w:rPr>
          <w:sz w:val="20"/>
          <w:szCs w:val="20"/>
          <w:color w:val="auto"/>
        </w:rPr>
      </w:pPr>
    </w:p>
    <w:p>
      <w:pPr>
        <w:jc w:val="both"/>
        <w:ind w:right="200" w:firstLine="441"/>
        <w:spacing w:after="0" w:line="266" w:lineRule="auto"/>
        <w:rPr>
          <w:sz w:val="20"/>
          <w:szCs w:val="20"/>
          <w:color w:val="auto"/>
        </w:rPr>
      </w:pPr>
      <w:r>
        <w:rPr>
          <w:rFonts w:ascii="Arial" w:cs="Arial" w:eastAsia="Arial" w:hAnsi="Arial"/>
          <w:sz w:val="18"/>
          <w:szCs w:val="18"/>
          <w:color w:val="auto"/>
        </w:rPr>
        <w:t>Amortization of capitalized software development costs, exclusive of costs recorded within property and equipment, was $5.3 million for the three months ended June 30, 2021, $10.2 million for the six months ended June 30, 2021, $3.7 million for three months ended June 30, 2020, and $7.1 million for the six months ended June 30,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w:t>
      </w:r>
    </w:p>
    <w:p>
      <w:pPr>
        <w:spacing w:after="0" w:line="25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2025 Convertible Senior Notes and Capped Call Options</w:t>
      </w:r>
    </w:p>
    <w:p>
      <w:pPr>
        <w:spacing w:after="0" w:line="252" w:lineRule="exact"/>
        <w:rPr>
          <w:sz w:val="20"/>
          <w:szCs w:val="20"/>
          <w:color w:val="auto"/>
        </w:rPr>
      </w:pPr>
    </w:p>
    <w:p>
      <w:pPr>
        <w:ind w:firstLine="577"/>
        <w:spacing w:after="0" w:line="270" w:lineRule="auto"/>
        <w:rPr>
          <w:sz w:val="20"/>
          <w:szCs w:val="20"/>
          <w:color w:val="auto"/>
        </w:rPr>
      </w:pPr>
      <w:r>
        <w:rPr>
          <w:rFonts w:ascii="Arial" w:cs="Arial" w:eastAsia="Arial" w:hAnsi="Arial"/>
          <w:sz w:val="18"/>
          <w:szCs w:val="18"/>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14" w:name="page15"/>
    <w:bookmarkEnd w:id="14"/>
    <w:p>
      <w:pPr>
        <w:ind w:right="120"/>
        <w:spacing w:after="0" w:line="269" w:lineRule="auto"/>
        <w:rPr>
          <w:sz w:val="20"/>
          <w:szCs w:val="20"/>
          <w:color w:val="auto"/>
        </w:rPr>
      </w:pPr>
      <w:r>
        <w:rPr>
          <w:rFonts w:ascii="Arial" w:cs="Arial" w:eastAsia="Arial" w:hAnsi="Arial"/>
          <w:sz w:val="18"/>
          <w:szCs w:val="18"/>
          <w:color w:val="auto"/>
        </w:rPr>
        <w:t>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June 30, 2021 was equal to or greater than 130% of the applicable conversion price on each applicable trading day, the 2025 Notes are convertible at the option of the holders thereof during the calendar quarter ending September 30, 2021. As of July 30, 2021, no holders have converted or indicated their intention to convert the 2025 Notes. The 2025 Notes are classified as long-term debt.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net carrying amount of the liability component of the 2025 Notes is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As of June 30, 2021</w:t>
            </w:r>
          </w:p>
        </w:tc>
        <w:tc>
          <w:tcPr>
            <w:tcW w:w="260" w:type="dxa"/>
            <w:vAlign w:val="bottom"/>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of December 31, 2020</w:t>
            </w:r>
          </w:p>
        </w:tc>
        <w:tc>
          <w:tcPr>
            <w:tcW w:w="80" w:type="dxa"/>
            <w:vAlign w:val="bottom"/>
          </w:tcPr>
          <w:p>
            <w:pPr>
              <w:spacing w:after="0"/>
              <w:rPr>
                <w:sz w:val="16"/>
                <w:szCs w:val="16"/>
                <w:color w:val="auto"/>
              </w:rPr>
            </w:pPr>
          </w:p>
        </w:tc>
      </w:tr>
      <w:tr>
        <w:trPr>
          <w:trHeight w:val="196"/>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26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460,000</w:t>
            </w:r>
          </w:p>
        </w:tc>
        <w:tc>
          <w:tcPr>
            <w:tcW w:w="80" w:type="dxa"/>
            <w:vAlign w:val="bottom"/>
            <w:shd w:val="clear" w:color="auto" w:fill="CFF0FC"/>
          </w:tcPr>
          <w:p>
            <w:pPr>
              <w:spacing w:after="0"/>
              <w:rPr>
                <w:sz w:val="22"/>
                <w:szCs w:val="22"/>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6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(79,864 )</w:t>
            </w:r>
          </w:p>
        </w:tc>
        <w:tc>
          <w:tcPr>
            <w:tcW w:w="6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(88,756 )</w:t>
            </w:r>
          </w:p>
        </w:tc>
      </w:tr>
      <w:tr>
        <w:trPr>
          <w:trHeight w:val="26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1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(6,273 )</w:t>
            </w:r>
          </w:p>
        </w:tc>
        <w:tc>
          <w:tcPr>
            <w:tcW w:w="6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(6,973 )</w:t>
            </w:r>
          </w:p>
        </w:tc>
      </w:tr>
      <w:tr>
        <w:trPr>
          <w:trHeight w:val="250"/>
        </w:trPr>
        <w:tc>
          <w:tcPr>
            <w:tcW w:w="5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373,863</w:t>
            </w:r>
          </w:p>
        </w:tc>
        <w:tc>
          <w:tcPr>
            <w:tcW w:w="260" w:type="dxa"/>
            <w:vAlign w:val="bottom"/>
            <w:tcBorders>
              <w:top w:val="single" w:sz="8" w:color="CFF0FC"/>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364,271</w:t>
            </w:r>
          </w:p>
        </w:tc>
        <w:tc>
          <w:tcPr>
            <w:tcW w:w="80" w:type="dxa"/>
            <w:vAlign w:val="bottom"/>
            <w:tcBorders>
              <w:top w:val="single" w:sz="8" w:color="CFF0FC"/>
            </w:tcBorders>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-193675</wp:posOffset>
            </wp:positionV>
            <wp:extent cx="1631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net carrying amount of the equity component of the 2025 Notes is as follows: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4"/>
                <w:szCs w:val="14"/>
                <w:b w:val="1"/>
                <w:bCs w:val="1"/>
                <w:color w:val="auto"/>
              </w:rPr>
              <w:t>As of June 30, 2021</w:t>
            </w:r>
          </w:p>
        </w:tc>
        <w:tc>
          <w:tcPr>
            <w:tcW w:w="260" w:type="dxa"/>
            <w:vAlign w:val="bottom"/>
          </w:tcPr>
          <w:p>
            <w:pPr>
              <w:spacing w:after="0"/>
              <w:rPr>
                <w:sz w:val="16"/>
                <w:szCs w:val="16"/>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As of December 31, 2020</w:t>
            </w:r>
          </w:p>
        </w:tc>
        <w:tc>
          <w:tcPr>
            <w:tcW w:w="8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80" w:type="dxa"/>
            <w:vAlign w:val="bottom"/>
          </w:tcPr>
          <w:p>
            <w:pPr>
              <w:spacing w:after="0"/>
              <w:rPr>
                <w:sz w:val="22"/>
                <w:szCs w:val="22"/>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Debt discount for conversion option</w:t>
            </w:r>
          </w:p>
        </w:tc>
        <w:tc>
          <w:tcPr>
            <w:tcW w:w="7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56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98,730</w:t>
            </w:r>
          </w:p>
        </w:tc>
        <w:tc>
          <w:tcPr>
            <w:tcW w:w="80" w:type="dxa"/>
            <w:vAlign w:val="bottom"/>
            <w:shd w:val="clear" w:color="auto" w:fill="CFF0FC"/>
          </w:tcPr>
          <w:p>
            <w:pPr>
              <w:spacing w:after="0"/>
              <w:rPr>
                <w:sz w:val="22"/>
                <w:szCs w:val="22"/>
                <w:color w:val="auto"/>
              </w:rPr>
            </w:pPr>
          </w:p>
        </w:tc>
      </w:tr>
      <w:tr>
        <w:trPr>
          <w:trHeight w:val="257"/>
        </w:trPr>
        <w:tc>
          <w:tcPr>
            <w:tcW w:w="48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Issuance costs</w:t>
            </w: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00" w:type="dxa"/>
            <w:vAlign w:val="bottom"/>
            <w:gridSpan w:val="4"/>
          </w:tcPr>
          <w:p>
            <w:pPr>
              <w:jc w:val="right"/>
              <w:ind w:right="110"/>
              <w:spacing w:after="0"/>
              <w:rPr>
                <w:sz w:val="20"/>
                <w:szCs w:val="20"/>
                <w:color w:val="auto"/>
              </w:rPr>
            </w:pPr>
            <w:r>
              <w:rPr>
                <w:rFonts w:ascii="Arial" w:cs="Arial" w:eastAsia="Arial" w:hAnsi="Arial"/>
                <w:sz w:val="18"/>
                <w:szCs w:val="18"/>
                <w:color w:val="auto"/>
              </w:rPr>
              <w:t>(2,120 )</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(2,120 )</w:t>
            </w:r>
          </w:p>
        </w:tc>
      </w:tr>
      <w:tr>
        <w:trPr>
          <w:trHeight w:val="290"/>
        </w:trPr>
        <w:tc>
          <w:tcPr>
            <w:tcW w:w="480" w:type="dxa"/>
            <w:vAlign w:val="bottom"/>
          </w:tcPr>
          <w:p>
            <w:pPr>
              <w:spacing w:after="0"/>
              <w:rPr>
                <w:sz w:val="24"/>
                <w:szCs w:val="24"/>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7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40"/>
        </w:trPr>
        <w:tc>
          <w:tcPr>
            <w:tcW w:w="4320" w:type="dxa"/>
            <w:vAlign w:val="bottom"/>
            <w:gridSpan w:val="2"/>
          </w:tcPr>
          <w:p>
            <w:pPr>
              <w:spacing w:after="0"/>
              <w:rPr>
                <w:sz w:val="20"/>
                <w:szCs w:val="20"/>
                <w:color w:val="auto"/>
              </w:rPr>
            </w:pPr>
            <w:r>
              <w:rPr>
                <w:rFonts w:ascii="Arial" w:cs="Arial" w:eastAsia="Arial" w:hAnsi="Arial"/>
                <w:sz w:val="18"/>
                <w:szCs w:val="18"/>
                <w:color w:val="auto"/>
                <w:w w:val="96"/>
              </w:rPr>
              <w:t>Interest expense related to the 2025 Notes is as follows: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252"/>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80" w:type="dxa"/>
            <w:vAlign w:val="bottom"/>
            <w:gridSpan w:val="2"/>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4"/>
          </w:tcPr>
          <w:p>
            <w:pPr>
              <w:jc w:val="right"/>
              <w:ind w:right="144"/>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480" w:type="dxa"/>
            <w:vAlign w:val="bottom"/>
          </w:tcPr>
          <w:p>
            <w:pPr>
              <w:spacing w:after="0"/>
              <w:rPr>
                <w:sz w:val="22"/>
                <w:szCs w:val="22"/>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shd w:val="clear" w:color="auto" w:fill="CFF0FC"/>
          </w:tcPr>
          <w:p>
            <w:pPr>
              <w:jc w:val="right"/>
              <w:ind w:right="284"/>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8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FF0FC"/>
          </w:tcPr>
          <w:p>
            <w:pPr>
              <w:spacing w:after="0"/>
              <w:rPr>
                <w:sz w:val="22"/>
                <w:szCs w:val="22"/>
                <w:color w:val="auto"/>
              </w:rPr>
            </w:pPr>
          </w:p>
        </w:tc>
      </w:tr>
      <w:tr>
        <w:trPr>
          <w:trHeight w:val="250"/>
        </w:trPr>
        <w:tc>
          <w:tcPr>
            <w:tcW w:w="4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4,510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21"/>
                <w:szCs w:val="21"/>
                <w:color w:val="auto"/>
              </w:rPr>
            </w:pPr>
          </w:p>
        </w:tc>
      </w:tr>
      <w:tr>
        <w:trPr>
          <w:trHeight w:val="263"/>
        </w:trPr>
        <w:tc>
          <w:tcPr>
            <w:tcW w:w="480" w:type="dxa"/>
            <w:vAlign w:val="bottom"/>
          </w:tcPr>
          <w:p>
            <w:pPr>
              <w:spacing w:after="0"/>
              <w:rPr>
                <w:sz w:val="22"/>
                <w:szCs w:val="22"/>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8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interest expense</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5,295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1,439</w:t>
            </w:r>
          </w:p>
        </w:tc>
        <w:tc>
          <w:tcPr>
            <w:tcW w:w="640" w:type="dxa"/>
            <w:vAlign w:val="bottom"/>
            <w:gridSpan w:val="3"/>
          </w:tcPr>
          <w:p>
            <w:pPr>
              <w:jc w:val="right"/>
              <w:ind w:right="284"/>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10,462</w:t>
            </w:r>
          </w:p>
        </w:tc>
        <w:tc>
          <w:tcPr>
            <w:tcW w:w="4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-1550670</wp:posOffset>
            </wp:positionV>
            <wp:extent cx="163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-1534160</wp:posOffset>
            </wp:positionV>
            <wp:extent cx="1631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-1550670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-1534160</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-193675</wp:posOffset>
            </wp:positionV>
            <wp:extent cx="1371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-193675</wp:posOffset>
            </wp:positionV>
            <wp:extent cx="12001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-193675</wp:posOffset>
            </wp:positionV>
            <wp:extent cx="1111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right="260" w:firstLine="583"/>
        <w:spacing w:after="0" w:line="299" w:lineRule="auto"/>
        <w:rPr>
          <w:sz w:val="20"/>
          <w:szCs w:val="20"/>
          <w:color w:val="auto"/>
        </w:rPr>
      </w:pPr>
      <w:r>
        <w:rPr>
          <w:rFonts w:ascii="Arial" w:cs="Arial" w:eastAsia="Arial" w:hAnsi="Arial"/>
          <w:sz w:val="16"/>
          <w:szCs w:val="16"/>
          <w:color w:val="auto"/>
        </w:rPr>
        <w:t>In connection with the offering of the 2025 Notes, the Company purchased capped call options (“Capped Call Options”) with respect to its common stock for $50.6 million. The Capped Call Options are purchased call options that give the Company the option to purchase up to approximately</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$50.6 million paid for the Capped Call Options are recorded in stockholders’ equity as a reduction in additional paid-in capital and are not accounted for as separate derivative financial instruments.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2022 Convertible Senior Notes, Convertible Note Hedge and Warrant</w:t>
      </w:r>
    </w:p>
    <w:p>
      <w:pPr>
        <w:spacing w:after="0" w:line="252" w:lineRule="exact"/>
        <w:rPr>
          <w:sz w:val="20"/>
          <w:szCs w:val="20"/>
          <w:color w:val="auto"/>
        </w:rPr>
      </w:pPr>
    </w:p>
    <w:p>
      <w:pPr>
        <w:ind w:right="20" w:firstLine="577"/>
        <w:spacing w:after="0" w:line="286" w:lineRule="auto"/>
        <w:rPr>
          <w:sz w:val="20"/>
          <w:szCs w:val="20"/>
          <w:color w:val="auto"/>
        </w:rPr>
      </w:pPr>
      <w:r>
        <w:rPr>
          <w:rFonts w:ascii="Arial" w:cs="Arial" w:eastAsia="Arial" w:hAnsi="Arial"/>
          <w:sz w:val="17"/>
          <w:szCs w:val="17"/>
          <w:color w:val="auto"/>
        </w:rPr>
        <w:t>In May 2017, the Company issued $350 million aggregate principal amount of 0.25% convertible senior notes due June 1, 2022 in a private offering and an additional $50 million aggregate principal amount of such notes pursuant to the exercise in full of the over-allotment options of the initial purchasers (the “2022 Notes”). Each $1,000 principal amount of the 2022 Notes will initially be convertible into 10.5519 shares of the Company’s common stock (the “Conversion Option of the 2022 Notes”), which is equivalent to a conversion price of approximately $94.77 per share, under certain circumstances, subject to adjustment upon the occurrence of specified events. On or after February 1, 2022 until the close of business on the second scheduled trading day immediately preceding the maturity date, holders may convert their notes at any time. The 2022 Notes are convertible at the option of the holders prior to the close of business on the business day immediately preceding February 1, 2022 under certain circumstances. Upon conversion, the Company will pay or deliver, as the case may be, cash, shares of the Company’s common stock or a combination of cash and shares of the Company’s common stock, at the Company’s election. The Company expects to settle the principal amount of the 2022 Notes in cash. Because the last reported sale price of the Company’s common stock for at least 20 trading days during the period of 30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consecutive trading days ending on the last trading day of the calendar quarter ended June 30, 2021 was equal to or greater than 130% of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conversion price on each applicable trading day, the 2022 Notes are convertible at the option of the holders thereof during the calendar quarter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ending September 30, 2021. In the second quarter of 2021, the Company settled $12.7 million of principal balance of the 2022 Notes in cash.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Company compared the consideration attributed to the fair value of the debt component with the carrying value of the debt component, which includes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proportionate amounts of unamortized debt discount and the remaining unamortized debt issuance costs and recorded a loss on early extinguishment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$0.7 million for the three months ended June 30, 2021 and $3.1 million for the six months ended June 30, 2021 within interest expense on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As of July 30, 2021, the Company has received conversion notices for approximately $46.4 million of the principal balance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Notes, which will be settled in cash during the quarter ended September 30, 2021.</w:t>
      </w:r>
    </w:p>
    <w:p>
      <w:pPr>
        <w:spacing w:after="0" w:line="251" w:lineRule="exact"/>
        <w:rPr>
          <w:sz w:val="20"/>
          <w:szCs w:val="20"/>
          <w:color w:val="auto"/>
        </w:rPr>
      </w:pPr>
    </w:p>
    <w:p>
      <w:pPr>
        <w:ind w:right="520" w:firstLine="577"/>
        <w:spacing w:after="0" w:line="293" w:lineRule="auto"/>
        <w:rPr>
          <w:sz w:val="20"/>
          <w:szCs w:val="20"/>
          <w:color w:val="auto"/>
        </w:rPr>
      </w:pPr>
      <w:r>
        <w:rPr>
          <w:rFonts w:ascii="Arial" w:cs="Arial" w:eastAsia="Arial" w:hAnsi="Arial"/>
          <w:sz w:val="18"/>
          <w:szCs w:val="18"/>
          <w:color w:val="auto"/>
        </w:rPr>
        <w:t>The 2022 Notes are classified as short-term debt and the equity component of the 2022 Notes is classified as additional paid-in capital. As of June 30, 2021, $68.7 million of principal remains outstanding on the 2022 Notes.</w:t>
      </w:r>
    </w:p>
    <w:p>
      <w:pPr>
        <w:spacing w:after="0" w:line="183" w:lineRule="exact"/>
        <w:rPr>
          <w:sz w:val="20"/>
          <w:szCs w:val="20"/>
          <w:color w:val="auto"/>
        </w:rPr>
      </w:pPr>
    </w:p>
    <w:p>
      <w:pPr>
        <w:ind w:right="120" w:firstLine="577"/>
        <w:spacing w:after="0" w:line="287" w:lineRule="auto"/>
        <w:rPr>
          <w:sz w:val="20"/>
          <w:szCs w:val="20"/>
          <w:color w:val="auto"/>
        </w:rPr>
      </w:pPr>
      <w:r>
        <w:rPr>
          <w:rFonts w:ascii="Arial" w:cs="Arial" w:eastAsia="Arial" w:hAnsi="Arial"/>
          <w:sz w:val="17"/>
          <w:szCs w:val="17"/>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The Convertible Note Hedges will be settled in cash or shares, or any combination thereof, in accordance with the settlement method of the 2022 Notes in excess of the par amount, and are expected to settle concurrently with the conversion of the 2022 Notes.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 The amount by which the settlement price exceeds the strike price may be settled in shares or cash at the Company’s election. The Warrants are expected to settle three business days from each trading day commencing on September 1, 2022 and ending on the 79th trading day thereafter.</w:t>
      </w:r>
    </w:p>
    <w:p>
      <w:pPr>
        <w:spacing w:after="0" w:line="191" w:lineRule="exact"/>
        <w:rPr>
          <w:sz w:val="20"/>
          <w:szCs w:val="20"/>
          <w:color w:val="auto"/>
        </w:rPr>
      </w:pPr>
    </w:p>
    <w:p>
      <w:pPr>
        <w:ind w:right="100" w:firstLine="577"/>
        <w:spacing w:after="0" w:line="270" w:lineRule="auto"/>
        <w:rPr>
          <w:sz w:val="20"/>
          <w:szCs w:val="20"/>
          <w:color w:val="auto"/>
        </w:rPr>
      </w:pPr>
      <w:r>
        <w:rPr>
          <w:rFonts w:ascii="Arial" w:cs="Arial" w:eastAsia="Arial" w:hAnsi="Arial"/>
          <w:sz w:val="18"/>
          <w:szCs w:val="18"/>
          <w:color w:val="auto"/>
        </w:rPr>
        <w:t>During the three months ended June 30, 2021, the Company exercised and net-share-settled a portion of the Convertible Note Hedges, corresponding to approximately $12.7 million in principal amount of 2022 Notes and received approximately 0.1 million shares of common stock and an immaterial cash payment. During the six months ended June 30, 2021, the Company exercised and net-share-settled a portion of the Convertible Note Hedges, corresponding to approximately $57.2 million in principal amount of 2022 Notes and received approximately 0.5 million shares of common stock and a $0.7 million cash payment. As of June 30, 2021, Convertible Note Hedges giving the Company the option to purchase approximately 0.9 million shares of the Company’s common stock and Warrants giving certain counterparties the option to acquire up to 1.3 million shares of the Company’s common stock remain outstanding.</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net carrying amount of the liability component of the 2022 Notes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8"/>
              </w:rPr>
              <w:t>As of June 30, 2021</w:t>
            </w:r>
          </w:p>
        </w:tc>
        <w:tc>
          <w:tcPr>
            <w:tcW w:w="180" w:type="dxa"/>
            <w:vAlign w:val="bottom"/>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of December 31, 2020</w:t>
            </w:r>
          </w:p>
        </w:tc>
        <w:tc>
          <w:tcPr>
            <w:tcW w:w="80" w:type="dxa"/>
            <w:vAlign w:val="bottom"/>
          </w:tcPr>
          <w:p>
            <w:pPr>
              <w:spacing w:after="0"/>
              <w:rPr>
                <w:sz w:val="16"/>
                <w:szCs w:val="16"/>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3"/>
          </w:tcPr>
          <w:p>
            <w:pPr>
              <w:jc w:val="right"/>
              <w:ind w:right="327"/>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2"/>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Principal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68,653</w:t>
            </w:r>
          </w:p>
        </w:tc>
        <w:tc>
          <w:tcPr>
            <w:tcW w:w="180" w:type="dxa"/>
            <w:vAlign w:val="bottom"/>
            <w:shd w:val="clear" w:color="auto" w:fill="CFF0FC"/>
          </w:tcPr>
          <w:p>
            <w:pPr>
              <w:spacing w:after="0"/>
              <w:rPr>
                <w:sz w:val="22"/>
                <w:szCs w:val="22"/>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125,839</w:t>
            </w:r>
          </w:p>
        </w:tc>
        <w:tc>
          <w:tcPr>
            <w:tcW w:w="80" w:type="dxa"/>
            <w:vAlign w:val="bottom"/>
            <w:shd w:val="clear" w:color="auto" w:fill="CFF0FC"/>
          </w:tcPr>
          <w:p>
            <w:pPr>
              <w:spacing w:after="0"/>
              <w:rPr>
                <w:sz w:val="22"/>
                <w:szCs w:val="22"/>
                <w:color w:val="auto"/>
              </w:rPr>
            </w:pPr>
          </w:p>
        </w:tc>
      </w:tr>
      <w:tr>
        <w:trPr>
          <w:trHeight w:val="250"/>
        </w:trPr>
        <w:tc>
          <w:tcPr>
            <w:tcW w:w="530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21"/>
                <w:szCs w:val="21"/>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(3,620 )</w:t>
            </w:r>
          </w:p>
        </w:tc>
        <w:tc>
          <w:tcPr>
            <w:tcW w:w="6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(10,397 )</w:t>
            </w:r>
          </w:p>
        </w:tc>
      </w:tr>
      <w:tr>
        <w:trPr>
          <w:trHeight w:val="26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Unamortized issuance costs</w:t>
            </w:r>
          </w:p>
        </w:tc>
        <w:tc>
          <w:tcPr>
            <w:tcW w:w="20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(271 )</w:t>
            </w:r>
          </w:p>
        </w:tc>
        <w:tc>
          <w:tcPr>
            <w:tcW w:w="62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(777 )</w:t>
            </w:r>
          </w:p>
        </w:tc>
      </w:tr>
      <w:tr>
        <w:trPr>
          <w:trHeight w:val="250"/>
        </w:trPr>
        <w:tc>
          <w:tcPr>
            <w:tcW w:w="5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64,762</w:t>
            </w:r>
          </w:p>
        </w:tc>
        <w:tc>
          <w:tcPr>
            <w:tcW w:w="180" w:type="dxa"/>
            <w:vAlign w:val="bottom"/>
            <w:tcBorders>
              <w:top w:val="single" w:sz="8" w:color="CFF0FC"/>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114,665</w:t>
            </w:r>
          </w:p>
        </w:tc>
        <w:tc>
          <w:tcPr>
            <w:tcW w:w="80" w:type="dxa"/>
            <w:vAlign w:val="bottom"/>
            <w:tcBorders>
              <w:top w:val="single" w:sz="8" w:color="CFF0FC"/>
            </w:tcBorders>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-193675</wp:posOffset>
            </wp:positionV>
            <wp:extent cx="1111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net carrying amount of the equity component of the 2022 Notes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8"/>
              </w:rPr>
              <w:t>As of June 30, 2021</w:t>
            </w:r>
          </w:p>
        </w:tc>
        <w:tc>
          <w:tcPr>
            <w:tcW w:w="180" w:type="dxa"/>
            <w:vAlign w:val="bottom"/>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of December 31, 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3500" w:type="dxa"/>
            <w:vAlign w:val="bottom"/>
            <w:shd w:val="clear" w:color="auto" w:fill="CFF0FC"/>
          </w:tcPr>
          <w:p>
            <w:pPr>
              <w:spacing w:after="0"/>
              <w:rPr>
                <w:sz w:val="22"/>
                <w:szCs w:val="22"/>
                <w:color w:val="auto"/>
              </w:rPr>
            </w:pPr>
          </w:p>
        </w:tc>
        <w:tc>
          <w:tcPr>
            <w:tcW w:w="1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60" w:type="dxa"/>
            <w:vAlign w:val="bottom"/>
            <w:gridSpan w:val="3"/>
            <w:shd w:val="clear" w:color="auto" w:fill="CFF0FC"/>
          </w:tcPr>
          <w:p>
            <w:pPr>
              <w:jc w:val="right"/>
              <w:ind w:right="367"/>
              <w:spacing w:after="0"/>
              <w:rPr>
                <w:sz w:val="20"/>
                <w:szCs w:val="20"/>
                <w:color w:val="auto"/>
              </w:rPr>
            </w:pPr>
            <w:r>
              <w:rPr>
                <w:rFonts w:ascii="Arial" w:cs="Arial" w:eastAsia="Arial" w:hAnsi="Arial"/>
                <w:sz w:val="14"/>
                <w:szCs w:val="14"/>
                <w:b w:val="1"/>
                <w:bCs w:val="1"/>
                <w:color w:val="auto"/>
              </w:rPr>
              <w:t>(in thousands)</w:t>
            </w:r>
          </w:p>
        </w:tc>
        <w:tc>
          <w:tcPr>
            <w:tcW w:w="9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Debt discount for conversion option</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18,194</w:t>
            </w:r>
          </w:p>
        </w:tc>
        <w:tc>
          <w:tcPr>
            <w:tcW w:w="180" w:type="dxa"/>
            <w:vAlign w:val="bottom"/>
          </w:tcPr>
          <w:p>
            <w:pPr>
              <w:spacing w:after="0"/>
              <w:rPr>
                <w:sz w:val="21"/>
                <w:szCs w:val="21"/>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33,349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Issuance costs</w:t>
            </w:r>
          </w:p>
        </w:tc>
        <w:tc>
          <w:tcPr>
            <w:tcW w:w="1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(490 )</w:t>
            </w:r>
          </w:p>
        </w:tc>
        <w:tc>
          <w:tcPr>
            <w:tcW w:w="66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(898 )</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8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w:t>
            </w:r>
          </w:p>
        </w:tc>
        <w:tc>
          <w:tcPr>
            <w:tcW w:w="180" w:type="dxa"/>
            <w:vAlign w:val="bottom"/>
            <w:tcBorders>
              <w:top w:val="single" w:sz="8" w:color="CFF0FC"/>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32,451</w:t>
            </w:r>
          </w:p>
        </w:tc>
        <w:tc>
          <w:tcPr>
            <w:tcW w:w="80" w:type="dxa"/>
            <w:vAlign w:val="bottom"/>
            <w:tcBorders>
              <w:top w:val="single" w:sz="8" w:color="CFF0FC"/>
            </w:tcBorders>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0" w:type="dxa"/>
            <w:vAlign w:val="bottom"/>
            <w:vMerge w:val="restart"/>
          </w:tcPr>
          <w:p>
            <w:pPr>
              <w:jc w:val="right"/>
              <w:ind w:right="63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5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-699135</wp:posOffset>
            </wp:positionV>
            <wp:extent cx="1111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-699135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ind w:left="580"/>
        <w:spacing w:after="0"/>
        <w:rPr>
          <w:sz w:val="20"/>
          <w:szCs w:val="20"/>
          <w:color w:val="auto"/>
        </w:rPr>
      </w:pPr>
      <w:r>
        <w:rPr>
          <w:rFonts w:ascii="Arial" w:cs="Arial" w:eastAsia="Arial" w:hAnsi="Arial"/>
          <w:sz w:val="18"/>
          <w:szCs w:val="18"/>
          <w:color w:val="auto"/>
        </w:rPr>
        <w:t>Interest expense related to the 2022 Notes is as follows: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380" w:type="dxa"/>
            <w:vAlign w:val="bottom"/>
            <w:tcBorders>
              <w:bottom w:val="single" w:sz="8" w:color="auto"/>
            </w:tcBorders>
            <w:gridSpan w:val="5"/>
          </w:tcPr>
          <w:p>
            <w:pPr>
              <w:jc w:val="right"/>
              <w:ind w:right="174"/>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277"/>
        </w:trPr>
        <w:tc>
          <w:tcPr>
            <w:tcW w:w="346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r>
      <w:tr>
        <w:trPr>
          <w:trHeight w:val="277"/>
        </w:trPr>
        <w:tc>
          <w:tcPr>
            <w:tcW w:w="3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(in thousands)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Contractual interest expense</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FF0FC"/>
          </w:tcPr>
          <w:p>
            <w:pPr>
              <w:spacing w:after="0"/>
              <w:rPr>
                <w:sz w:val="24"/>
                <w:szCs w:val="24"/>
                <w:color w:val="auto"/>
              </w:rPr>
            </w:pPr>
          </w:p>
        </w:tc>
      </w:tr>
      <w:tr>
        <w:trPr>
          <w:trHeight w:val="277"/>
        </w:trPr>
        <w:tc>
          <w:tcPr>
            <w:tcW w:w="34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7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1,074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2,709</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9,629</w:t>
            </w:r>
          </w:p>
        </w:tc>
        <w:tc>
          <w:tcPr>
            <w:tcW w:w="80" w:type="dxa"/>
            <w:vAlign w:val="bottom"/>
          </w:tcPr>
          <w:p>
            <w:pPr>
              <w:spacing w:after="0"/>
              <w:rPr>
                <w:sz w:val="24"/>
                <w:szCs w:val="24"/>
                <w:color w:val="auto"/>
              </w:rPr>
            </w:pPr>
          </w:p>
        </w:tc>
      </w:tr>
      <w:tr>
        <w:trPr>
          <w:trHeight w:val="290"/>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issuance costs</w:t>
            </w:r>
          </w:p>
        </w:tc>
        <w:tc>
          <w:tcPr>
            <w:tcW w:w="74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77"/>
        </w:trPr>
        <w:tc>
          <w:tcPr>
            <w:tcW w:w="3460" w:type="dxa"/>
            <w:vAlign w:val="bottom"/>
          </w:tcPr>
          <w:p>
            <w:pPr>
              <w:spacing w:after="0"/>
              <w:rPr>
                <w:sz w:val="20"/>
                <w:szCs w:val="20"/>
                <w:color w:val="auto"/>
              </w:rPr>
            </w:pPr>
            <w:r>
              <w:rPr>
                <w:rFonts w:ascii="Arial" w:cs="Arial" w:eastAsia="Arial" w:hAnsi="Arial"/>
                <w:sz w:val="18"/>
                <w:szCs w:val="18"/>
                <w:color w:val="auto"/>
              </w:rPr>
              <w:t>Total interest expense</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4,858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3,027</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10,810</w:t>
            </w:r>
          </w:p>
        </w:tc>
        <w:tc>
          <w:tcPr>
            <w:tcW w:w="80" w:type="dxa"/>
            <w:vAlign w:val="bottom"/>
          </w:tcPr>
          <w:p>
            <w:pPr>
              <w:spacing w:after="0"/>
              <w:rPr>
                <w:sz w:val="24"/>
                <w:szCs w:val="24"/>
                <w:color w:val="auto"/>
              </w:rPr>
            </w:pPr>
          </w:p>
        </w:tc>
      </w:tr>
      <w:tr>
        <w:trPr>
          <w:trHeight w:val="20"/>
        </w:trPr>
        <w:tc>
          <w:tcPr>
            <w:tcW w:w="3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-210820</wp:posOffset>
            </wp:positionV>
            <wp:extent cx="10287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-210820</wp:posOffset>
            </wp:positionV>
            <wp:extent cx="12890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-210820</wp:posOffset>
            </wp:positionV>
            <wp:extent cx="1111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-210820</wp:posOffset>
            </wp:positionV>
            <wp:extent cx="5143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35" w:lineRule="exact"/>
        <w:rPr>
          <w:sz w:val="20"/>
          <w:szCs w:val="20"/>
          <w:color w:val="auto"/>
        </w:rPr>
      </w:pPr>
    </w:p>
    <w:p>
      <w:pPr>
        <w:ind w:right="180" w:firstLine="468"/>
        <w:spacing w:after="0" w:line="359" w:lineRule="auto"/>
        <w:rPr>
          <w:sz w:val="20"/>
          <w:szCs w:val="20"/>
          <w:color w:val="auto"/>
        </w:rPr>
      </w:pPr>
      <w:r>
        <w:rPr>
          <w:rFonts w:ascii="Arial" w:cs="Arial" w:eastAsia="Arial" w:hAnsi="Arial"/>
          <w:sz w:val="16"/>
          <w:szCs w:val="16"/>
          <w:color w:val="auto"/>
        </w:rPr>
        <w:t>The Company leases office facilities under non-cancelable operating leases that expire at various dates through May 2031. Certain operating leases contain optional termination dates, and the Company is not reasonably certain to extend its lease agreements beyond those dates.</w:t>
      </w:r>
    </w:p>
    <w:p>
      <w:pPr>
        <w:spacing w:after="0" w:line="17" w:lineRule="exact"/>
        <w:rPr>
          <w:sz w:val="20"/>
          <w:szCs w:val="20"/>
          <w:color w:val="auto"/>
        </w:rPr>
      </w:pPr>
    </w:p>
    <w:p>
      <w:pPr>
        <w:ind w:right="140" w:firstLine="468"/>
        <w:spacing w:after="0" w:line="359" w:lineRule="auto"/>
        <w:rPr>
          <w:sz w:val="20"/>
          <w:szCs w:val="20"/>
          <w:color w:val="auto"/>
        </w:rPr>
      </w:pPr>
      <w:r>
        <w:rPr>
          <w:rFonts w:ascii="Arial" w:cs="Arial" w:eastAsia="Arial" w:hAnsi="Arial"/>
          <w:sz w:val="16"/>
          <w:szCs w:val="16"/>
          <w:color w:val="auto"/>
        </w:rPr>
        <w:t>During the six months ended June 30, 2021, the Company extended the lease term for a lease in Tokyo, Japan and amended the agreements for certain leased spaces in Dublin, Ireland. The Company recorded $3.5 million of right-of-use assets and lease liabilities associated with these amendments.</w:t>
      </w:r>
    </w:p>
    <w:p>
      <w:pPr>
        <w:spacing w:after="0" w:line="17" w:lineRule="exact"/>
        <w:rPr>
          <w:sz w:val="20"/>
          <w:szCs w:val="20"/>
          <w:color w:val="auto"/>
        </w:rPr>
      </w:pPr>
    </w:p>
    <w:p>
      <w:pPr>
        <w:ind w:right="20" w:firstLine="468"/>
        <w:spacing w:after="0" w:line="296" w:lineRule="auto"/>
        <w:rPr>
          <w:sz w:val="20"/>
          <w:szCs w:val="20"/>
          <w:color w:val="auto"/>
        </w:rPr>
      </w:pPr>
      <w:r>
        <w:rPr>
          <w:rFonts w:ascii="Arial" w:cs="Arial" w:eastAsia="Arial" w:hAnsi="Arial"/>
          <w:sz w:val="17"/>
          <w:szCs w:val="17"/>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30, 2021 is 5.1%.</w:t>
      </w:r>
    </w:p>
    <w:p>
      <w:pPr>
        <w:spacing w:after="0" w:line="62" w:lineRule="exact"/>
        <w:rPr>
          <w:sz w:val="20"/>
          <w:szCs w:val="20"/>
          <w:color w:val="auto"/>
        </w:rPr>
      </w:pPr>
    </w:p>
    <w:p>
      <w:pPr>
        <w:ind w:right="200" w:firstLine="468"/>
        <w:spacing w:after="0" w:line="293" w:lineRule="auto"/>
        <w:rPr>
          <w:sz w:val="20"/>
          <w:szCs w:val="20"/>
          <w:color w:val="auto"/>
        </w:rPr>
      </w:pPr>
      <w:r>
        <w:rPr>
          <w:rFonts w:ascii="Arial" w:cs="Arial" w:eastAsia="Arial" w:hAnsi="Arial"/>
          <w:sz w:val="18"/>
          <w:szCs w:val="18"/>
          <w:color w:val="auto"/>
        </w:rPr>
        <w:t>Operating lease expense costs were $11.9 million for the three months ended June 30, 2021, $24.0 million for the six months ended June 30, 2021, $11.2 million for the three months ended June 30, 2020, and $20.9 million for the six months ended June 30, 2020.</w:t>
      </w:r>
    </w:p>
    <w:p>
      <w:pPr>
        <w:spacing w:after="0" w:line="62" w:lineRule="exact"/>
        <w:rPr>
          <w:sz w:val="20"/>
          <w:szCs w:val="20"/>
          <w:color w:val="auto"/>
        </w:rPr>
      </w:pPr>
    </w:p>
    <w:p>
      <w:pPr>
        <w:ind w:right="40" w:firstLine="468"/>
        <w:spacing w:after="0" w:line="293" w:lineRule="auto"/>
        <w:rPr>
          <w:sz w:val="20"/>
          <w:szCs w:val="20"/>
          <w:color w:val="auto"/>
        </w:rPr>
      </w:pPr>
      <w:r>
        <w:rPr>
          <w:rFonts w:ascii="Arial" w:cs="Arial" w:eastAsia="Arial" w:hAnsi="Arial"/>
          <w:sz w:val="18"/>
          <w:szCs w:val="18"/>
          <w:color w:val="auto"/>
        </w:rPr>
        <w:t>The Company subleases some of its unused spaces to third parties. Operating sublease income generated under all operating lease agreements for the three and six months ended June 30, 2021 and 2020 are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77"/>
        </w:trPr>
        <w:tc>
          <w:tcPr>
            <w:tcW w:w="4960" w:type="dxa"/>
            <w:vAlign w:val="bottom"/>
          </w:tcPr>
          <w:p>
            <w:pPr>
              <w:spacing w:after="0"/>
              <w:rPr>
                <w:sz w:val="24"/>
                <w:szCs w:val="24"/>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77"/>
        </w:trPr>
        <w:tc>
          <w:tcPr>
            <w:tcW w:w="4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ind w:left="600"/>
              <w:spacing w:after="0"/>
              <w:rPr>
                <w:sz w:val="20"/>
                <w:szCs w:val="20"/>
                <w:color w:val="auto"/>
              </w:rPr>
            </w:pPr>
            <w:r>
              <w:rPr>
                <w:rFonts w:ascii="Arial" w:cs="Arial" w:eastAsia="Arial" w:hAnsi="Arial"/>
                <w:sz w:val="14"/>
                <w:szCs w:val="14"/>
                <w:b w:val="1"/>
                <w:bCs w:val="1"/>
                <w:color w:val="auto"/>
                <w:w w:val="95"/>
              </w:rPr>
              <w:t>(in thousands)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sublease income</w:t>
            </w: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8"/>
              </w:rPr>
              <w:t>1,247</w:t>
            </w:r>
          </w:p>
        </w:tc>
        <w:tc>
          <w:tcPr>
            <w:tcW w:w="118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100" w:type="dxa"/>
            <w:vAlign w:val="bottom"/>
            <w:shd w:val="clear" w:color="auto" w:fill="CFF0FC"/>
          </w:tcPr>
          <w:p>
            <w:pPr>
              <w:spacing w:after="0"/>
              <w:rPr>
                <w:sz w:val="24"/>
                <w:szCs w:val="24"/>
                <w:color w:val="auto"/>
              </w:rPr>
            </w:pPr>
          </w:p>
        </w:tc>
      </w:tr>
    </w:tbl>
    <w:p>
      <w:pPr>
        <w:spacing w:after="0" w:line="107" w:lineRule="exact"/>
        <w:rPr>
          <w:sz w:val="20"/>
          <w:szCs w:val="20"/>
          <w:color w:val="auto"/>
        </w:rPr>
      </w:pPr>
    </w:p>
    <w:p>
      <w:pPr>
        <w:ind w:right="200" w:firstLine="540"/>
        <w:spacing w:after="0" w:line="324" w:lineRule="auto"/>
        <w:rPr>
          <w:sz w:val="20"/>
          <w:szCs w:val="20"/>
          <w:color w:val="auto"/>
        </w:rPr>
      </w:pPr>
      <w:r>
        <w:rPr>
          <w:rFonts w:ascii="Arial" w:cs="Arial" w:eastAsia="Arial" w:hAnsi="Arial"/>
          <w:sz w:val="17"/>
          <w:szCs w:val="17"/>
          <w:color w:val="auto"/>
        </w:rPr>
        <w:t>Cash payments related to operating lease liabilities were $14.0 million for the three months ended June 30, 2021, $26.1 million for the six months ended June 30, 2021, $11.3 million for the three months ended June 30, 2020, and $20.9 million for the six months ended June 30, 2020.</w:t>
      </w:r>
    </w:p>
    <w:p>
      <w:pPr>
        <w:spacing w:after="0" w:line="157" w:lineRule="exact"/>
        <w:rPr>
          <w:sz w:val="20"/>
          <w:szCs w:val="20"/>
          <w:color w:val="auto"/>
        </w:rPr>
      </w:pPr>
    </w:p>
    <w:p>
      <w:pPr>
        <w:ind w:left="480" w:right="8420" w:hanging="472"/>
        <w:spacing w:after="0" w:line="442" w:lineRule="auto"/>
        <w:tabs>
          <w:tab w:leader="none" w:pos="27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Contractual Obligations</w:t>
      </w:r>
    </w:p>
    <w:p>
      <w:pPr>
        <w:spacing w:after="0" w:line="1" w:lineRule="exact"/>
        <w:rPr>
          <w:sz w:val="20"/>
          <w:szCs w:val="20"/>
          <w:color w:val="auto"/>
        </w:rPr>
      </w:pPr>
    </w:p>
    <w:p>
      <w:pPr>
        <w:ind w:right="20" w:firstLine="468"/>
        <w:spacing w:after="0" w:line="292" w:lineRule="auto"/>
        <w:rPr>
          <w:sz w:val="20"/>
          <w:szCs w:val="20"/>
          <w:color w:val="auto"/>
        </w:rPr>
      </w:pPr>
      <w:r>
        <w:rPr>
          <w:rFonts w:ascii="Arial" w:cs="Arial" w:eastAsia="Arial" w:hAnsi="Arial"/>
          <w:sz w:val="17"/>
          <w:szCs w:val="17"/>
          <w:color w:val="auto"/>
        </w:rPr>
        <w:t>The Company leases its office facilities under non-cancelable operating leases that expire at various dates through May 2031. Lease expense for non-cancelable operating leases with free rental periods or scheduled rent increases is recognized on a straight-line basis over the terms of the leases. Improvement reimbursements from landlords of $24.4 million are being amortized on a straight-line basis into lease expense over the terms of the leases. Certain leases contain optional termination dates. The table below only includes payments up to the optional termination date. If the Company were to extend leases beyond the optional termination date, the future commitments would increase by approximately $87.9 million.</w:t>
      </w:r>
    </w:p>
    <w:p>
      <w:pPr>
        <w:spacing w:after="0" w:line="57" w:lineRule="exact"/>
        <w:rPr>
          <w:sz w:val="20"/>
          <w:szCs w:val="20"/>
          <w:color w:val="auto"/>
        </w:rPr>
      </w:pPr>
    </w:p>
    <w:p>
      <w:pPr>
        <w:ind w:right="140" w:firstLine="468"/>
        <w:spacing w:after="0" w:line="293" w:lineRule="auto"/>
        <w:rPr>
          <w:sz w:val="20"/>
          <w:szCs w:val="20"/>
          <w:color w:val="auto"/>
        </w:rPr>
      </w:pPr>
      <w:r>
        <w:rPr>
          <w:rFonts w:ascii="Arial" w:cs="Arial" w:eastAsia="Arial" w:hAnsi="Arial"/>
          <w:sz w:val="16"/>
          <w:szCs w:val="16"/>
          <w:color w:val="auto"/>
        </w:rPr>
        <w:t>Included in the table below is an operating lease commitment for a lease that has not yet commenced of approximately $6.5 million for facilities with lease terms of approximately 7 years in Colombia.</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Future minimum payments under all operating lease agreements as of June 30, 2021 are as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tbl>
      <w:tblPr>
        <w:tblLayout w:type="fixed"/>
        <w:tblInd w:w="170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6"/>
                <w:szCs w:val="16"/>
                <w:color w:val="auto"/>
              </w:rPr>
            </w:pP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r>
      <w:tr>
        <w:trPr>
          <w:trHeight w:val="26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20,286</w:t>
            </w:r>
          </w:p>
        </w:tc>
        <w:tc>
          <w:tcPr>
            <w:tcW w:w="80" w:type="dxa"/>
            <w:vAlign w:val="bottom"/>
            <w:shd w:val="clear" w:color="auto" w:fill="CFF0FC"/>
          </w:tcPr>
          <w:p>
            <w:pPr>
              <w:spacing w:after="0"/>
              <w:rPr>
                <w:sz w:val="22"/>
                <w:szCs w:val="22"/>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51,445</w:t>
            </w:r>
          </w:p>
        </w:tc>
        <w:tc>
          <w:tcPr>
            <w:tcW w:w="80" w:type="dxa"/>
            <w:vAlign w:val="bottom"/>
          </w:tcPr>
          <w:p>
            <w:pPr>
              <w:spacing w:after="0"/>
              <w:rPr>
                <w:sz w:val="21"/>
                <w:szCs w:val="21"/>
                <w:color w:val="auto"/>
              </w:rPr>
            </w:pPr>
          </w:p>
        </w:tc>
      </w:tr>
      <w:tr>
        <w:trPr>
          <w:trHeight w:val="26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50,396</w:t>
            </w:r>
          </w:p>
        </w:tc>
        <w:tc>
          <w:tcPr>
            <w:tcW w:w="80" w:type="dxa"/>
            <w:vAlign w:val="bottom"/>
            <w:shd w:val="clear" w:color="auto" w:fill="CFF0FC"/>
          </w:tcPr>
          <w:p>
            <w:pPr>
              <w:spacing w:after="0"/>
              <w:rPr>
                <w:sz w:val="22"/>
                <w:szCs w:val="22"/>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49,217</w:t>
            </w:r>
          </w:p>
        </w:tc>
        <w:tc>
          <w:tcPr>
            <w:tcW w:w="80" w:type="dxa"/>
            <w:vAlign w:val="bottom"/>
          </w:tcPr>
          <w:p>
            <w:pPr>
              <w:spacing w:after="0"/>
              <w:rPr>
                <w:sz w:val="21"/>
                <w:szCs w:val="21"/>
                <w:color w:val="auto"/>
              </w:rPr>
            </w:pPr>
          </w:p>
        </w:tc>
      </w:tr>
      <w:tr>
        <w:trPr>
          <w:trHeight w:val="26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49,286</w:t>
            </w:r>
          </w:p>
        </w:tc>
        <w:tc>
          <w:tcPr>
            <w:tcW w:w="80" w:type="dxa"/>
            <w:vAlign w:val="bottom"/>
            <w:shd w:val="clear" w:color="auto" w:fill="CFF0FC"/>
          </w:tcPr>
          <w:p>
            <w:pPr>
              <w:spacing w:after="0"/>
              <w:rPr>
                <w:sz w:val="22"/>
                <w:szCs w:val="22"/>
                <w:color w:val="auto"/>
              </w:rPr>
            </w:pPr>
          </w:p>
        </w:tc>
      </w:tr>
      <w:tr>
        <w:trPr>
          <w:trHeight w:val="250"/>
        </w:trPr>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138,887</w:t>
            </w:r>
          </w:p>
        </w:tc>
        <w:tc>
          <w:tcPr>
            <w:tcW w:w="80" w:type="dxa"/>
            <w:vAlign w:val="bottom"/>
          </w:tcPr>
          <w:p>
            <w:pPr>
              <w:spacing w:after="0"/>
              <w:rPr>
                <w:sz w:val="21"/>
                <w:szCs w:val="21"/>
                <w:color w:val="auto"/>
              </w:rPr>
            </w:pPr>
          </w:p>
        </w:tc>
      </w:tr>
      <w:tr>
        <w:trPr>
          <w:trHeight w:val="29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359,517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7" w:lineRule="exact"/>
        <w:rPr>
          <w:sz w:val="20"/>
          <w:szCs w:val="20"/>
          <w:color w:val="auto"/>
        </w:rPr>
      </w:pPr>
    </w:p>
    <w:p>
      <w:pPr>
        <w:ind w:right="20" w:firstLine="441"/>
        <w:spacing w:after="0" w:line="272" w:lineRule="auto"/>
        <w:rPr>
          <w:sz w:val="20"/>
          <w:szCs w:val="20"/>
          <w:color w:val="auto"/>
        </w:rPr>
      </w:pPr>
      <w:r>
        <w:rPr>
          <w:rFonts w:ascii="Arial" w:cs="Arial" w:eastAsia="Arial" w:hAnsi="Arial"/>
          <w:sz w:val="18"/>
          <w:szCs w:val="18"/>
          <w:color w:val="auto"/>
        </w:rPr>
        <w:t>In July 2021, the Company entered into various agreements for office facilities in Cambridge, Massachusetts, to extend the lease term of certain facilities and to terminate the lease for certain facilities. As a result of these agreements, the Company will pay an aggregate of approximately $148 million in incremental rent over the lease term. In connection with the termination of the existing lease, during the third quarter of 2021, the Company will record a gain on lease extinguishment of approximately $4 million and an acceleration of furniture, fixture, and leasehold improvement depreciation expense of approximately $7 million.</w:t>
      </w:r>
    </w:p>
    <w:p>
      <w:pPr>
        <w:spacing w:after="0" w:line="272" w:lineRule="exact"/>
        <w:rPr>
          <w:sz w:val="20"/>
          <w:szCs w:val="20"/>
          <w:color w:val="auto"/>
        </w:rPr>
      </w:pPr>
    </w:p>
    <w:p>
      <w:pPr>
        <w:ind w:right="80" w:firstLine="441"/>
        <w:spacing w:after="0" w:line="279" w:lineRule="auto"/>
        <w:rPr>
          <w:sz w:val="20"/>
          <w:szCs w:val="20"/>
          <w:color w:val="auto"/>
        </w:rPr>
      </w:pPr>
      <w:r>
        <w:rPr>
          <w:rFonts w:ascii="Arial" w:cs="Arial" w:eastAsia="Arial" w:hAnsi="Arial"/>
          <w:sz w:val="18"/>
          <w:szCs w:val="18"/>
          <w:color w:val="auto"/>
        </w:rPr>
        <w:t>As of June 30, 2021, there were no material changes in our vendor commitments under non-cancelable arrangements, as disclosed in the Company’s audited consolidated financial statements for the year ended December 31, 2020 and related notes thereto contained in the Company’s Annual Report on Form 10-K, except as noted below.</w:t>
      </w:r>
    </w:p>
    <w:p>
      <w:pPr>
        <w:spacing w:after="0" w:line="264" w:lineRule="exact"/>
        <w:rPr>
          <w:sz w:val="20"/>
          <w:szCs w:val="20"/>
          <w:color w:val="auto"/>
        </w:rPr>
      </w:pPr>
    </w:p>
    <w:p>
      <w:pPr>
        <w:ind w:right="180" w:firstLine="441"/>
        <w:spacing w:after="0" w:line="293" w:lineRule="auto"/>
        <w:rPr>
          <w:sz w:val="20"/>
          <w:szCs w:val="20"/>
          <w:color w:val="auto"/>
        </w:rPr>
      </w:pPr>
      <w:r>
        <w:rPr>
          <w:rFonts w:ascii="Arial" w:cs="Arial" w:eastAsia="Arial" w:hAnsi="Arial"/>
          <w:sz w:val="18"/>
          <w:szCs w:val="18"/>
          <w:color w:val="auto"/>
        </w:rPr>
        <w:t>During the six months ended June 30, 2021, the Company entered various vendor commitments with contractual obligations of approximately $5.3 million, payable over the two to three year term of the agreements.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31" w:lineRule="exact"/>
        <w:rPr>
          <w:sz w:val="20"/>
          <w:szCs w:val="20"/>
          <w:color w:val="auto"/>
        </w:rPr>
      </w:pPr>
    </w:p>
    <w:p>
      <w:pPr>
        <w:ind w:firstLine="441"/>
        <w:spacing w:after="0" w:line="279" w:lineRule="auto"/>
        <w:rPr>
          <w:sz w:val="20"/>
          <w:szCs w:val="20"/>
          <w:color w:val="auto"/>
        </w:rPr>
      </w:pPr>
      <w:r>
        <w:rPr>
          <w:rFonts w:ascii="Arial" w:cs="Arial" w:eastAsia="Arial" w:hAnsi="Arial"/>
          <w:sz w:val="18"/>
          <w:szCs w:val="18"/>
          <w:color w:val="212529"/>
        </w:rPr>
        <w:t>From time to time, the Company may become a party to litigation and subject to claims incident to the ordinary course of business, including intellectual property claims, labor and employment claims, and threatened claims, breach of contract claims, tax, and other matters. The Company currently has no material pending litigation.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Acquisition</w:t>
      </w:r>
    </w:p>
    <w:p>
      <w:pPr>
        <w:spacing w:after="0" w:line="364" w:lineRule="exact"/>
        <w:rPr>
          <w:sz w:val="20"/>
          <w:szCs w:val="20"/>
          <w:color w:val="auto"/>
        </w:rPr>
      </w:pPr>
    </w:p>
    <w:p>
      <w:pPr>
        <w:ind w:firstLine="441"/>
        <w:spacing w:after="0" w:line="296" w:lineRule="auto"/>
        <w:rPr>
          <w:sz w:val="20"/>
          <w:szCs w:val="20"/>
          <w:color w:val="auto"/>
        </w:rPr>
      </w:pPr>
      <w:r>
        <w:rPr>
          <w:rFonts w:ascii="Arial" w:cs="Arial" w:eastAsia="Arial" w:hAnsi="Arial"/>
          <w:sz w:val="17"/>
          <w:szCs w:val="17"/>
          <w:color w:val="212529"/>
        </w:rPr>
        <w:t xml:space="preserve">On February 9, 2021, the Company acquired 100% of the equity interests of Hustle Con Media, Inc. (the “Hustle”), a media company that produces a newsletter, podcast, and premium research content for innovative professionals. </w:t>
      </w:r>
      <w:r>
        <w:rPr>
          <w:rFonts w:ascii="Arial" w:cs="Arial" w:eastAsia="Arial" w:hAnsi="Arial"/>
          <w:sz w:val="17"/>
          <w:szCs w:val="17"/>
          <w:color w:val="000000"/>
        </w:rPr>
        <w:t>The Hustle will enable the Company to better meet the needs of scaling</w:t>
      </w:r>
      <w:r>
        <w:rPr>
          <w:rFonts w:ascii="Arial" w:cs="Arial" w:eastAsia="Arial" w:hAnsi="Arial"/>
          <w:sz w:val="17"/>
          <w:szCs w:val="17"/>
          <w:color w:val="212529"/>
        </w:rPr>
        <w:t xml:space="preserve"> </w:t>
      </w:r>
      <w:r>
        <w:rPr>
          <w:rFonts w:ascii="Arial" w:cs="Arial" w:eastAsia="Arial" w:hAnsi="Arial"/>
          <w:sz w:val="17"/>
          <w:szCs w:val="17"/>
          <w:color w:val="000000"/>
        </w:rPr>
        <w:t xml:space="preserve">companies by delivering educational, business and technology trend content in their preferred formats. The total cash purchase price for the acquisition was </w:t>
      </w:r>
      <w:r>
        <w:rPr>
          <w:rFonts w:ascii="Arial" w:cs="Arial" w:eastAsia="Arial" w:hAnsi="Arial"/>
          <w:sz w:val="17"/>
          <w:szCs w:val="17"/>
          <w:color w:val="212529"/>
        </w:rPr>
        <w:t>$17.2 million, net of cash acquired, which included a upward working capital adjustment of $0.4 million.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212529"/>
        </w:rPr>
        <w:t>The following table summarizes the fair value of assets acquired and liabilities assumed as of the date of acquisition:</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196"/>
        </w:trPr>
        <w:tc>
          <w:tcPr>
            <w:tcW w:w="6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(in thousands)</w:t>
            </w:r>
          </w:p>
        </w:tc>
      </w:tr>
      <w:tr>
        <w:trPr>
          <w:trHeight w:val="26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80" w:type="dxa"/>
            <w:vAlign w:val="bottom"/>
            <w:shd w:val="clear" w:color="auto" w:fill="CFF0FC"/>
          </w:tcPr>
          <w:p>
            <w:pPr>
              <w:spacing w:after="0"/>
              <w:rPr>
                <w:sz w:val="22"/>
                <w:szCs w:val="22"/>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1,153</w:t>
            </w:r>
          </w:p>
        </w:tc>
        <w:tc>
          <w:tcPr>
            <w:tcW w:w="80" w:type="dxa"/>
            <w:vAlign w:val="bottom"/>
          </w:tcPr>
          <w:p>
            <w:pPr>
              <w:spacing w:after="0"/>
              <w:rPr>
                <w:sz w:val="21"/>
                <w:szCs w:val="21"/>
                <w:color w:val="auto"/>
              </w:rPr>
            </w:pPr>
          </w:p>
        </w:tc>
      </w:tr>
      <w:tr>
        <w:trPr>
          <w:trHeight w:val="26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and noncurrent assets</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FF0FC"/>
          </w:tcPr>
          <w:p>
            <w:pPr>
              <w:spacing w:after="0"/>
              <w:rPr>
                <w:sz w:val="22"/>
                <w:szCs w:val="22"/>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Current backlog asset</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1"/>
                <w:szCs w:val="21"/>
                <w:color w:val="auto"/>
              </w:rPr>
            </w:pPr>
          </w:p>
        </w:tc>
      </w:tr>
      <w:tr>
        <w:trPr>
          <w:trHeight w:val="26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CFF0FC"/>
          </w:tcPr>
          <w:p>
            <w:pPr>
              <w:spacing w:after="0"/>
              <w:rPr>
                <w:sz w:val="22"/>
                <w:szCs w:val="22"/>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FF0FC"/>
          </w:tcPr>
          <w:p>
            <w:pPr>
              <w:spacing w:after="0"/>
              <w:rPr>
                <w:sz w:val="22"/>
                <w:szCs w:val="22"/>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16,987</w:t>
            </w:r>
          </w:p>
        </w:tc>
        <w:tc>
          <w:tcPr>
            <w:tcW w:w="80" w:type="dxa"/>
            <w:vAlign w:val="bottom"/>
          </w:tcPr>
          <w:p>
            <w:pPr>
              <w:spacing w:after="0"/>
              <w:rPr>
                <w:sz w:val="21"/>
                <w:szCs w:val="21"/>
                <w:color w:val="auto"/>
              </w:rPr>
            </w:pPr>
          </w:p>
        </w:tc>
      </w:tr>
      <w:tr>
        <w:trPr>
          <w:trHeight w:val="26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(2,975 )</w:t>
            </w:r>
          </w:p>
        </w:tc>
      </w:tr>
      <w:tr>
        <w:trPr>
          <w:trHeight w:val="250"/>
        </w:trPr>
        <w:tc>
          <w:tcPr>
            <w:tcW w:w="6660" w:type="dxa"/>
            <w:vAlign w:val="bottom"/>
          </w:tcPr>
          <w:p>
            <w:pPr>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(825 )</w:t>
            </w:r>
          </w:p>
        </w:tc>
      </w:tr>
      <w:tr>
        <w:trPr>
          <w:trHeight w:val="257"/>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FF0FC"/>
          </w:tcPr>
          <w:p>
            <w:pPr>
              <w:spacing w:after="0"/>
              <w:rPr>
                <w:sz w:val="22"/>
                <w:szCs w:val="22"/>
                <w:color w:val="auto"/>
              </w:rPr>
            </w:pPr>
          </w:p>
        </w:tc>
        <w:tc>
          <w:tcPr>
            <w:tcW w:w="1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(1,042 )</w:t>
            </w:r>
          </w:p>
        </w:tc>
      </w:tr>
      <w:tr>
        <w:trPr>
          <w:trHeight w:val="250"/>
        </w:trPr>
        <w:tc>
          <w:tcPr>
            <w:tcW w:w="66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purchase price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80" w:type="dxa"/>
            <w:vAlign w:val="bottom"/>
            <w:tcBorders>
              <w:top w:val="single" w:sz="8" w:color="CFF0FC"/>
            </w:tcBorders>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-193675</wp:posOffset>
            </wp:positionV>
            <wp:extent cx="514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8"/>
          <w:szCs w:val="18"/>
          <w:color w:val="auto"/>
        </w:rPr>
        <w:t>As part of the purchase price allocation, the Company recorded a net deferred tax liability for approximately $1.0 million related to the difference between the tax basis and fair value of the acquired intangible assets. This net deferred tax liability provided a source of additional income to support the realizability of the Company’s pre-existing, U.S. deferred tax assets. As the Company has recorded a full valuation allowance against its U.S. deferred tax assets, the Company released a portion of its valuation allowance and recorded a corresponding income tax benefit of $1.0 million in the consolidated statement of operations for the period ended March 31, 2021.</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8" w:name="page19"/>
    <w:bookmarkEnd w:id="18"/>
    <w:p>
      <w:pPr>
        <w:jc w:val="both"/>
        <w:ind w:right="100" w:firstLine="441"/>
        <w:spacing w:after="0" w:line="296" w:lineRule="auto"/>
        <w:rPr>
          <w:sz w:val="20"/>
          <w:szCs w:val="20"/>
          <w:color w:val="auto"/>
        </w:rPr>
      </w:pPr>
      <w:r>
        <w:rPr>
          <w:rFonts w:ascii="Arial" w:cs="Arial" w:eastAsia="Arial" w:hAnsi="Arial"/>
          <w:sz w:val="17"/>
          <w:szCs w:val="17"/>
          <w:color w:val="auto"/>
        </w:rPr>
        <w:t>The excess of the purchase consideration over the fair value of net tangible and identifiable intangible assets and liabilities acquired was recorded as goodwill. The Company believes the goodwill is attributable to the significant value obtained from the Company utilizing the advertising space within the Hustle’s newsletter and podcast, as well as the market influence of the premium research content to promote its products to the Hustle’s customer base and acquire new customers. The goodwill recognized is not deductible for U.S. or foreign income tax purposes.</w:t>
      </w:r>
    </w:p>
    <w:p>
      <w:pPr>
        <w:spacing w:after="0" w:line="62" w:lineRule="exact"/>
        <w:rPr>
          <w:sz w:val="20"/>
          <w:szCs w:val="20"/>
          <w:color w:val="auto"/>
        </w:rPr>
      </w:pPr>
    </w:p>
    <w:p>
      <w:pPr>
        <w:ind w:right="140" w:firstLine="441"/>
        <w:spacing w:after="0" w:line="271" w:lineRule="auto"/>
        <w:rPr>
          <w:sz w:val="20"/>
          <w:szCs w:val="20"/>
          <w:color w:val="auto"/>
        </w:rPr>
      </w:pPr>
      <w:r>
        <w:rPr>
          <w:rFonts w:ascii="Arial" w:cs="Arial" w:eastAsia="Arial" w:hAnsi="Arial"/>
          <w:sz w:val="18"/>
          <w:szCs w:val="18"/>
          <w:color w:val="auto"/>
        </w:rPr>
        <w:t xml:space="preserve">The Company applied an income approach to estimate the fair values of the intangible assets acquired. The primary intangible asset acquired in the business acquisition was customer relationships and the fair value of </w:t>
      </w:r>
      <w:r>
        <w:rPr>
          <w:rFonts w:ascii="Arial" w:cs="Arial" w:eastAsia="Arial" w:hAnsi="Arial"/>
          <w:sz w:val="18"/>
          <w:szCs w:val="18"/>
          <w:color w:val="212529"/>
        </w:rPr>
        <w:t>$2.4</w:t>
      </w:r>
      <w:r>
        <w:rPr>
          <w:rFonts w:ascii="Arial" w:cs="Arial" w:eastAsia="Arial" w:hAnsi="Arial"/>
          <w:sz w:val="18"/>
          <w:szCs w:val="18"/>
          <w:color w:val="auto"/>
        </w:rPr>
        <w:t xml:space="preserve"> million was determined based on the estimated present value of expected after-tax cash flows attributable to subscribers using an excess earnings method.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w:t>
      </w:r>
    </w:p>
    <w:p>
      <w:pPr>
        <w:spacing w:after="0" w:line="83" w:lineRule="exact"/>
        <w:rPr>
          <w:sz w:val="20"/>
          <w:szCs w:val="20"/>
          <w:color w:val="auto"/>
        </w:rPr>
      </w:pPr>
    </w:p>
    <w:p>
      <w:pPr>
        <w:ind w:right="20" w:firstLine="441"/>
        <w:spacing w:after="0" w:line="359" w:lineRule="auto"/>
        <w:rPr>
          <w:sz w:val="20"/>
          <w:szCs w:val="20"/>
          <w:color w:val="auto"/>
        </w:rPr>
      </w:pPr>
      <w:r>
        <w:rPr>
          <w:rFonts w:ascii="Arial" w:cs="Arial" w:eastAsia="Arial" w:hAnsi="Arial"/>
          <w:sz w:val="16"/>
          <w:szCs w:val="16"/>
          <w:color w:val="auto"/>
        </w:rPr>
        <w:t xml:space="preserve">The Company began amortizing the customer relationships on the date of acquisition over a period of </w:t>
      </w:r>
      <w:r>
        <w:rPr>
          <w:rFonts w:ascii="Arial" w:cs="Arial" w:eastAsia="Arial" w:hAnsi="Arial"/>
          <w:sz w:val="16"/>
          <w:szCs w:val="16"/>
          <w:color w:val="212529"/>
        </w:rPr>
        <w:t>seven years</w:t>
      </w:r>
      <w:r>
        <w:rPr>
          <w:rFonts w:ascii="Arial" w:cs="Arial" w:eastAsia="Arial" w:hAnsi="Arial"/>
          <w:sz w:val="16"/>
          <w:szCs w:val="16"/>
          <w:color w:val="auto"/>
        </w:rPr>
        <w:t xml:space="preserve"> based on expected future cash flow attributable to existing customers. The amortization expense is recorded to sales and marketing expense in the consolidated statements of operations.</w:t>
      </w:r>
    </w:p>
    <w:p>
      <w:pPr>
        <w:spacing w:after="0" w:line="17" w:lineRule="exact"/>
        <w:rPr>
          <w:sz w:val="20"/>
          <w:szCs w:val="20"/>
          <w:color w:val="auto"/>
        </w:rPr>
      </w:pPr>
    </w:p>
    <w:p>
      <w:pPr>
        <w:ind w:right="200" w:firstLine="441"/>
        <w:spacing w:after="0" w:line="275" w:lineRule="auto"/>
        <w:rPr>
          <w:sz w:val="20"/>
          <w:szCs w:val="20"/>
          <w:color w:val="auto"/>
        </w:rPr>
      </w:pPr>
      <w:r>
        <w:rPr>
          <w:rFonts w:ascii="Arial" w:cs="Arial" w:eastAsia="Arial" w:hAnsi="Arial"/>
          <w:sz w:val="18"/>
          <w:szCs w:val="18"/>
          <w:color w:val="auto"/>
        </w:rPr>
        <w:t>The Company has included the operating results of the Hustle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2020 were not materially different from the amounts reflected in the accompanying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Changes in Stockholders’ Equity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changes in stockholders’ equity for the six months ended June 30,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080" w:type="dxa"/>
            <w:vAlign w:val="bottom"/>
            <w:gridSpan w:val="2"/>
          </w:tcPr>
          <w:p>
            <w:pPr>
              <w:jc w:val="center"/>
              <w:ind w:left="355"/>
              <w:spacing w:after="0"/>
              <w:rPr>
                <w:sz w:val="20"/>
                <w:szCs w:val="20"/>
                <w:color w:val="auto"/>
              </w:rPr>
            </w:pPr>
            <w:r>
              <w:rPr>
                <w:rFonts w:ascii="Arial" w:cs="Arial" w:eastAsia="Arial" w:hAnsi="Arial"/>
                <w:sz w:val="13"/>
                <w:szCs w:val="13"/>
                <w:b w:val="1"/>
                <w:bCs w:val="1"/>
                <w:color w:val="auto"/>
                <w:w w:val="85"/>
              </w:rPr>
              <w:t>Common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Treasury Stock,</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60" w:type="dxa"/>
            <w:vAlign w:val="bottom"/>
          </w:tcPr>
          <w:p>
            <w:pPr>
              <w:spacing w:after="0"/>
              <w:rPr>
                <w:sz w:val="14"/>
                <w:szCs w:val="14"/>
                <w:color w:val="auto"/>
              </w:rPr>
            </w:pPr>
          </w:p>
        </w:tc>
        <w:tc>
          <w:tcPr>
            <w:tcW w:w="1240" w:type="dxa"/>
            <w:vAlign w:val="bottom"/>
            <w:gridSpan w:val="3"/>
          </w:tcPr>
          <w:p>
            <w:pPr>
              <w:jc w:val="center"/>
              <w:ind w:left="195"/>
              <w:spacing w:after="0"/>
              <w:rPr>
                <w:sz w:val="20"/>
                <w:szCs w:val="20"/>
                <w:color w:val="auto"/>
              </w:rPr>
            </w:pPr>
            <w:r>
              <w:rPr>
                <w:rFonts w:ascii="Arial" w:cs="Arial" w:eastAsia="Arial" w:hAnsi="Arial"/>
                <w:sz w:val="13"/>
                <w:szCs w:val="13"/>
                <w:b w:val="1"/>
                <w:bCs w:val="1"/>
                <w:color w:val="auto"/>
                <w:w w:val="87"/>
              </w:rPr>
              <w:t>Stock, $0.001</w:t>
            </w:r>
          </w:p>
        </w:tc>
        <w:tc>
          <w:tcPr>
            <w:tcW w:w="280" w:type="dxa"/>
            <w:vAlign w:val="bottom"/>
          </w:tcPr>
          <w:p>
            <w:pPr>
              <w:spacing w:after="0"/>
              <w:rPr>
                <w:sz w:val="14"/>
                <w:szCs w:val="14"/>
                <w:color w:val="auto"/>
              </w:rPr>
            </w:pPr>
          </w:p>
        </w:tc>
        <w:tc>
          <w:tcPr>
            <w:tcW w:w="102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90"/>
              </w:rPr>
              <w:t>$0.001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336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3"/>
                <w:szCs w:val="13"/>
                <w:b w:val="1"/>
                <w:bCs w:val="1"/>
                <w:color w:val="auto"/>
                <w:w w:val="87"/>
              </w:rPr>
              <w:t>Par Value</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3"/>
                <w:szCs w:val="13"/>
                <w:b w:val="1"/>
                <w:bCs w:val="1"/>
                <w:color w:val="auto"/>
                <w:w w:val="87"/>
              </w:rPr>
              <w:t>Par Value</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3360" w:type="dxa"/>
            <w:vAlign w:val="bottom"/>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7"/>
              </w:rPr>
              <w:t>Income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5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December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46,115</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1,241,167</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(483,161 )</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762,655</w:t>
            </w:r>
          </w:p>
        </w:tc>
        <w:tc>
          <w:tcPr>
            <w:tcW w:w="100" w:type="dxa"/>
            <w:vAlign w:val="bottom"/>
            <w:shd w:val="clear" w:color="auto" w:fill="CFF0FC"/>
          </w:tcPr>
          <w:p>
            <w:pPr>
              <w:spacing w:after="0"/>
              <w:rPr>
                <w:sz w:val="22"/>
                <w:szCs w:val="22"/>
                <w:color w:val="auto"/>
              </w:rPr>
            </w:pPr>
          </w:p>
        </w:tc>
      </w:tr>
      <w:tr>
        <w:trPr>
          <w:trHeight w:val="242"/>
        </w:trPr>
        <w:tc>
          <w:tcPr>
            <w:tcW w:w="3360" w:type="dxa"/>
            <w:vAlign w:val="bottom"/>
          </w:tcPr>
          <w:p>
            <w:pPr>
              <w:ind w:left="20"/>
              <w:spacing w:after="0"/>
              <w:rPr>
                <w:sz w:val="20"/>
                <w:szCs w:val="20"/>
                <w:color w:val="auto"/>
              </w:rPr>
            </w:pPr>
            <w:r>
              <w:rPr>
                <w:rFonts w:ascii="Arial" w:cs="Arial" w:eastAsia="Arial" w:hAnsi="Arial"/>
                <w:sz w:val="18"/>
                <w:szCs w:val="18"/>
                <w:color w:val="auto"/>
              </w:rPr>
              <w:t>Issuance of common stock under stock</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3360" w:type="dxa"/>
            <w:vAlign w:val="bottom"/>
          </w:tcPr>
          <w:p>
            <w:pPr>
              <w:ind w:left="120"/>
              <w:spacing w:after="0"/>
              <w:rPr>
                <w:sz w:val="20"/>
                <w:szCs w:val="20"/>
                <w:color w:val="auto"/>
              </w:rPr>
            </w:pPr>
            <w:r>
              <w:rPr>
                <w:rFonts w:ascii="Arial" w:cs="Arial" w:eastAsia="Arial" w:hAnsi="Arial"/>
                <w:sz w:val="18"/>
                <w:szCs w:val="18"/>
                <w:color w:val="auto"/>
              </w:rPr>
              <w:t>plans, net of shares withheld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360" w:type="dxa"/>
            <w:vAlign w:val="bottom"/>
          </w:tcPr>
          <w:p>
            <w:pPr>
              <w:ind w:left="120"/>
              <w:spacing w:after="0"/>
              <w:rPr>
                <w:sz w:val="20"/>
                <w:szCs w:val="20"/>
                <w:color w:val="auto"/>
              </w:rPr>
            </w:pPr>
            <w:r>
              <w:rPr>
                <w:rFonts w:ascii="Arial" w:cs="Arial" w:eastAsia="Arial" w:hAnsi="Arial"/>
                <w:sz w:val="18"/>
                <w:szCs w:val="18"/>
                <w:color w:val="auto"/>
              </w:rPr>
              <w:t>for employee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0"/>
                <w:szCs w:val="20"/>
                <w:color w:val="auto"/>
              </w:rPr>
            </w:pPr>
          </w:p>
        </w:tc>
      </w:tr>
      <w:tr>
        <w:trPr>
          <w:trHeight w:val="26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32,947</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32,947</w:t>
            </w:r>
          </w:p>
        </w:tc>
        <w:tc>
          <w:tcPr>
            <w:tcW w:w="100" w:type="dxa"/>
            <w:vAlign w:val="bottom"/>
            <w:shd w:val="clear" w:color="auto" w:fill="CFF0FC"/>
          </w:tcPr>
          <w:p>
            <w:pPr>
              <w:spacing w:after="0"/>
              <w:rPr>
                <w:sz w:val="22"/>
                <w:szCs w:val="22"/>
                <w:color w:val="auto"/>
              </w:rPr>
            </w:pPr>
          </w:p>
        </w:tc>
      </w:tr>
      <w:tr>
        <w:trPr>
          <w:trHeight w:val="242"/>
        </w:trPr>
        <w:tc>
          <w:tcPr>
            <w:tcW w:w="3360" w:type="dxa"/>
            <w:vAlign w:val="bottom"/>
          </w:tcPr>
          <w:p>
            <w:pPr>
              <w:ind w:left="20"/>
              <w:spacing w:after="0"/>
              <w:rPr>
                <w:sz w:val="20"/>
                <w:szCs w:val="20"/>
                <w:color w:val="auto"/>
              </w:rPr>
            </w:pPr>
            <w:r>
              <w:rPr>
                <w:rFonts w:ascii="Arial" w:cs="Arial" w:eastAsia="Arial" w:hAnsi="Arial"/>
                <w:sz w:val="18"/>
                <w:szCs w:val="18"/>
                <w:color w:val="auto"/>
              </w:rPr>
              <w:t>Equity component of the 2022</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360" w:type="dxa"/>
            <w:vAlign w:val="bottom"/>
          </w:tcPr>
          <w:p>
            <w:pPr>
              <w:ind w:left="120"/>
              <w:spacing w:after="0"/>
              <w:rPr>
                <w:sz w:val="20"/>
                <w:szCs w:val="20"/>
                <w:color w:val="auto"/>
              </w:rPr>
            </w:pPr>
            <w:r>
              <w:rPr>
                <w:rFonts w:ascii="Arial" w:cs="Arial" w:eastAsia="Arial" w:hAnsi="Arial"/>
                <w:sz w:val="18"/>
                <w:szCs w:val="18"/>
                <w:color w:val="auto"/>
              </w:rPr>
              <w:t>Notes conversions</w:t>
            </w: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(2,307 )</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(2,307 )</w:t>
            </w:r>
          </w:p>
        </w:tc>
      </w:tr>
      <w:tr>
        <w:trPr>
          <w:trHeight w:val="26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Settlement of Convertible Note Hedges</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(364 )</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22"/>
                <w:szCs w:val="22"/>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(2,489 )</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(2,489 )</w:t>
            </w: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investments, net of</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of ($36)</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(240 )</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(23,159 )</w:t>
            </w:r>
          </w:p>
        </w:tc>
        <w:tc>
          <w:tcPr>
            <w:tcW w:w="2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(23,159 )</w:t>
            </w:r>
          </w:p>
        </w:tc>
      </w:tr>
      <w:tr>
        <w:trPr>
          <w:trHeight w:val="20"/>
        </w:trPr>
        <w:tc>
          <w:tcPr>
            <w:tcW w:w="3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March 31, 2021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46,596</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60" w:type="dxa"/>
            <w:vAlign w:val="bottom"/>
            <w:gridSpan w:val="2"/>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1,279,113</w:t>
            </w: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(506,320 )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774,714</w:t>
            </w:r>
          </w:p>
        </w:tc>
        <w:tc>
          <w:tcPr>
            <w:tcW w:w="100" w:type="dxa"/>
            <w:vAlign w:val="bottom"/>
            <w:shd w:val="clear" w:color="auto" w:fill="CFF0FC"/>
          </w:tcPr>
          <w:p>
            <w:pPr>
              <w:spacing w:after="0"/>
              <w:rPr>
                <w:sz w:val="24"/>
                <w:szCs w:val="24"/>
                <w:color w:val="auto"/>
              </w:rPr>
            </w:pPr>
          </w:p>
        </w:tc>
      </w:tr>
      <w:tr>
        <w:trPr>
          <w:trHeight w:val="223"/>
        </w:trPr>
        <w:tc>
          <w:tcPr>
            <w:tcW w:w="33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Issuance of common stock under stock</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3360" w:type="dxa"/>
            <w:vAlign w:val="bottom"/>
          </w:tcPr>
          <w:p>
            <w:pPr>
              <w:ind w:left="120"/>
              <w:spacing w:after="0"/>
              <w:rPr>
                <w:sz w:val="20"/>
                <w:szCs w:val="20"/>
                <w:color w:val="auto"/>
              </w:rPr>
            </w:pPr>
            <w:r>
              <w:rPr>
                <w:rFonts w:ascii="Arial" w:cs="Arial" w:eastAsia="Arial" w:hAnsi="Arial"/>
                <w:sz w:val="18"/>
                <w:szCs w:val="18"/>
                <w:color w:val="auto"/>
              </w:rPr>
              <w:t>plans, net of shares withheld</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360" w:type="dxa"/>
            <w:vAlign w:val="bottom"/>
          </w:tcPr>
          <w:p>
            <w:pPr>
              <w:ind w:left="120"/>
              <w:spacing w:after="0"/>
              <w:rPr>
                <w:sz w:val="20"/>
                <w:szCs w:val="20"/>
                <w:color w:val="auto"/>
              </w:rPr>
            </w:pPr>
            <w:r>
              <w:rPr>
                <w:rFonts w:ascii="Arial" w:cs="Arial" w:eastAsia="Arial" w:hAnsi="Arial"/>
                <w:sz w:val="18"/>
                <w:szCs w:val="18"/>
                <w:color w:val="auto"/>
              </w:rPr>
              <w:t>for employee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20"/>
                <w:szCs w:val="20"/>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component of the 2022</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Notes conversions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(148 )</w:t>
            </w: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Settlement of Convertible Note Hedges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(109 )</w:t>
            </w: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44,659</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shd w:val="clear" w:color="auto" w:fill="CFF0FC"/>
          </w:tcPr>
          <w:p>
            <w:pPr>
              <w:spacing w:after="0"/>
              <w:rPr>
                <w:sz w:val="22"/>
                <w:szCs w:val="22"/>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r>
      <w:tr>
        <w:trPr>
          <w:trHeight w:val="249"/>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investments, net of</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of ($7)</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(180 )</w:t>
            </w:r>
          </w:p>
        </w:tc>
      </w:tr>
      <w:tr>
        <w:trPr>
          <w:trHeight w:val="284"/>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(24,572 )</w:t>
            </w:r>
          </w:p>
        </w:tc>
        <w:tc>
          <w:tcPr>
            <w:tcW w:w="2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(24,572 )</w:t>
            </w:r>
          </w:p>
        </w:tc>
      </w:tr>
      <w:tr>
        <w:trPr>
          <w:trHeight w:val="20"/>
        </w:trPr>
        <w:tc>
          <w:tcPr>
            <w:tcW w:w="3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Balances at June 30, 2021</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46,859</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8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1,334,301</w:t>
            </w: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(530,892 )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805,684</w:t>
            </w:r>
          </w:p>
        </w:tc>
        <w:tc>
          <w:tcPr>
            <w:tcW w:w="100" w:type="dxa"/>
            <w:vAlign w:val="bottom"/>
            <w:shd w:val="clear" w:color="auto" w:fill="CFF0FC"/>
          </w:tcPr>
          <w:p>
            <w:pPr>
              <w:spacing w:after="0"/>
              <w:rPr>
                <w:sz w:val="24"/>
                <w:szCs w:val="24"/>
                <w:color w:val="auto"/>
              </w:rPr>
            </w:pPr>
          </w:p>
        </w:tc>
      </w:tr>
      <w:tr>
        <w:trPr>
          <w:trHeight w:val="655"/>
        </w:trPr>
        <w:tc>
          <w:tcPr>
            <w:tcW w:w="33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33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-2485390</wp:posOffset>
            </wp:positionV>
            <wp:extent cx="1460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-2468245</wp:posOffset>
            </wp:positionV>
            <wp:extent cx="146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-2485390</wp:posOffset>
            </wp:positionV>
            <wp:extent cx="1454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-2468245</wp:posOffset>
            </wp:positionV>
            <wp:extent cx="1454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-2485390</wp:posOffset>
            </wp:positionV>
            <wp:extent cx="1111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-2468245</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-2485390</wp:posOffset>
            </wp:positionV>
            <wp:extent cx="946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-2468245</wp:posOffset>
            </wp:positionV>
            <wp:extent cx="94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-2485390</wp:posOffset>
            </wp:positionV>
            <wp:extent cx="137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-2468245</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-2485390</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-2468245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-2485390</wp:posOffset>
            </wp:positionV>
            <wp:extent cx="1117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-2468245</wp:posOffset>
            </wp:positionV>
            <wp:extent cx="1117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-530860</wp:posOffset>
            </wp:positionV>
            <wp:extent cx="1460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-513715</wp:posOffset>
            </wp:positionV>
            <wp:extent cx="146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-530860</wp:posOffset>
            </wp:positionV>
            <wp:extent cx="1454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-513715</wp:posOffset>
            </wp:positionV>
            <wp:extent cx="1454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-530860</wp:posOffset>
            </wp:positionV>
            <wp:extent cx="1111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-513715</wp:posOffset>
            </wp:positionV>
            <wp:extent cx="1111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-530860</wp:posOffset>
            </wp:positionV>
            <wp:extent cx="94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-513715</wp:posOffset>
            </wp:positionV>
            <wp:extent cx="9461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-530860</wp:posOffset>
            </wp:positionV>
            <wp:extent cx="137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-513715</wp:posOffset>
            </wp:positionV>
            <wp:extent cx="137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-530860</wp:posOffset>
            </wp:positionV>
            <wp:extent cx="1371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-513715</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-530860</wp:posOffset>
            </wp:positionV>
            <wp:extent cx="1117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-513715</wp:posOffset>
            </wp:positionV>
            <wp:extent cx="1117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tbl>
      <w:tblPr>
        <w:tblLayout w:type="fixed"/>
        <w:tblInd w:w="8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120" w:type="dxa"/>
            <w:vAlign w:val="bottom"/>
            <w:gridSpan w:val="2"/>
          </w:tcPr>
          <w:p>
            <w:pPr>
              <w:ind w:left="620"/>
              <w:spacing w:after="0"/>
              <w:rPr>
                <w:sz w:val="20"/>
                <w:szCs w:val="20"/>
                <w:color w:val="auto"/>
              </w:rPr>
            </w:pPr>
            <w:r>
              <w:rPr>
                <w:rFonts w:ascii="Arial" w:cs="Arial" w:eastAsia="Arial" w:hAnsi="Arial"/>
                <w:sz w:val="13"/>
                <w:szCs w:val="13"/>
                <w:b w:val="1"/>
                <w:bCs w:val="1"/>
                <w:color w:val="auto"/>
                <w:w w:val="85"/>
              </w:rPr>
              <w:t>Common</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76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Stock, $0.001</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3760" w:type="dxa"/>
            <w:vAlign w:val="bottom"/>
          </w:tcPr>
          <w:p>
            <w:pPr>
              <w:spacing w:after="0"/>
              <w:rPr>
                <w:sz w:val="15"/>
                <w:szCs w:val="15"/>
                <w:color w:val="auto"/>
              </w:rPr>
            </w:pPr>
          </w:p>
        </w:tc>
        <w:tc>
          <w:tcPr>
            <w:tcW w:w="112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b w:val="1"/>
                <w:bCs w:val="1"/>
                <w:color w:val="auto"/>
                <w:w w:val="84"/>
              </w:rPr>
              <w:t>Par Value</w:t>
            </w: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7"/>
        </w:trPr>
        <w:tc>
          <w:tcPr>
            <w:tcW w:w="3760" w:type="dxa"/>
            <w:vAlign w:val="bottom"/>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87"/>
              </w:rPr>
              <w:t>(Loss)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57"/>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42,955</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1,048,380</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(336 ) $</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(398,130 )</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649,958</w:t>
            </w:r>
          </w:p>
        </w:tc>
        <w:tc>
          <w:tcPr>
            <w:tcW w:w="100" w:type="dxa"/>
            <w:vAlign w:val="bottom"/>
            <w:shd w:val="clear" w:color="auto" w:fill="CFF0FC"/>
          </w:tcPr>
          <w:p>
            <w:pPr>
              <w:spacing w:after="0"/>
              <w:rPr>
                <w:sz w:val="22"/>
                <w:szCs w:val="22"/>
                <w:color w:val="auto"/>
              </w:rPr>
            </w:pPr>
          </w:p>
        </w:tc>
      </w:tr>
      <w:tr>
        <w:trPr>
          <w:trHeight w:val="242"/>
        </w:trPr>
        <w:tc>
          <w:tcPr>
            <w:tcW w:w="3760" w:type="dxa"/>
            <w:vAlign w:val="bottom"/>
          </w:tcPr>
          <w:p>
            <w:pPr>
              <w:spacing w:after="0"/>
              <w:rPr>
                <w:sz w:val="20"/>
                <w:szCs w:val="20"/>
                <w:color w:val="auto"/>
              </w:rPr>
            </w:pPr>
            <w:r>
              <w:rPr>
                <w:rFonts w:ascii="Arial" w:cs="Arial" w:eastAsia="Arial" w:hAnsi="Arial"/>
                <w:sz w:val="18"/>
                <w:szCs w:val="18"/>
                <w:color w:val="auto"/>
              </w:rPr>
              <w:t>Issuance of common stock under stock</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plans, net of shares withheld</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60" w:type="dxa"/>
            <w:vAlign w:val="bottom"/>
          </w:tcPr>
          <w:p>
            <w:pPr>
              <w:ind w:left="100"/>
              <w:spacing w:after="0"/>
              <w:rPr>
                <w:sz w:val="20"/>
                <w:szCs w:val="20"/>
                <w:color w:val="auto"/>
              </w:rPr>
            </w:pPr>
            <w:r>
              <w:rPr>
                <w:rFonts w:ascii="Arial" w:cs="Arial" w:eastAsia="Arial" w:hAnsi="Arial"/>
                <w:sz w:val="18"/>
                <w:szCs w:val="18"/>
                <w:color w:val="auto"/>
              </w:rPr>
              <w:t>for employee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r>
      <w:tr>
        <w:trPr>
          <w:trHeight w:val="26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shd w:val="clear" w:color="auto" w:fill="CFF0FC"/>
          </w:tcPr>
          <w:p>
            <w:pPr>
              <w:spacing w:after="0"/>
              <w:rPr>
                <w:sz w:val="22"/>
                <w:szCs w:val="22"/>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(1,077 )</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(1,077 )</w:t>
            </w:r>
          </w:p>
        </w:tc>
      </w:tr>
      <w:tr>
        <w:trPr>
          <w:trHeight w:val="24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investments, net of</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7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income taxes of $0</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FF0FC"/>
          </w:tcPr>
          <w:p>
            <w:pPr>
              <w:spacing w:after="0"/>
              <w:rPr>
                <w:sz w:val="21"/>
                <w:szCs w:val="21"/>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(17,716 )</w:t>
            </w:r>
          </w:p>
        </w:tc>
        <w:tc>
          <w:tcPr>
            <w:tcW w:w="22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(17,716 )</w:t>
            </w:r>
          </w:p>
        </w:tc>
      </w:tr>
      <w:tr>
        <w:trPr>
          <w:trHeight w:val="20"/>
        </w:trPr>
        <w:tc>
          <w:tcPr>
            <w:tcW w:w="3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Balances at March 31, 2020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43,366</w:t>
            </w:r>
          </w:p>
        </w:tc>
        <w:tc>
          <w:tcPr>
            <w:tcW w:w="26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1,077,605</w:t>
            </w:r>
          </w:p>
        </w:tc>
        <w:tc>
          <w:tcPr>
            <w:tcW w:w="18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(830 ) $</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(415,846 )</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660,973</w:t>
            </w:r>
          </w:p>
        </w:tc>
        <w:tc>
          <w:tcPr>
            <w:tcW w:w="100" w:type="dxa"/>
            <w:vAlign w:val="bottom"/>
            <w:shd w:val="clear" w:color="auto" w:fill="CFF0FC"/>
          </w:tcPr>
          <w:p>
            <w:pPr>
              <w:spacing w:after="0"/>
              <w:rPr>
                <w:sz w:val="24"/>
                <w:szCs w:val="24"/>
                <w:color w:val="auto"/>
              </w:rPr>
            </w:pPr>
          </w:p>
        </w:tc>
      </w:tr>
      <w:tr>
        <w:trPr>
          <w:trHeight w:val="223"/>
        </w:trPr>
        <w:tc>
          <w:tcPr>
            <w:tcW w:w="37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Issuance of common stock under stock</w:t>
            </w: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3760" w:type="dxa"/>
            <w:vAlign w:val="bottom"/>
          </w:tcPr>
          <w:p>
            <w:pPr>
              <w:ind w:left="100"/>
              <w:spacing w:after="0"/>
              <w:rPr>
                <w:sz w:val="20"/>
                <w:szCs w:val="20"/>
                <w:color w:val="auto"/>
              </w:rPr>
            </w:pPr>
            <w:r>
              <w:rPr>
                <w:rFonts w:ascii="Arial" w:cs="Arial" w:eastAsia="Arial" w:hAnsi="Arial"/>
                <w:sz w:val="18"/>
                <w:szCs w:val="18"/>
                <w:color w:val="auto"/>
              </w:rPr>
              <w:t>plans, net of shares withheld for</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760" w:type="dxa"/>
            <w:vAlign w:val="bottom"/>
          </w:tcPr>
          <w:p>
            <w:pPr>
              <w:ind w:left="100"/>
              <w:spacing w:after="0"/>
              <w:rPr>
                <w:sz w:val="20"/>
                <w:szCs w:val="20"/>
                <w:color w:val="auto"/>
              </w:rPr>
            </w:pPr>
            <w:r>
              <w:rPr>
                <w:rFonts w:ascii="Arial" w:cs="Arial" w:eastAsia="Arial" w:hAnsi="Arial"/>
                <w:sz w:val="18"/>
                <w:szCs w:val="18"/>
                <w:color w:val="auto"/>
              </w:rPr>
              <w:t>employee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11,701</w:t>
            </w:r>
          </w:p>
        </w:tc>
        <w:tc>
          <w:tcPr>
            <w:tcW w:w="100" w:type="dxa"/>
            <w:vAlign w:val="bottom"/>
          </w:tcPr>
          <w:p>
            <w:pPr>
              <w:spacing w:after="0"/>
              <w:rPr>
                <w:sz w:val="20"/>
                <w:szCs w:val="20"/>
                <w:color w:val="auto"/>
              </w:rPr>
            </w:pPr>
          </w:p>
        </w:tc>
      </w:tr>
      <w:tr>
        <w:trPr>
          <w:trHeight w:val="24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2025 Notes, net of</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7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issuance costs</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96,610</w:t>
            </w:r>
          </w:p>
        </w:tc>
        <w:tc>
          <w:tcPr>
            <w:tcW w:w="100" w:type="dxa"/>
            <w:vAlign w:val="bottom"/>
            <w:shd w:val="clear" w:color="auto" w:fill="CFF0FC"/>
          </w:tcPr>
          <w:p>
            <w:pPr>
              <w:spacing w:after="0"/>
              <w:rPr>
                <w:sz w:val="21"/>
                <w:szCs w:val="21"/>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Purchase of Capped Call Options</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(50,600 )</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(50,600 )</w:t>
            </w:r>
          </w:p>
        </w:tc>
      </w:tr>
      <w:tr>
        <w:trPr>
          <w:trHeight w:val="24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Equity component of the repayment of</w:t>
            </w: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37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2022 Notes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FF0FC"/>
          </w:tcPr>
          <w:p>
            <w:pPr>
              <w:spacing w:after="0"/>
              <w:rPr>
                <w:sz w:val="21"/>
                <w:szCs w:val="21"/>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31,864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21"/>
                <w:szCs w:val="21"/>
                <w:color w:val="auto"/>
              </w:rPr>
            </w:pPr>
          </w:p>
        </w:tc>
      </w:tr>
      <w:tr>
        <w:trPr>
          <w:trHeight w:val="26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Cumulative translation adjustment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FF0FC"/>
          </w:tcPr>
          <w:p>
            <w:pPr>
              <w:spacing w:after="0"/>
              <w:rPr>
                <w:sz w:val="22"/>
                <w:szCs w:val="22"/>
                <w:color w:val="auto"/>
              </w:rPr>
            </w:pPr>
          </w:p>
        </w:tc>
      </w:tr>
      <w:tr>
        <w:trPr>
          <w:trHeight w:val="242"/>
        </w:trPr>
        <w:tc>
          <w:tcPr>
            <w:tcW w:w="3760" w:type="dxa"/>
            <w:vAlign w:val="bottom"/>
          </w:tcPr>
          <w:p>
            <w:pPr>
              <w:spacing w:after="0"/>
              <w:rPr>
                <w:sz w:val="20"/>
                <w:szCs w:val="20"/>
                <w:color w:val="auto"/>
              </w:rPr>
            </w:pPr>
            <w:r>
              <w:rPr>
                <w:rFonts w:ascii="Arial" w:cs="Arial" w:eastAsia="Arial" w:hAnsi="Arial"/>
                <w:sz w:val="18"/>
                <w:szCs w:val="18"/>
                <w:color w:val="auto"/>
              </w:rPr>
              <w:t>Unrealized gain on investments, net of</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760" w:type="dxa"/>
            <w:vAlign w:val="bottom"/>
          </w:tcPr>
          <w:p>
            <w:pPr>
              <w:ind w:left="100"/>
              <w:spacing w:after="0"/>
              <w:rPr>
                <w:sz w:val="20"/>
                <w:szCs w:val="20"/>
                <w:color w:val="auto"/>
              </w:rPr>
            </w:pPr>
            <w:r>
              <w:rPr>
                <w:rFonts w:ascii="Arial" w:cs="Arial" w:eastAsia="Arial" w:hAnsi="Arial"/>
                <w:sz w:val="18"/>
                <w:szCs w:val="18"/>
                <w:color w:val="auto"/>
              </w:rPr>
              <w:t>income taxes of ($76)</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r>
      <w:tr>
        <w:trPr>
          <w:trHeight w:val="26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(29,401 )</w:t>
            </w:r>
          </w:p>
        </w:tc>
        <w:tc>
          <w:tcPr>
            <w:tcW w:w="220" w:type="dxa"/>
            <w:vAlign w:val="bottom"/>
            <w:shd w:val="clear" w:color="auto" w:fill="CFF0FC"/>
          </w:tcPr>
          <w:p>
            <w:pPr>
              <w:spacing w:after="0"/>
              <w:rPr>
                <w:sz w:val="22"/>
                <w:szCs w:val="22"/>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(29,401 )</w:t>
            </w:r>
          </w:p>
        </w:tc>
      </w:tr>
      <w:tr>
        <w:trPr>
          <w:trHeight w:val="20"/>
        </w:trPr>
        <w:tc>
          <w:tcPr>
            <w:tcW w:w="37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860" w:type="dxa"/>
            <w:vAlign w:val="bottom"/>
          </w:tcPr>
          <w:p>
            <w:pPr>
              <w:jc w:val="right"/>
              <w:spacing w:after="0"/>
              <w:rPr>
                <w:sz w:val="20"/>
                <w:szCs w:val="20"/>
                <w:color w:val="auto"/>
              </w:rPr>
            </w:pPr>
            <w:r>
              <w:rPr>
                <w:rFonts w:ascii="Arial" w:cs="Arial" w:eastAsia="Arial" w:hAnsi="Arial"/>
                <w:sz w:val="18"/>
                <w:szCs w:val="18"/>
                <w:color w:val="auto"/>
              </w:rPr>
              <w:t>45,386</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1,167,791</w:t>
            </w:r>
          </w:p>
        </w:tc>
        <w:tc>
          <w:tcPr>
            <w:tcW w:w="18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(445,247 )</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723,051</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-2253615</wp:posOffset>
            </wp:positionV>
            <wp:extent cx="1625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-2236470</wp:posOffset>
            </wp:positionV>
            <wp:extent cx="1625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-2253615</wp:posOffset>
            </wp:positionV>
            <wp:extent cx="1543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-2236470</wp:posOffset>
            </wp:positionV>
            <wp:extent cx="1543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-2253615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-2236470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-2253615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-2236470</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-2253615</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-2236470</wp:posOffset>
            </wp:positionV>
            <wp:extent cx="1200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-2253615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-2236470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-193675</wp:posOffset>
            </wp:positionV>
            <wp:extent cx="1625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-193675</wp:posOffset>
            </wp:positionV>
            <wp:extent cx="15430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-193675</wp:posOffset>
            </wp:positionV>
            <wp:extent cx="1028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-193675</wp:posOffset>
            </wp:positionV>
            <wp:extent cx="939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-193675</wp:posOffset>
            </wp:positionV>
            <wp:extent cx="12001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-193675</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Changes in Accumulated Other Comprehensive Loss</w:t>
      </w:r>
    </w:p>
    <w:p>
      <w:pPr>
        <w:spacing w:after="0" w:line="135" w:lineRule="exact"/>
        <w:rPr>
          <w:sz w:val="20"/>
          <w:szCs w:val="20"/>
          <w:color w:val="auto"/>
        </w:rPr>
      </w:pPr>
    </w:p>
    <w:p>
      <w:pPr>
        <w:jc w:val="both"/>
        <w:ind w:right="80" w:firstLine="441"/>
        <w:spacing w:after="0" w:line="293" w:lineRule="auto"/>
        <w:rPr>
          <w:sz w:val="20"/>
          <w:szCs w:val="20"/>
          <w:color w:val="auto"/>
        </w:rPr>
      </w:pPr>
      <w:r>
        <w:rPr>
          <w:rFonts w:ascii="Arial" w:cs="Arial" w:eastAsia="Arial" w:hAnsi="Arial"/>
          <w:sz w:val="18"/>
          <w:szCs w:val="18"/>
          <w:color w:val="auto"/>
        </w:rPr>
        <w:t>The following table summarizes the changes in accumulated other comprehensive loss, which is reported as a component of stockholders’ equity, for the six months ended June 30, 2021.</w:t>
      </w:r>
    </w:p>
    <w:p>
      <w:pPr>
        <w:sectPr>
          <w:pgSz w:w="11900" w:h="16838" w:orient="portrait"/>
          <w:cols w:equalWidth="0" w:num="1">
            <w:col w:w="11240"/>
          </w:cols>
          <w:pgMar w:left="320" w:top="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Beginning 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-139065</wp:posOffset>
            </wp:positionV>
            <wp:extent cx="5700395"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Other comprehensive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23495</wp:posOffset>
            </wp:positionV>
            <wp:extent cx="5700395" cy="308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00395" cy="308610"/>
                    </a:xfrm>
                    <a:prstGeom prst="rect">
                      <a:avLst/>
                    </a:prstGeom>
                    <a:noFill/>
                  </pic:spPr>
                </pic:pic>
              </a:graphicData>
            </a:graphic>
          </wp:anchor>
        </w:drawing>
      </w:r>
    </w:p>
    <w:p>
      <w:pPr>
        <w:spacing w:after="0" w:line="30" w:lineRule="exact"/>
        <w:rPr>
          <w:sz w:val="20"/>
          <w:szCs w:val="20"/>
          <w:color w:val="auto"/>
        </w:rPr>
      </w:pPr>
    </w:p>
    <w:p>
      <w:pPr>
        <w:ind w:left="1400"/>
        <w:spacing w:after="0" w:line="293"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Ending balance at June 30,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 Expense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Cumulative</w:t>
            </w: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Unrealized</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Translation</w:t>
            </w:r>
          </w:p>
        </w:tc>
        <w:tc>
          <w:tcPr>
            <w:tcW w:w="1360" w:type="dxa"/>
            <w:vAlign w:val="bottom"/>
            <w:gridSpan w:val="2"/>
          </w:tcPr>
          <w:p>
            <w:pPr>
              <w:ind w:left="340"/>
              <w:spacing w:after="0"/>
              <w:rPr>
                <w:sz w:val="20"/>
                <w:szCs w:val="20"/>
                <w:color w:val="auto"/>
              </w:rPr>
            </w:pPr>
            <w:r>
              <w:rPr>
                <w:rFonts w:ascii="Arial" w:cs="Arial" w:eastAsia="Arial" w:hAnsi="Arial"/>
                <w:sz w:val="14"/>
                <w:szCs w:val="14"/>
                <w:b w:val="1"/>
                <w:bCs w:val="1"/>
                <w:color w:val="auto"/>
              </w:rPr>
              <w:t>Gain on</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2"/>
        </w:trPr>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6"/>
                <w:szCs w:val="16"/>
                <w:color w:val="auto"/>
              </w:rPr>
            </w:pPr>
          </w:p>
        </w:tc>
        <w:tc>
          <w:tcPr>
            <w:tcW w:w="1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6"/>
                <w:szCs w:val="16"/>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96"/>
        </w:trPr>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1160" w:type="dxa"/>
            <w:vAlign w:val="bottom"/>
          </w:tcPr>
          <w:p>
            <w:pPr>
              <w:jc w:val="right"/>
              <w:spacing w:after="0"/>
              <w:rPr>
                <w:sz w:val="20"/>
                <w:szCs w:val="20"/>
                <w:color w:val="auto"/>
              </w:rPr>
            </w:pPr>
            <w:r>
              <w:rPr>
                <w:rFonts w:ascii="Arial" w:cs="Arial" w:eastAsia="Arial" w:hAnsi="Arial"/>
                <w:sz w:val="18"/>
                <w:szCs w:val="18"/>
                <w:color w:val="auto"/>
              </w:rPr>
              <w:t>4,180</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4,603</w:t>
            </w:r>
          </w:p>
        </w:tc>
        <w:tc>
          <w:tcPr>
            <w:tcW w:w="60" w:type="dxa"/>
            <w:vAlign w:val="bottom"/>
          </w:tcPr>
          <w:p>
            <w:pPr>
              <w:spacing w:after="0"/>
              <w:rPr>
                <w:sz w:val="21"/>
                <w:szCs w:val="21"/>
                <w:color w:val="auto"/>
              </w:rPr>
            </w:pPr>
          </w:p>
        </w:tc>
      </w:tr>
      <w:tr>
        <w:trPr>
          <w:trHeight w:val="284"/>
        </w:trPr>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(1,955 )</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(420 )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(2,375 )</w:t>
            </w:r>
          </w:p>
        </w:tc>
      </w:tr>
      <w:tr>
        <w:trPr>
          <w:trHeight w:val="479"/>
        </w:trPr>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7"/>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60" w:type="dxa"/>
            <w:vAlign w:val="bottom"/>
          </w:tcPr>
          <w:p>
            <w:pPr>
              <w:spacing w:after="0"/>
              <w:rPr>
                <w:sz w:val="24"/>
                <w:szCs w:val="24"/>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6" w:lineRule="exact"/>
        <w:rPr>
          <w:sz w:val="20"/>
          <w:szCs w:val="20"/>
          <w:color w:val="auto"/>
        </w:rPr>
      </w:pPr>
    </w:p>
    <w:p>
      <w:pPr>
        <w:sectPr>
          <w:pgSz w:w="11900" w:h="16838" w:orient="portrait"/>
          <w:cols w:equalWidth="0" w:num="2">
            <w:col w:w="5820" w:space="460"/>
            <w:col w:w="4960"/>
          </w:cols>
          <w:pgMar w:left="320" w:top="378" w:right="33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The following two tables show stock-based compensation expense by award type and where the stock-based compensation expense is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statements of operations: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 June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80" w:type="dxa"/>
            <w:vAlign w:val="bottom"/>
          </w:tcPr>
          <w:p>
            <w:pPr>
              <w:spacing w:after="0"/>
              <w:rPr>
                <w:sz w:val="22"/>
                <w:szCs w:val="22"/>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RSUs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39,692</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28,490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68,432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43,433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31,374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75,856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58,837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-699135</wp:posOffset>
            </wp:positionV>
            <wp:extent cx="1543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-699135</wp:posOffset>
            </wp:positionV>
            <wp:extent cx="14541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-699135</wp:posOffset>
            </wp:positionV>
            <wp:extent cx="13716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-699135</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20" w:name="page21"/>
    <w:bookmarkEnd w:id="20"/>
    <w:p>
      <w:pPr>
        <w:ind w:left="440"/>
        <w:spacing w:after="0"/>
        <w:rPr>
          <w:sz w:val="20"/>
          <w:szCs w:val="20"/>
          <w:color w:val="auto"/>
        </w:rPr>
      </w:pPr>
      <w:r>
        <w:rPr>
          <w:rFonts w:ascii="Arial" w:cs="Arial" w:eastAsia="Arial" w:hAnsi="Arial"/>
          <w:sz w:val="18"/>
          <w:szCs w:val="18"/>
          <w:color w:val="auto"/>
        </w:rPr>
        <w:t>Effect of stock-based compensation expense on income by line item:</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7"/>
              </w:rPr>
              <w:t>Three Months End June 30,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subscription</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Cost of revenue, professional services and 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21"/>
                <w:szCs w:val="21"/>
                <w:color w:val="auto"/>
              </w:rPr>
            </w:pPr>
          </w:p>
        </w:tc>
      </w:tr>
      <w:tr>
        <w:trPr>
          <w:trHeight w:val="26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15,080</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10,111</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26,565</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shd w:val="clear" w:color="auto" w:fill="CFF0FC"/>
          </w:tcPr>
          <w:p>
            <w:pPr>
              <w:spacing w:after="0"/>
              <w:rPr>
                <w:sz w:val="22"/>
                <w:szCs w:val="22"/>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18,971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12,868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32,600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tcPr>
          <w:p>
            <w:pPr>
              <w:spacing w:after="0"/>
              <w:rPr>
                <w:sz w:val="21"/>
                <w:szCs w:val="21"/>
                <w:color w:val="auto"/>
              </w:rPr>
            </w:pPr>
          </w:p>
        </w:tc>
      </w:tr>
      <w:tr>
        <w:trPr>
          <w:trHeight w:val="26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6,974</w:t>
            </w:r>
          </w:p>
        </w:tc>
        <w:tc>
          <w:tcPr>
            <w:tcW w:w="2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12,276</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43,433</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31,374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75,856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58,837</w:t>
            </w:r>
          </w:p>
        </w:tc>
        <w:tc>
          <w:tcPr>
            <w:tcW w:w="1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-193675</wp:posOffset>
            </wp:positionV>
            <wp:extent cx="15430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-193675</wp:posOffset>
            </wp:positionV>
            <wp:extent cx="14541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-193675</wp:posOffset>
            </wp:positionV>
            <wp:extent cx="1371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36" w:lineRule="exact"/>
        <w:rPr>
          <w:sz w:val="20"/>
          <w:szCs w:val="20"/>
          <w:color w:val="auto"/>
        </w:rPr>
      </w:pPr>
    </w:p>
    <w:p>
      <w:pPr>
        <w:ind w:right="120" w:firstLine="441"/>
        <w:spacing w:after="0" w:line="279" w:lineRule="auto"/>
        <w:rPr>
          <w:sz w:val="20"/>
          <w:szCs w:val="20"/>
          <w:color w:val="auto"/>
        </w:rPr>
      </w:pPr>
      <w:r>
        <w:rPr>
          <w:rFonts w:ascii="Arial" w:cs="Arial" w:eastAsia="Arial" w:hAnsi="Arial"/>
          <w:sz w:val="18"/>
          <w:szCs w:val="18"/>
          <w:color w:val="auto"/>
        </w:rPr>
        <w:t>Capitalized software development costs excluded from stock-based compensation expense is $1.9 million for the three months ended June 30, 2021, $3.1 million for the six months ended June 30, 2021, $1.0 million for the three months ended June 30, 2020 and $1.8 million for the six months ended June 30,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 and Geographic Data</w:t>
      </w:r>
    </w:p>
    <w:p>
      <w:pPr>
        <w:spacing w:after="0" w:line="135" w:lineRule="exact"/>
        <w:rPr>
          <w:sz w:val="20"/>
          <w:szCs w:val="20"/>
          <w:color w:val="auto"/>
        </w:rPr>
      </w:pPr>
    </w:p>
    <w:p>
      <w:pPr>
        <w:ind w:right="60" w:firstLine="441"/>
        <w:spacing w:after="0" w:line="271"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 the performance of these resources on a consolidated basis. Since the Company operates in one operating segment, all required financial segment information can be found in the consolidated financial statements. Revenue and long-lived assets by geographic region, based on the physical location of the operations recording the sale or the asset, are as follows: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by geographical region:</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 June 30,</w:t>
            </w:r>
          </w:p>
        </w:tc>
        <w:tc>
          <w:tcPr>
            <w:tcW w:w="260" w:type="dxa"/>
            <w:vAlign w:val="bottom"/>
          </w:tcPr>
          <w:p>
            <w:pPr>
              <w:spacing w:after="0"/>
              <w:rPr>
                <w:sz w:val="16"/>
                <w:szCs w:val="16"/>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4180" w:type="dxa"/>
            <w:vAlign w:val="bottom"/>
          </w:tcPr>
          <w:p>
            <w:pPr>
              <w:spacing w:after="0"/>
              <w:rPr>
                <w:sz w:val="20"/>
                <w:szCs w:val="20"/>
                <w:color w:val="auto"/>
              </w:rPr>
            </w:pPr>
            <w:r>
              <w:rPr>
                <w:rFonts w:ascii="Arial" w:cs="Arial" w:eastAsia="Arial" w:hAnsi="Arial"/>
                <w:sz w:val="18"/>
                <w:szCs w:val="18"/>
                <w:color w:val="auto"/>
              </w:rPr>
              <w:t>Americas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190,728</w:t>
            </w:r>
          </w:p>
        </w:tc>
        <w:tc>
          <w:tcPr>
            <w:tcW w:w="34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133,719</w:t>
            </w:r>
          </w:p>
        </w:tc>
        <w:tc>
          <w:tcPr>
            <w:tcW w:w="3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364,599</w:t>
            </w:r>
          </w:p>
        </w:tc>
        <w:tc>
          <w:tcPr>
            <w:tcW w:w="3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264,858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93,365</w:t>
            </w:r>
          </w:p>
        </w:tc>
        <w:tc>
          <w:tcPr>
            <w:tcW w:w="3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54,558</w:t>
            </w:r>
          </w:p>
        </w:tc>
        <w:tc>
          <w:tcPr>
            <w:tcW w:w="3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176,735</w:t>
            </w:r>
          </w:p>
        </w:tc>
        <w:tc>
          <w:tcPr>
            <w:tcW w:w="3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107,229</w:t>
            </w:r>
          </w:p>
        </w:tc>
        <w:tc>
          <w:tcPr>
            <w:tcW w:w="2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26,695</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50,819</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310,788</w:t>
            </w:r>
          </w:p>
        </w:tc>
        <w:tc>
          <w:tcPr>
            <w:tcW w:w="3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203,608</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592,153</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402,575</w:t>
            </w:r>
          </w:p>
        </w:tc>
        <w:tc>
          <w:tcPr>
            <w:tcW w:w="2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Percentage of revenues generated outside of the</w:t>
            </w:r>
          </w:p>
        </w:tc>
        <w:tc>
          <w:tcPr>
            <w:tcW w:w="280" w:type="dxa"/>
            <w:vAlign w:val="bottom"/>
          </w:tcPr>
          <w:p>
            <w:pPr>
              <w:spacing w:after="0"/>
              <w:rPr>
                <w:sz w:val="19"/>
                <w:szCs w:val="19"/>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39 %</w:t>
            </w:r>
          </w:p>
        </w:tc>
        <w:tc>
          <w:tcPr>
            <w:tcW w:w="400" w:type="dxa"/>
            <w:vAlign w:val="bottom"/>
          </w:tcPr>
          <w:p>
            <w:pPr>
              <w:spacing w:after="0"/>
              <w:rPr>
                <w:sz w:val="19"/>
                <w:szCs w:val="19"/>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19"/>
                <w:szCs w:val="19"/>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38 %</w:t>
            </w:r>
          </w:p>
        </w:tc>
        <w:tc>
          <w:tcPr>
            <w:tcW w:w="280" w:type="dxa"/>
            <w:vAlign w:val="bottom"/>
          </w:tcPr>
          <w:p>
            <w:pPr>
              <w:spacing w:after="0"/>
              <w:rPr>
                <w:sz w:val="19"/>
                <w:szCs w:val="19"/>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3"/>
        </w:trPr>
        <w:tc>
          <w:tcPr>
            <w:tcW w:w="4180" w:type="dxa"/>
            <w:vAlign w:val="bottom"/>
          </w:tcPr>
          <w:p>
            <w:pPr>
              <w:ind w:left="80"/>
              <w:spacing w:after="0" w:line="203" w:lineRule="exact"/>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-334010</wp:posOffset>
            </wp:positionV>
            <wp:extent cx="2146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-316865</wp:posOffset>
            </wp:positionV>
            <wp:extent cx="2146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-334010</wp:posOffset>
            </wp:positionV>
            <wp:extent cx="1885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-316865</wp:posOffset>
            </wp:positionV>
            <wp:extent cx="1885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-334010</wp:posOffset>
            </wp:positionV>
            <wp:extent cx="1968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-316865</wp:posOffset>
            </wp:positionV>
            <wp:extent cx="1968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-334010</wp:posOffset>
            </wp:positionV>
            <wp:extent cx="1289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-316865</wp:posOffset>
            </wp:positionV>
            <wp:extent cx="12890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49" w:lineRule="exact"/>
        <w:rPr>
          <w:sz w:val="20"/>
          <w:szCs w:val="20"/>
          <w:color w:val="auto"/>
        </w:rPr>
      </w:pPr>
    </w:p>
    <w:p>
      <w:pPr>
        <w:ind w:right="80" w:firstLine="441"/>
        <w:spacing w:after="0" w:line="293" w:lineRule="auto"/>
        <w:rPr>
          <w:sz w:val="20"/>
          <w:szCs w:val="20"/>
          <w:color w:val="auto"/>
        </w:rPr>
      </w:pPr>
      <w:r>
        <w:rPr>
          <w:rFonts w:ascii="Arial" w:cs="Arial" w:eastAsia="Arial" w:hAnsi="Arial"/>
          <w:sz w:val="18"/>
          <w:szCs w:val="18"/>
          <w:color w:val="auto"/>
        </w:rPr>
        <w:t>Revenue derived from customers outside the United States (international) was approximately 46% of total revenue in the three and six months ended June and 42% of total revenue in the three and six months ended June 30, 2020.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long-lived assets by geographical region: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As of June 30, 2021</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As of December 31, 2020</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gridSpan w:val="5"/>
          </w:tcPr>
          <w:p>
            <w:pPr>
              <w:jc w:val="right"/>
              <w:ind w:right="176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r>
      <w:tr>
        <w:trPr>
          <w:trHeight w:val="263"/>
        </w:trPr>
        <w:tc>
          <w:tcPr>
            <w:tcW w:w="580" w:type="dxa"/>
            <w:vAlign w:val="bottom"/>
          </w:tcPr>
          <w:p>
            <w:pPr>
              <w:spacing w:after="0"/>
              <w:rPr>
                <w:sz w:val="22"/>
                <w:szCs w:val="22"/>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195,409</w:t>
            </w:r>
          </w:p>
        </w:tc>
        <w:tc>
          <w:tcPr>
            <w:tcW w:w="3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206,789</w:t>
            </w:r>
          </w:p>
        </w:tc>
        <w:tc>
          <w:tcPr>
            <w:tcW w:w="2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Europe</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150,072</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159,338</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Asia Pacific</w:t>
            </w:r>
          </w:p>
        </w:tc>
        <w:tc>
          <w:tcPr>
            <w:tcW w:w="1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9,727</w:t>
            </w:r>
          </w:p>
        </w:tc>
        <w:tc>
          <w:tcPr>
            <w:tcW w:w="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10,889</w:t>
            </w:r>
          </w:p>
        </w:tc>
        <w:tc>
          <w:tcPr>
            <w:tcW w:w="2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12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355,208</w:t>
            </w:r>
          </w:p>
        </w:tc>
        <w:tc>
          <w:tcPr>
            <w:tcW w:w="3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377,016</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6"/>
              </w:rPr>
              <w:t>Percentage of long-lived assets held outside of the Americas</w:t>
            </w:r>
          </w:p>
        </w:tc>
        <w:tc>
          <w:tcPr>
            <w:tcW w:w="12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FF0FC"/>
          </w:tcPr>
          <w:p>
            <w:pPr>
              <w:spacing w:after="0"/>
              <w:rPr>
                <w:sz w:val="24"/>
                <w:szCs w:val="24"/>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45 %</w:t>
            </w:r>
          </w:p>
        </w:tc>
        <w:tc>
          <w:tcPr>
            <w:tcW w:w="560" w:type="dxa"/>
            <w:vAlign w:val="bottom"/>
          </w:tcPr>
          <w:p>
            <w:pPr>
              <w:spacing w:after="0"/>
              <w:rPr>
                <w:sz w:val="24"/>
                <w:szCs w:val="24"/>
                <w:color w:val="auto"/>
              </w:rPr>
            </w:pPr>
          </w:p>
        </w:tc>
      </w:tr>
      <w:tr>
        <w:trPr>
          <w:trHeight w:val="655"/>
        </w:trPr>
        <w:tc>
          <w:tcPr>
            <w:tcW w:w="580" w:type="dxa"/>
            <w:vAlign w:val="bottom"/>
          </w:tcPr>
          <w:p>
            <w:pPr>
              <w:spacing w:after="0"/>
              <w:rPr>
                <w:sz w:val="24"/>
                <w:szCs w:val="24"/>
                <w:color w:val="auto"/>
              </w:rPr>
            </w:pPr>
          </w:p>
        </w:tc>
        <w:tc>
          <w:tcPr>
            <w:tcW w:w="4660" w:type="dxa"/>
            <w:vAlign w:val="bottom"/>
            <w:tcBorders>
              <w:top w:val="single" w:sz="8" w:color="CFF0FC"/>
            </w:tcBorders>
          </w:tcPr>
          <w:p>
            <w:pPr>
              <w:spacing w:after="0"/>
              <w:rPr>
                <w:sz w:val="24"/>
                <w:szCs w:val="24"/>
                <w:color w:val="auto"/>
              </w:rPr>
            </w:pPr>
          </w:p>
        </w:tc>
        <w:tc>
          <w:tcPr>
            <w:tcW w:w="1260" w:type="dxa"/>
            <w:vAlign w:val="bottom"/>
            <w:tcBorders>
              <w:top w:val="single" w:sz="8" w:color="CFF0FC"/>
            </w:tcBorders>
          </w:tcPr>
          <w:p>
            <w:pPr>
              <w:jc w:val="right"/>
              <w:ind w:right="69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-896620</wp:posOffset>
            </wp:positionV>
            <wp:extent cx="24003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0030" cy="571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-896620</wp:posOffset>
            </wp:positionV>
            <wp:extent cx="12890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-539115</wp:posOffset>
            </wp:positionV>
            <wp:extent cx="240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-521970</wp:posOffset>
            </wp:positionV>
            <wp:extent cx="240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-539115</wp:posOffset>
            </wp:positionV>
            <wp:extent cx="1289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-521970</wp:posOffset>
            </wp:positionV>
            <wp:extent cx="1289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ind w:right="80" w:firstLine="509"/>
        <w:spacing w:after="0" w:line="27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for the year ended December 31, 2020 filed with the SEC on February 16,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ind w:right="180" w:firstLine="544"/>
        <w:spacing w:after="0" w:line="279" w:lineRule="auto"/>
        <w:rPr>
          <w:sz w:val="20"/>
          <w:szCs w:val="20"/>
          <w:color w:val="auto"/>
        </w:rPr>
      </w:pPr>
      <w:r>
        <w:rPr>
          <w:rFonts w:ascii="Arial" w:cs="Arial" w:eastAsia="Arial" w:hAnsi="Arial"/>
          <w:sz w:val="18"/>
          <w:szCs w:val="18"/>
          <w:color w:val="212529"/>
        </w:rPr>
        <w:t>We provide a cloud-based customer relationship management (“CRM”) Platform. Our CRM Platform is comprised of Marketing Hub, Sales Hub, Service Hub, CMS Hub, and Operations Hub (released in April 2021) as well as other tools and integrations that enable companies to attract, engage, and delight customers throughout the customer experience.</w:t>
      </w:r>
    </w:p>
    <w:p>
      <w:pPr>
        <w:spacing w:after="0" w:line="196" w:lineRule="exact"/>
        <w:rPr>
          <w:sz w:val="20"/>
          <w:szCs w:val="20"/>
          <w:color w:val="auto"/>
        </w:rPr>
      </w:pPr>
    </w:p>
    <w:p>
      <w:pPr>
        <w:ind w:right="20" w:firstLine="544"/>
        <w:spacing w:after="0" w:line="309" w:lineRule="auto"/>
        <w:rPr>
          <w:sz w:val="20"/>
          <w:szCs w:val="20"/>
          <w:color w:val="auto"/>
        </w:rPr>
      </w:pPr>
      <w:r>
        <w:rPr>
          <w:rFonts w:ascii="Arial" w:cs="Arial" w:eastAsia="Arial" w:hAnsi="Arial"/>
          <w:sz w:val="16"/>
          <w:szCs w:val="16"/>
          <w:color w:val="212529"/>
        </w:rPr>
        <w:t>At the core of our CRM Platform is our CRM that our customers use which creates a single view of all interactions a prospective or existing customer has with their marketing, sales and customer service teams. The CRM shares data across every application in the CRM Platform, automatically informing more personalized emails, website content, ads, and conversations, and enables more accurate timing cues for our customer’s internal teams. In addition, the CRM Platform was built to easily and seamlessly integrate third party applications to further customize to an individual company’s industry or needs. We designed and built our CRM Platform to serve a broad range of customers globally. Our CRM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78" w:lineRule="exact"/>
        <w:rPr>
          <w:sz w:val="20"/>
          <w:szCs w:val="20"/>
          <w:color w:val="auto"/>
        </w:rPr>
      </w:pPr>
    </w:p>
    <w:p>
      <w:pPr>
        <w:ind w:right="20" w:firstLine="544"/>
        <w:spacing w:after="0" w:line="308" w:lineRule="auto"/>
        <w:rPr>
          <w:sz w:val="20"/>
          <w:szCs w:val="20"/>
          <w:color w:val="auto"/>
        </w:rPr>
      </w:pPr>
      <w:r>
        <w:rPr>
          <w:rFonts w:ascii="Arial" w:cs="Arial" w:eastAsia="Arial" w:hAnsi="Arial"/>
          <w:sz w:val="16"/>
          <w:szCs w:val="16"/>
          <w:color w:val="auto"/>
        </w:rPr>
        <w:t>We focus on selling to mid-market business-to-business, or B2B, companies, which we define as companies that have between two and 2,000 employees. While our CRM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CRM Platform through our free products and then upgrade to our paid products. As of June 30, 2021, we had 4,981 full-time employees and 121,048 Total Customers of varying sizes in more than 120 countries, representing almost every industry.</w:t>
      </w:r>
    </w:p>
    <w:p>
      <w:pPr>
        <w:spacing w:after="0" w:line="177" w:lineRule="exact"/>
        <w:rPr>
          <w:sz w:val="20"/>
          <w:szCs w:val="20"/>
          <w:color w:val="auto"/>
        </w:rPr>
      </w:pPr>
    </w:p>
    <w:p>
      <w:pPr>
        <w:ind w:right="60" w:firstLine="544"/>
        <w:spacing w:after="0" w:line="288" w:lineRule="auto"/>
        <w:rPr>
          <w:sz w:val="20"/>
          <w:szCs w:val="20"/>
          <w:color w:val="auto"/>
        </w:rPr>
      </w:pPr>
      <w:r>
        <w:rPr>
          <w:rFonts w:ascii="Arial" w:cs="Arial" w:eastAsia="Arial" w:hAnsi="Arial"/>
          <w:sz w:val="17"/>
          <w:szCs w:val="17"/>
          <w:color w:val="auto"/>
        </w:rPr>
        <w:t>We derive most of our revenue from subscriptions to our cloud-based CRM Platform and related professional services, which consist of customer on-</w:t>
      </w:r>
      <w:r>
        <w:rPr>
          <w:rFonts w:ascii="Arial" w:cs="Arial" w:eastAsia="Arial" w:hAnsi="Arial"/>
          <w:sz w:val="17"/>
          <w:szCs w:val="17"/>
          <w:color w:val="212529"/>
        </w:rPr>
        <w:t>boarding</w:t>
      </w:r>
      <w:r>
        <w:rPr>
          <w:rFonts w:ascii="Arial" w:cs="Arial" w:eastAsia="Arial" w:hAnsi="Arial"/>
          <w:sz w:val="17"/>
          <w:szCs w:val="17"/>
          <w:color w:val="auto"/>
        </w:rPr>
        <w:t xml:space="preserve"> and training services. Subscription revenue accounted for 97% of our total revenue for the three months ended June 30, 2021, 96% of our total revenue for the six months ended June 30, 2021, and 96% of our total revenue for both the three and six months ended June 30, 2020. We sell multiple product plans at different base prices on a subscription basis, each of which includes our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94" w:lineRule="exact"/>
        <w:rPr>
          <w:sz w:val="20"/>
          <w:szCs w:val="20"/>
          <w:color w:val="auto"/>
        </w:rPr>
      </w:pPr>
    </w:p>
    <w:p>
      <w:pPr>
        <w:jc w:val="both"/>
        <w:ind w:firstLine="544"/>
        <w:spacing w:after="0" w:line="279" w:lineRule="auto"/>
        <w:rPr>
          <w:sz w:val="20"/>
          <w:szCs w:val="20"/>
          <w:color w:val="auto"/>
        </w:rPr>
      </w:pPr>
      <w:r>
        <w:rPr>
          <w:rFonts w:ascii="Arial" w:cs="Arial" w:eastAsia="Arial" w:hAnsi="Arial"/>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83" w:lineRule="exact"/>
        <w:rPr>
          <w:sz w:val="20"/>
          <w:szCs w:val="20"/>
          <w:color w:val="auto"/>
        </w:rPr>
      </w:pPr>
    </w:p>
    <w:p>
      <w:pPr>
        <w:ind w:right="20" w:firstLine="544"/>
        <w:spacing w:after="0" w:line="319" w:lineRule="auto"/>
        <w:rPr>
          <w:sz w:val="20"/>
          <w:szCs w:val="20"/>
          <w:color w:val="auto"/>
        </w:rPr>
      </w:pPr>
      <w:r>
        <w:rPr>
          <w:rFonts w:ascii="Arial" w:cs="Arial" w:eastAsia="Arial" w:hAnsi="Arial"/>
          <w:sz w:val="16"/>
          <w:szCs w:val="16"/>
          <w:color w:val="auto"/>
        </w:rPr>
        <w:t>Many of our customers purchase on-boarding and training services which are designed to help customers enhance their ability to attract, engage and delight their customers using our CRM Platform. Professional services and other revenue accounted for 3% of total revenue for the three months ended June 30, 2021, 4% of our total revenue for the six months ended June 30, 2021, and 4% of our total revenue for both the three and six months ended June 30, 2020. We expect professional services and other margins to range from a moderate loss to breakeven for the foreseeable future.</w:t>
      </w:r>
    </w:p>
    <w:p>
      <w:pPr>
        <w:spacing w:after="0" w:line="156" w:lineRule="exact"/>
        <w:rPr>
          <w:sz w:val="20"/>
          <w:szCs w:val="20"/>
          <w:color w:val="auto"/>
        </w:rPr>
      </w:pPr>
    </w:p>
    <w:p>
      <w:pPr>
        <w:ind w:right="160" w:firstLine="544"/>
        <w:spacing w:after="0" w:line="293" w:lineRule="auto"/>
        <w:rPr>
          <w:sz w:val="20"/>
          <w:szCs w:val="20"/>
          <w:color w:val="auto"/>
        </w:rPr>
      </w:pPr>
      <w:r>
        <w:rPr>
          <w:rFonts w:ascii="Arial" w:cs="Arial" w:eastAsia="Arial" w:hAnsi="Arial"/>
          <w:sz w:val="18"/>
          <w:szCs w:val="18"/>
          <w:color w:val="auto"/>
        </w:rPr>
        <w:t>We have focused on rapidly growing our business and plan to continue to make investments to help us address some of the challenges facing us to support this growth, such as demand for our CRM Platform by existing and new customers, 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ind w:right="20"/>
        <w:spacing w:after="0" w:line="293" w:lineRule="auto"/>
        <w:rPr>
          <w:sz w:val="20"/>
          <w:szCs w:val="20"/>
          <w:color w:val="auto"/>
        </w:rPr>
      </w:pPr>
      <w:r>
        <w:rPr>
          <w:rFonts w:ascii="Arial" w:cs="Arial" w:eastAsia="Arial" w:hAnsi="Arial"/>
          <w:sz w:val="18"/>
          <w:szCs w:val="18"/>
          <w:color w:val="auto"/>
        </w:rPr>
        <w:t>competition from other providers of marketing, sales, customer service, and content management software and related applications and rapid technological change in our industry.</w:t>
      </w:r>
    </w:p>
    <w:p>
      <w:pPr>
        <w:spacing w:after="0" w:line="170" w:lineRule="exact"/>
        <w:rPr>
          <w:sz w:val="20"/>
          <w:szCs w:val="20"/>
          <w:color w:val="auto"/>
        </w:rPr>
      </w:pPr>
    </w:p>
    <w:p>
      <w:pPr>
        <w:ind w:right="100" w:firstLine="544"/>
        <w:spacing w:after="0" w:line="306" w:lineRule="auto"/>
        <w:rPr>
          <w:sz w:val="20"/>
          <w:szCs w:val="20"/>
          <w:color w:val="auto"/>
        </w:rPr>
      </w:pPr>
      <w:r>
        <w:rPr>
          <w:rFonts w:ascii="Arial" w:cs="Arial" w:eastAsia="Arial" w:hAnsi="Arial"/>
          <w:sz w:val="16"/>
          <w:szCs w:val="16"/>
          <w:color w:val="auto"/>
        </w:rPr>
        <w:t>We believe that the growth of our business is dependent on many factors, including our ability to expand our customer base, increase adoption of our CRM Platform within existing customers, develop new products and applications to extend the functionality of our CRM Platform and provide a high level of customer service. We expect to increase our investment in sales and marketing as we continue to expand our sales teams, increase our marketing activities and grow our international operations. We also expect to increase our investment in research and development as we continue to introduce new products and applications to extend the functionality of our CRM Platform. We also intend to invest in maintaining a high level of customer service and support which we consider critical for our continued success. We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and prior stock offerings to fund these growth strategies and support our business and do not expect to be profitable in the near term.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March 2020, the World Health Organization, or WHO, declared the outbreak of a disease caused by a novel strain of the coronavirus (“COVID-19”) to be a pandemic (the “pandemic”). This pandemic has had widespread, rapidly-evolving, and unpredictable impacts on global societies, economies, financial markets, and business practices. Federal and state governments have implemented measures in an effort to contain the virus, including physical distancing, travel bans and restrictions, closure of non-essential businesses, quarantines, work-from-home directives, shelter-in-place orders, and limitations on public gatherings. These measurements have caused, and are continuing to cause, business slowdowns or shutdowns in affected areas, both regionally and worldwide.</w:t>
      </w:r>
    </w:p>
    <w:p>
      <w:pPr>
        <w:spacing w:after="0" w:line="204" w:lineRule="exact"/>
        <w:rPr>
          <w:sz w:val="20"/>
          <w:szCs w:val="20"/>
          <w:color w:val="auto"/>
        </w:rPr>
      </w:pPr>
    </w:p>
    <w:p>
      <w:pPr>
        <w:ind w:right="60" w:firstLine="540"/>
        <w:spacing w:after="0" w:line="296" w:lineRule="auto"/>
        <w:rPr>
          <w:sz w:val="20"/>
          <w:szCs w:val="20"/>
          <w:color w:val="auto"/>
        </w:rPr>
      </w:pPr>
      <w:r>
        <w:rPr>
          <w:rFonts w:ascii="Arial" w:cs="Arial" w:eastAsia="Arial" w:hAnsi="Arial"/>
          <w:sz w:val="17"/>
          <w:szCs w:val="17"/>
          <w:color w:val="auto"/>
        </w:rPr>
        <w:t>Our focus remains on promoting employee health and safety, serving our customers, and ensuring business continuity. As we continue to reassess local restrictions across the globe and the administration of vaccine programs ramps up and cases decline, we are moving towards slowly re-opening some our offices on a staggered, region-to-region basis in accordance with local authority guidelines while ensuring that our return to work is thoughtful, prudent, and handled with an abundance of caution with the health of our employees being the top priority.</w:t>
      </w:r>
    </w:p>
    <w:p>
      <w:pPr>
        <w:spacing w:after="0" w:line="183" w:lineRule="exact"/>
        <w:rPr>
          <w:sz w:val="20"/>
          <w:szCs w:val="20"/>
          <w:color w:val="auto"/>
        </w:rPr>
      </w:pPr>
    </w:p>
    <w:p>
      <w:pPr>
        <w:ind w:firstLine="540"/>
        <w:spacing w:after="0" w:line="279" w:lineRule="auto"/>
        <w:rPr>
          <w:sz w:val="20"/>
          <w:szCs w:val="20"/>
          <w:color w:val="auto"/>
        </w:rPr>
      </w:pPr>
      <w:r>
        <w:rPr>
          <w:rFonts w:ascii="Arial" w:cs="Arial" w:eastAsia="Arial" w:hAnsi="Arial"/>
          <w:sz w:val="18"/>
          <w:szCs w:val="18"/>
          <w:color w:val="auto"/>
        </w:rPr>
        <w:t>While the pandemic has not had a material adverse financial impact on our business to date, the broader implications of the pandemic on our results of operations and overall financial performance will depend on future developments and conditions. See the section titled “Risk Factors” included under Part II, Item 1A below for further discussion of the possible impact of the pandemic on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2021 and 2020</w:t>
      </w:r>
    </w:p>
    <w:p>
      <w:pPr>
        <w:spacing w:after="0" w:line="135"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total revenue for those periods. The data has been derived from the unaudited consolidated financial statements contained in this Quarterly Report on Form 10-Q which include, in our opinion, all adjustments, consisting only of normal recurring adjustments, that we consider necessary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3" w:name="page24"/>
    <w:bookmarkEnd w:id="23"/>
    <w:p>
      <w:pPr>
        <w:spacing w:after="0" w:line="293" w:lineRule="auto"/>
        <w:rPr>
          <w:sz w:val="20"/>
          <w:szCs w:val="20"/>
          <w:color w:val="auto"/>
        </w:rPr>
      </w:pPr>
      <w:r>
        <w:rPr>
          <w:rFonts w:ascii="Arial" w:cs="Arial" w:eastAsia="Arial" w:hAnsi="Arial"/>
          <w:sz w:val="18"/>
          <w:szCs w:val="18"/>
          <w:color w:val="auto"/>
        </w:rPr>
        <w:t>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For the Three Months Ended</w:t>
            </w: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92"/>
        </w:trPr>
        <w:tc>
          <w:tcPr>
            <w:tcW w:w="444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440" w:type="dxa"/>
            <w:vAlign w:val="bottom"/>
          </w:tcPr>
          <w:p>
            <w:pPr>
              <w:spacing w:after="0"/>
              <w:rPr>
                <w:sz w:val="17"/>
                <w:szCs w:val="17"/>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4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   300,423</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196,415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570,686</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387,643</w:t>
            </w:r>
          </w:p>
        </w:tc>
        <w:tc>
          <w:tcPr>
            <w:tcW w:w="80" w:type="dxa"/>
            <w:vAlign w:val="bottom"/>
          </w:tcPr>
          <w:p>
            <w:pPr>
              <w:spacing w:after="0"/>
              <w:rPr>
                <w:sz w:val="21"/>
                <w:szCs w:val="21"/>
                <w:color w:val="auto"/>
              </w:rPr>
            </w:pPr>
          </w:p>
        </w:tc>
      </w:tr>
      <w:tr>
        <w:trPr>
          <w:trHeight w:val="263"/>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10,365</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21,467</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440" w:type="dxa"/>
            <w:vAlign w:val="bottom"/>
          </w:tcPr>
          <w:p>
            <w:pPr>
              <w:ind w:left="76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310,788</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592,153</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402,575</w:t>
            </w:r>
          </w:p>
        </w:tc>
        <w:tc>
          <w:tcPr>
            <w:tcW w:w="80" w:type="dxa"/>
            <w:vAlign w:val="bottom"/>
          </w:tcPr>
          <w:p>
            <w:pPr>
              <w:spacing w:after="0"/>
              <w:rPr>
                <w:sz w:val="21"/>
                <w:szCs w:val="21"/>
                <w:color w:val="auto"/>
              </w:rPr>
            </w:pPr>
          </w:p>
        </w:tc>
      </w:tr>
      <w:tr>
        <w:trPr>
          <w:trHeight w:val="25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4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20" w:type="dxa"/>
            <w:vAlign w:val="bottom"/>
          </w:tcPr>
          <w:p>
            <w:pPr>
              <w:jc w:val="right"/>
              <w:spacing w:after="0"/>
              <w:rPr>
                <w:sz w:val="20"/>
                <w:szCs w:val="20"/>
                <w:color w:val="auto"/>
              </w:rPr>
            </w:pPr>
            <w:r>
              <w:rPr>
                <w:rFonts w:ascii="Arial" w:cs="Arial" w:eastAsia="Arial" w:hAnsi="Arial"/>
                <w:sz w:val="18"/>
                <w:szCs w:val="18"/>
                <w:color w:val="auto"/>
              </w:rPr>
              <w:t>51,134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30,400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94,986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60,135</w:t>
            </w:r>
          </w:p>
        </w:tc>
        <w:tc>
          <w:tcPr>
            <w:tcW w:w="80" w:type="dxa"/>
            <w:vAlign w:val="bottom"/>
          </w:tcPr>
          <w:p>
            <w:pPr>
              <w:spacing w:after="0"/>
              <w:rPr>
                <w:sz w:val="21"/>
                <w:szCs w:val="21"/>
                <w:color w:val="auto"/>
              </w:rPr>
            </w:pPr>
          </w:p>
        </w:tc>
      </w:tr>
      <w:tr>
        <w:trPr>
          <w:trHeight w:val="263"/>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11,743</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8,377</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22,625</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440" w:type="dxa"/>
            <w:vAlign w:val="bottom"/>
          </w:tcPr>
          <w:p>
            <w:pPr>
              <w:ind w:left="760"/>
              <w:spacing w:after="0"/>
              <w:rPr>
                <w:sz w:val="20"/>
                <w:szCs w:val="20"/>
                <w:color w:val="auto"/>
              </w:rPr>
            </w:pPr>
            <w:r>
              <w:rPr>
                <w:rFonts w:ascii="Arial" w:cs="Arial" w:eastAsia="Arial" w:hAnsi="Arial"/>
                <w:sz w:val="18"/>
                <w:szCs w:val="18"/>
                <w:color w:val="auto"/>
              </w:rPr>
              <w:t>Total cost of revenues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62,877</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117,611</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77,061</w:t>
            </w:r>
          </w:p>
        </w:tc>
        <w:tc>
          <w:tcPr>
            <w:tcW w:w="80" w:type="dxa"/>
            <w:vAlign w:val="bottom"/>
          </w:tcPr>
          <w:p>
            <w:pPr>
              <w:spacing w:after="0"/>
              <w:rPr>
                <w:sz w:val="21"/>
                <w:szCs w:val="21"/>
                <w:color w:val="auto"/>
              </w:rPr>
            </w:pPr>
          </w:p>
        </w:tc>
      </w:tr>
      <w:tr>
        <w:trPr>
          <w:trHeight w:val="250"/>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247,911</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164,831</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474,542</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325,514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72,104</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49,372</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95,573</w:t>
            </w:r>
          </w:p>
        </w:tc>
        <w:tc>
          <w:tcPr>
            <w:tcW w:w="80" w:type="dxa"/>
            <w:vAlign w:val="bottom"/>
            <w:shd w:val="clear" w:color="auto" w:fill="CFF0FC"/>
          </w:tcPr>
          <w:p>
            <w:pPr>
              <w:spacing w:after="0"/>
              <w:rPr>
                <w:sz w:val="22"/>
                <w:szCs w:val="22"/>
                <w:color w:val="auto"/>
              </w:rPr>
            </w:pPr>
          </w:p>
        </w:tc>
      </w:tr>
      <w:tr>
        <w:trPr>
          <w:trHeight w:val="250"/>
        </w:trPr>
        <w:tc>
          <w:tcPr>
            <w:tcW w:w="44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jc w:val="right"/>
              <w:spacing w:after="0"/>
              <w:rPr>
                <w:sz w:val="20"/>
                <w:szCs w:val="20"/>
                <w:color w:val="auto"/>
              </w:rPr>
            </w:pPr>
            <w:r>
              <w:rPr>
                <w:rFonts w:ascii="Arial" w:cs="Arial" w:eastAsia="Arial" w:hAnsi="Arial"/>
                <w:sz w:val="18"/>
                <w:szCs w:val="18"/>
                <w:color w:val="auto"/>
              </w:rPr>
              <w:t>157,799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102,600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298,817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204,928</w:t>
            </w:r>
          </w:p>
        </w:tc>
        <w:tc>
          <w:tcPr>
            <w:tcW w:w="80" w:type="dxa"/>
            <w:vAlign w:val="bottom"/>
          </w:tcPr>
          <w:p>
            <w:pPr>
              <w:spacing w:after="0"/>
              <w:rPr>
                <w:sz w:val="21"/>
                <w:szCs w:val="21"/>
                <w:color w:val="auto"/>
              </w:rPr>
            </w:pPr>
          </w:p>
        </w:tc>
      </w:tr>
      <w:tr>
        <w:trPr>
          <w:trHeight w:val="263"/>
        </w:trPr>
        <w:tc>
          <w:tcPr>
            <w:tcW w:w="4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34,610</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26,484</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66,860</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52,741</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4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264,513</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178,456</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506,177</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353,242</w:t>
            </w:r>
          </w:p>
        </w:tc>
        <w:tc>
          <w:tcPr>
            <w:tcW w:w="80" w:type="dxa"/>
            <w:vAlign w:val="bottom"/>
          </w:tcPr>
          <w:p>
            <w:pPr>
              <w:spacing w:after="0"/>
              <w:rPr>
                <w:sz w:val="21"/>
                <w:szCs w:val="21"/>
                <w:color w:val="auto"/>
              </w:rPr>
            </w:pPr>
          </w:p>
        </w:tc>
      </w:tr>
      <w:tr>
        <w:trPr>
          <w:trHeight w:val="25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(16,602 )</w:t>
            </w: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(13,625 )</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(31,635 )</w:t>
            </w:r>
          </w:p>
        </w:tc>
        <w:tc>
          <w:tcPr>
            <w:tcW w:w="2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(27,728 )</w:t>
            </w:r>
          </w:p>
        </w:tc>
      </w:tr>
      <w:tr>
        <w:trPr>
          <w:trHeight w:val="20"/>
        </w:trPr>
        <w:tc>
          <w:tcPr>
            <w:tcW w:w="44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-2019300</wp:posOffset>
            </wp:positionV>
            <wp:extent cx="13716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-2019300</wp:posOffset>
            </wp:positionV>
            <wp:extent cx="12827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-2019300</wp:posOffset>
            </wp:positionV>
            <wp:extent cx="12001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-2019300</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-1350645</wp:posOffset>
            </wp:positionV>
            <wp:extent cx="13716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-1350645</wp:posOffset>
            </wp:positionV>
            <wp:extent cx="12827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-1350645</wp:posOffset>
            </wp:positionV>
            <wp:extent cx="12001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-1350645</wp:posOffset>
            </wp:positionV>
            <wp:extent cx="514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-1007745</wp:posOffset>
            </wp:positionV>
            <wp:extent cx="13716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-1007745</wp:posOffset>
            </wp:positionV>
            <wp:extent cx="12827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-1007745</wp:posOffset>
            </wp:positionV>
            <wp:extent cx="12001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-1007745</wp:posOffset>
            </wp:positionV>
            <wp:extent cx="5143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-347980</wp:posOffset>
            </wp:positionV>
            <wp:extent cx="13716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-347980</wp:posOffset>
            </wp:positionV>
            <wp:extent cx="12827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-347980</wp:posOffset>
            </wp:positionV>
            <wp:extent cx="12001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-347980</wp:posOffset>
            </wp:positionV>
            <wp:extent cx="5143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-5080</wp:posOffset>
            </wp:positionV>
            <wp:extent cx="13716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-5080</wp:posOffset>
            </wp:positionV>
            <wp:extent cx="12827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-5080</wp:posOffset>
            </wp:positionV>
            <wp:extent cx="12001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-5080</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ectPr>
          <w:pgSz w:w="11900" w:h="16838" w:orient="portrait"/>
          <w:cols w:equalWidth="0" w:num="1">
            <w:col w:w="11200"/>
          </w:cols>
          <w:pgMar w:left="320" w:top="476" w:right="379" w:bottom="848" w:gutter="0" w:footer="0" w:header="0"/>
        </w:sectPr>
      </w:pP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expense:</w:t>
      </w:r>
    </w:p>
    <w:p>
      <w:pPr>
        <w:spacing w:after="0" w:line="5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Interest income</w:t>
      </w:r>
    </w:p>
    <w:p>
      <w:pPr>
        <w:spacing w:after="0" w:line="50"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Other income (expense)</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Total other expense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Loss before income tax expense</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Income tax expense</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 per share, basic and diluted</w:t>
      </w:r>
    </w:p>
    <w:p>
      <w:pPr>
        <w:spacing w:after="0" w:line="50" w:lineRule="exact"/>
        <w:rPr>
          <w:sz w:val="20"/>
          <w:szCs w:val="20"/>
          <w:color w:val="auto"/>
        </w:rPr>
      </w:pPr>
    </w:p>
    <w:p>
      <w:pPr>
        <w:ind w:left="1240" w:right="240" w:hanging="89"/>
        <w:spacing w:after="0" w:line="359" w:lineRule="auto"/>
        <w:rPr>
          <w:sz w:val="20"/>
          <w:szCs w:val="20"/>
          <w:color w:val="auto"/>
        </w:rPr>
      </w:pPr>
      <w:r>
        <w:rPr>
          <w:rFonts w:ascii="Arial" w:cs="Arial" w:eastAsia="Arial" w:hAnsi="Arial"/>
          <w:sz w:val="16"/>
          <w:szCs w:val="16"/>
          <w:color w:val="auto"/>
        </w:rPr>
        <w:t>Weighted average common shares used in computing basic and diluted net loss per share: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6,192</w:t>
            </w:r>
          </w:p>
        </w:tc>
        <w:tc>
          <w:tcPr>
            <w:tcW w:w="60" w:type="dxa"/>
            <w:vAlign w:val="bottom"/>
          </w:tcPr>
          <w:p>
            <w:pPr>
              <w:spacing w:after="0"/>
              <w:rPr>
                <w:sz w:val="20"/>
                <w:szCs w:val="20"/>
                <w:color w:val="auto"/>
              </w:rPr>
            </w:pPr>
          </w:p>
        </w:tc>
      </w:tr>
      <w:tr>
        <w:trPr>
          <w:trHeight w:val="256"/>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(7,179 )</w:t>
            </w:r>
          </w:p>
        </w:tc>
        <w:tc>
          <w:tcPr>
            <w:tcW w:w="3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(16,809 )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(16,578 )</w:t>
            </w:r>
          </w:p>
        </w:tc>
        <w:tc>
          <w:tcPr>
            <w:tcW w:w="14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(22,761 )</w:t>
            </w:r>
          </w:p>
        </w:tc>
      </w:tr>
      <w:tr>
        <w:trPr>
          <w:trHeight w:val="263"/>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(1,143 )</w:t>
            </w:r>
          </w:p>
        </w:tc>
      </w:tr>
      <w:tr>
        <w:trPr>
          <w:trHeight w:val="20"/>
        </w:trPr>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(6,310 )</w:t>
            </w:r>
          </w:p>
        </w:tc>
        <w:tc>
          <w:tcPr>
            <w:tcW w:w="3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(14,765 )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(14,574 )</w:t>
            </w:r>
          </w:p>
        </w:tc>
        <w:tc>
          <w:tcPr>
            <w:tcW w:w="1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(17,712 )</w:t>
            </w:r>
          </w:p>
        </w:tc>
      </w:tr>
      <w:tr>
        <w:trPr>
          <w:trHeight w:val="20"/>
        </w:trPr>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(22,912 )</w:t>
            </w:r>
          </w:p>
        </w:tc>
        <w:tc>
          <w:tcPr>
            <w:tcW w:w="3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(28,390 )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(46,209 )</w:t>
            </w:r>
          </w:p>
        </w:tc>
        <w:tc>
          <w:tcPr>
            <w:tcW w:w="14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(45,440 )</w:t>
            </w:r>
          </w:p>
        </w:tc>
      </w:tr>
      <w:tr>
        <w:trPr>
          <w:trHeight w:val="263"/>
        </w:trPr>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(1,660 )</w:t>
            </w:r>
          </w:p>
        </w:tc>
        <w:tc>
          <w:tcPr>
            <w:tcW w:w="3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(1,011 )</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(1,522 )</w:t>
            </w:r>
          </w:p>
        </w:tc>
        <w:tc>
          <w:tcPr>
            <w:tcW w:w="14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(1,677 )</w:t>
            </w:r>
          </w:p>
        </w:tc>
      </w:tr>
      <w:tr>
        <w:trPr>
          <w:trHeight w:val="20"/>
        </w:trPr>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(24,572 )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(29,401 )</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(47,731 )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(47,117 )</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(0.67 )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(1.08 )</w:t>
            </w:r>
          </w:p>
        </w:tc>
      </w:tr>
      <w:tr>
        <w:trPr>
          <w:trHeight w:val="486"/>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46,777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44,130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46,603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43,703</w:t>
            </w:r>
          </w:p>
        </w:tc>
        <w:tc>
          <w:tcPr>
            <w:tcW w:w="60" w:type="dxa"/>
            <w:vAlign w:val="bottom"/>
          </w:tcPr>
          <w:p>
            <w:pPr>
              <w:spacing w:after="0"/>
              <w:rPr>
                <w:sz w:val="24"/>
                <w:szCs w:val="24"/>
                <w:color w:val="auto"/>
              </w:rPr>
            </w:pPr>
          </w:p>
        </w:tc>
      </w:tr>
      <w:tr>
        <w:trPr>
          <w:trHeight w:val="423"/>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w w:val="95"/>
              </w:rPr>
              <w:t>Three Months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2"/>
        </w:trPr>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7"/>
          </w:tcPr>
          <w:p>
            <w:pPr>
              <w:ind w:left="34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6"/>
                <w:szCs w:val="16"/>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June 30,</w:t>
            </w:r>
          </w:p>
        </w:tc>
      </w:tr>
      <w:tr>
        <w:trPr>
          <w:trHeight w:val="190"/>
        </w:trPr>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-2177415</wp:posOffset>
            </wp:positionV>
            <wp:extent cx="5700395"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-1852295</wp:posOffset>
            </wp:positionV>
            <wp:extent cx="5700395"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00395" cy="171450"/>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-1508760</wp:posOffset>
            </wp:positionV>
            <wp:extent cx="5700395"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-1174750</wp:posOffset>
            </wp:positionV>
            <wp:extent cx="5700395" cy="1885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00395" cy="188595"/>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-822960</wp:posOffset>
            </wp:positionV>
            <wp:extent cx="5700395" cy="3086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-2817495</wp:posOffset>
            </wp:positionH>
            <wp:positionV relativeFrom="paragraph">
              <wp:posOffset>7620</wp:posOffset>
            </wp:positionV>
            <wp:extent cx="5700395"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4860" w:space="720"/>
            <w:col w:w="5620"/>
          </w:cols>
          <w:pgMar w:left="320" w:top="476" w:right="379" w:bottom="848" w:gutter="0" w:footer="0" w:header="0"/>
          <w:type w:val="continuous"/>
        </w:sectPr>
      </w:pPr>
    </w:p>
    <w:p>
      <w:pPr>
        <w:ind w:left="1140"/>
        <w:spacing w:after="0"/>
        <w:rPr>
          <w:sz w:val="20"/>
          <w:szCs w:val="20"/>
          <w:color w:val="auto"/>
        </w:rPr>
      </w:pPr>
      <w:r>
        <w:rPr>
          <w:rFonts w:ascii="Arial" w:cs="Arial" w:eastAsia="Arial" w:hAnsi="Arial"/>
          <w:sz w:val="18"/>
          <w:szCs w:val="18"/>
          <w:color w:val="auto"/>
        </w:rPr>
        <w:t>Revenue:</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5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97 %</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96 %</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96 %</w:t>
            </w:r>
          </w:p>
        </w:tc>
      </w:tr>
      <w:tr>
        <w:trPr>
          <w:trHeight w:val="263"/>
        </w:trPr>
        <w:tc>
          <w:tcPr>
            <w:tcW w:w="4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520" w:type="dxa"/>
            <w:vAlign w:val="bottom"/>
          </w:tcPr>
          <w:p>
            <w:pPr>
              <w:ind w:left="520"/>
              <w:spacing w:after="0"/>
              <w:rPr>
                <w:sz w:val="20"/>
                <w:szCs w:val="20"/>
                <w:color w:val="auto"/>
              </w:rPr>
            </w:pPr>
            <w:r>
              <w:rPr>
                <w:rFonts w:ascii="Arial" w:cs="Arial" w:eastAsia="Arial" w:hAnsi="Arial"/>
                <w:sz w:val="18"/>
                <w:szCs w:val="18"/>
                <w:color w:val="auto"/>
              </w:rPr>
              <w:t>Total revenue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r>
      <w:tr>
        <w:trPr>
          <w:trHeight w:val="25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50"/>
        </w:trPr>
        <w:tc>
          <w:tcPr>
            <w:tcW w:w="452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r>
      <w:tr>
        <w:trPr>
          <w:trHeight w:val="263"/>
        </w:trPr>
        <w:tc>
          <w:tcPr>
            <w:tcW w:w="4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Professional services and other</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520" w:type="dxa"/>
            <w:vAlign w:val="bottom"/>
          </w:tcPr>
          <w:p>
            <w:pPr>
              <w:ind w:left="520"/>
              <w:spacing w:after="0"/>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r>
      <w:tr>
        <w:trPr>
          <w:trHeight w:val="25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FF0FC"/>
            </w:tcBorders>
            <w:shd w:val="clear" w:color="auto" w:fill="CFF0FC"/>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63"/>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22"/>
                <w:szCs w:val="22"/>
                <w:color w:val="auto"/>
              </w:rPr>
            </w:pPr>
          </w:p>
        </w:tc>
      </w:tr>
      <w:tr>
        <w:trPr>
          <w:trHeight w:val="250"/>
        </w:trPr>
        <w:tc>
          <w:tcPr>
            <w:tcW w:w="45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r>
      <w:tr>
        <w:trPr>
          <w:trHeight w:val="263"/>
        </w:trPr>
        <w:tc>
          <w:tcPr>
            <w:tcW w:w="4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5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1"/>
                <w:szCs w:val="21"/>
                <w:color w:val="auto"/>
              </w:rPr>
            </w:pPr>
          </w:p>
        </w:tc>
      </w:tr>
      <w:tr>
        <w:trPr>
          <w:trHeight w:val="25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(5 )</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(7 )</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(5 )</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(7 )</w:t>
            </w:r>
          </w:p>
        </w:tc>
      </w:tr>
      <w:tr>
        <w:trPr>
          <w:trHeight w:val="256"/>
        </w:trPr>
        <w:tc>
          <w:tcPr>
            <w:tcW w:w="4520" w:type="dxa"/>
            <w:vAlign w:val="bottom"/>
          </w:tcPr>
          <w:p>
            <w:pPr>
              <w:ind w:left="520"/>
              <w:spacing w:after="0"/>
              <w:rPr>
                <w:sz w:val="20"/>
                <w:szCs w:val="20"/>
                <w:color w:val="auto"/>
              </w:rPr>
            </w:pPr>
            <w:r>
              <w:rPr>
                <w:rFonts w:ascii="Arial" w:cs="Arial" w:eastAsia="Arial" w:hAnsi="Arial"/>
                <w:sz w:val="18"/>
                <w:szCs w:val="18"/>
                <w:color w:val="auto"/>
              </w:rPr>
              <w:t>Total other expense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(2 )</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(7 )</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r>
      <w:tr>
        <w:trPr>
          <w:trHeight w:val="20"/>
        </w:trPr>
        <w:tc>
          <w:tcPr>
            <w:tcW w:w="4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 expense</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(7 )</w:t>
            </w:r>
          </w:p>
        </w:tc>
        <w:tc>
          <w:tcPr>
            <w:tcW w:w="10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(14 )</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(8 )</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(11 )</w:t>
            </w:r>
          </w:p>
        </w:tc>
      </w:tr>
      <w:tr>
        <w:trPr>
          <w:trHeight w:val="256"/>
        </w:trPr>
        <w:tc>
          <w:tcPr>
            <w:tcW w:w="4520" w:type="dxa"/>
            <w:vAlign w:val="bottom"/>
          </w:tcPr>
          <w:p>
            <w:pPr>
              <w:ind w:left="520"/>
              <w:spacing w:after="0"/>
              <w:rPr>
                <w:sz w:val="20"/>
                <w:szCs w:val="20"/>
                <w:color w:val="auto"/>
              </w:rPr>
            </w:pPr>
            <w:r>
              <w:rPr>
                <w:rFonts w:ascii="Arial" w:cs="Arial" w:eastAsia="Arial" w:hAnsi="Arial"/>
                <w:sz w:val="18"/>
                <w:szCs w:val="18"/>
                <w:color w:val="auto"/>
              </w:rPr>
              <w:t>Income tax expense</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(1 )</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(0 )</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(0 )</w:t>
            </w:r>
          </w:p>
        </w:tc>
      </w:tr>
      <w:tr>
        <w:trPr>
          <w:trHeight w:val="20"/>
        </w:trPr>
        <w:tc>
          <w:tcPr>
            <w:tcW w:w="4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(8 )%</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(14 )%</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(8 )%</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(12 )%</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-2705100</wp:posOffset>
            </wp:positionV>
            <wp:extent cx="24828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-2705100</wp:posOffset>
            </wp:positionV>
            <wp:extent cx="24828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-2705100</wp:posOffset>
            </wp:positionV>
            <wp:extent cx="2311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-2705100</wp:posOffset>
            </wp:positionV>
            <wp:extent cx="16256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-2036445</wp:posOffset>
            </wp:positionV>
            <wp:extent cx="24828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-2036445</wp:posOffset>
            </wp:positionV>
            <wp:extent cx="24828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-2036445</wp:posOffset>
            </wp:positionV>
            <wp:extent cx="2311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-2036445</wp:posOffset>
            </wp:positionV>
            <wp:extent cx="16256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-1693545</wp:posOffset>
            </wp:positionV>
            <wp:extent cx="24828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-1693545</wp:posOffset>
            </wp:positionV>
            <wp:extent cx="24828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-1693545</wp:posOffset>
            </wp:positionV>
            <wp:extent cx="2311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-1693545</wp:posOffset>
            </wp:positionV>
            <wp:extent cx="16256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-1033780</wp:posOffset>
            </wp:positionV>
            <wp:extent cx="24828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-1033780</wp:posOffset>
            </wp:positionV>
            <wp:extent cx="24828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-1033780</wp:posOffset>
            </wp:positionV>
            <wp:extent cx="2311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-1033780</wp:posOffset>
            </wp:positionV>
            <wp:extent cx="16256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2482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24828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2482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2482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2311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2311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1625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1625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Percentages are based on actual values. Totals may not sum due to rounding.</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848"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Three and Six Months Ended June 30, 2021 Compared to the Three and Six Months Ended June 30, 2020</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56"/>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50"/>
        </w:trPr>
        <w:tc>
          <w:tcPr>
            <w:tcW w:w="3040" w:type="dxa"/>
            <w:vAlign w:val="bottom"/>
            <w:gridSpan w:val="2"/>
          </w:tcPr>
          <w:p>
            <w:pPr>
              <w:ind w:left="280"/>
              <w:spacing w:after="0"/>
              <w:rPr>
                <w:sz w:val="20"/>
                <w:szCs w:val="20"/>
                <w:color w:val="auto"/>
              </w:rPr>
            </w:pPr>
            <w:r>
              <w:rPr>
                <w:rFonts w:ascii="Arial" w:cs="Arial" w:eastAsia="Arial" w:hAnsi="Arial"/>
                <w:sz w:val="18"/>
                <w:szCs w:val="18"/>
                <w:color w:val="auto"/>
              </w:rPr>
              <w:t>Subscription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300,423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196,415</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104,008</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570,686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387,643</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183,043</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47 %</w:t>
            </w:r>
          </w:p>
        </w:tc>
      </w:tr>
      <w:tr>
        <w:trPr>
          <w:trHeight w:val="263"/>
        </w:trPr>
        <w:tc>
          <w:tcPr>
            <w:tcW w:w="30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Professional services and other</w:t>
            </w:r>
          </w:p>
        </w:tc>
        <w:tc>
          <w:tcPr>
            <w:tcW w:w="18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10,365</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3,172</w:t>
            </w:r>
          </w:p>
        </w:tc>
        <w:tc>
          <w:tcPr>
            <w:tcW w:w="122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44 %</w:t>
            </w:r>
          </w:p>
        </w:tc>
        <w:tc>
          <w:tcPr>
            <w:tcW w:w="1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21,467</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12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44 %</w:t>
            </w:r>
          </w:p>
        </w:tc>
      </w:tr>
      <w:tr>
        <w:trPr>
          <w:trHeight w:val="250"/>
        </w:trPr>
        <w:tc>
          <w:tcPr>
            <w:tcW w:w="3040" w:type="dxa"/>
            <w:vAlign w:val="bottom"/>
            <w:gridSpan w:val="2"/>
          </w:tcPr>
          <w:p>
            <w:pPr>
              <w:ind w:left="520"/>
              <w:spacing w:after="0"/>
              <w:rPr>
                <w:sz w:val="20"/>
                <w:szCs w:val="20"/>
                <w:color w:val="auto"/>
              </w:rPr>
            </w:pPr>
            <w:r>
              <w:rPr>
                <w:rFonts w:ascii="Arial" w:cs="Arial" w:eastAsia="Arial" w:hAnsi="Arial"/>
                <w:sz w:val="18"/>
                <w:szCs w:val="18"/>
                <w:color w:val="auto"/>
              </w:rPr>
              <w:t>Total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310,788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203,608</w:t>
            </w:r>
          </w:p>
        </w:tc>
        <w:tc>
          <w:tcPr>
            <w:tcW w:w="4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107,180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53 %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592,153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402,575</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189,578</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47 %</w:t>
            </w:r>
          </w:p>
        </w:tc>
      </w:tr>
      <w:tr>
        <w:trPr>
          <w:trHeight w:val="20"/>
        </w:trPr>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-193675</wp:posOffset>
            </wp:positionV>
            <wp:extent cx="12001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-193675</wp:posOffset>
            </wp:positionV>
            <wp:extent cx="12001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-193675</wp:posOffset>
            </wp:positionV>
            <wp:extent cx="11112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-193675</wp:posOffset>
            </wp:positionV>
            <wp:extent cx="9398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-193675</wp:posOffset>
            </wp:positionV>
            <wp:extent cx="8572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-193675</wp:posOffset>
            </wp:positionV>
            <wp:extent cx="939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3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Subscription revenue increased during the three months ended June 30, 2021 compared to the same period in 2020 primarily due to the increase in Total Customers, which grew from 86,672 as of June 30, 2020 to 121,048 as of June 30, 2021. Total Average Subscription Revenue per Customer increased from $9,466 for the three months ended June 30, 2020 to $10,198 for the three months ended June 30, 2021. The growth in Total Customers was primarily driven 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25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8"/>
          <w:szCs w:val="18"/>
          <w:color w:val="auto"/>
        </w:rPr>
        <w:t>Professional services and other revenue increased during the three months ended June 30, 2021 compared to the same period in 2020 resulted primarily from the increase in Total Customers and from the delivery of on-boarding and training services for the additional subscriptions sold, as well as fees earned on revenue share arrangements with third parties.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93"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Subscription revenue increased during the six months ended June 30, 2021 compared to the same period in 2020 primarily due to the increase in Total Customers, which grew from 86,672 as of June 30, 2020 to 121,048 as of June 30, 2021. Total Average Subscription Revenue per Customer increased from $9,651 for the six months ended June 30, 2020 to $10,111 for the six months ended June 30, 2021.The growth in Total Customers was primarily driven by our increased sales representative capacity to meet market demand as well as an increase in demand primarily for our Professional and Enterprise products. The increase in average subscription revenue per customer was primarily driven by an increase in demand for our Professional and Enterprise products, product upgrades by existing customers and impact from customer mix.</w:t>
      </w:r>
    </w:p>
    <w:p>
      <w:pPr>
        <w:spacing w:after="0" w:line="257"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Professional services and other revenue increased during the six months ended June 30, 2021 compared to the same period in 2020 resulted primarily from the increase in Total Customers and from the delivery of on-boarding and training services for the additional subscriptions sold, as well as additional advertising revenue generated from our acquisition of the Hustle, which is not expected to recur, and fees earned on revenue share arrangements with third parties.</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2"/>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24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cost of revenue</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62,877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24,100</w:t>
            </w:r>
          </w:p>
        </w:tc>
        <w:tc>
          <w:tcPr>
            <w:tcW w:w="12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62 %</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77,061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40,550</w:t>
            </w: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53 %</w:t>
            </w:r>
          </w:p>
        </w:tc>
      </w:tr>
      <w:tr>
        <w:trPr>
          <w:trHeight w:val="220"/>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247,911</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164,831</w:t>
            </w:r>
          </w:p>
        </w:tc>
        <w:tc>
          <w:tcPr>
            <w:tcW w:w="28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83,080</w:t>
            </w:r>
          </w:p>
        </w:tc>
        <w:tc>
          <w:tcPr>
            <w:tcW w:w="1280" w:type="dxa"/>
            <w:vAlign w:val="bottom"/>
            <w:gridSpan w:val="3"/>
          </w:tcPr>
          <w:p>
            <w:pPr>
              <w:jc w:val="right"/>
              <w:ind w:right="120"/>
              <w:spacing w:after="0"/>
              <w:rPr>
                <w:sz w:val="20"/>
                <w:szCs w:val="20"/>
                <w:color w:val="auto"/>
              </w:rPr>
            </w:pPr>
            <w:r>
              <w:rPr>
                <w:rFonts w:ascii="Arial" w:cs="Arial" w:eastAsia="Arial" w:hAnsi="Arial"/>
                <w:sz w:val="16"/>
                <w:szCs w:val="16"/>
                <w:color w:val="auto"/>
              </w:rPr>
              <w:t>50 %</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474,542</w:t>
            </w:r>
          </w:p>
        </w:tc>
        <w:tc>
          <w:tcPr>
            <w:tcW w:w="26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325,514</w:t>
            </w:r>
          </w:p>
        </w:tc>
        <w:tc>
          <w:tcPr>
            <w:tcW w:w="2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149,028</w:t>
            </w:r>
          </w:p>
        </w:tc>
        <w:tc>
          <w:tcPr>
            <w:tcW w:w="1140" w:type="dxa"/>
            <w:vAlign w:val="bottom"/>
            <w:gridSpan w:val="3"/>
          </w:tcPr>
          <w:p>
            <w:pPr>
              <w:jc w:val="right"/>
              <w:ind w:right="60"/>
              <w:spacing w:after="0"/>
              <w:rPr>
                <w:sz w:val="20"/>
                <w:szCs w:val="20"/>
                <w:color w:val="auto"/>
              </w:rPr>
            </w:pPr>
            <w:r>
              <w:rPr>
                <w:rFonts w:ascii="Arial" w:cs="Arial" w:eastAsia="Arial" w:hAnsi="Arial"/>
                <w:sz w:val="16"/>
                <w:szCs w:val="16"/>
                <w:color w:val="auto"/>
              </w:rPr>
              <w:t>46 %</w:t>
            </w:r>
          </w:p>
        </w:tc>
      </w:tr>
      <w:tr>
        <w:trPr>
          <w:trHeight w:val="23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Gross margin percentage</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80 %</w:t>
            </w:r>
          </w:p>
        </w:tc>
        <w:tc>
          <w:tcPr>
            <w:tcW w:w="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81 %</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80 %</w:t>
            </w: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81 %</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bl>
    <w:p>
      <w:pPr>
        <w:spacing w:after="0" w:line="296" w:lineRule="exact"/>
        <w:rPr>
          <w:sz w:val="20"/>
          <w:szCs w:val="20"/>
          <w:color w:val="auto"/>
        </w:rPr>
      </w:pPr>
    </w:p>
    <w:p>
      <w:pPr>
        <w:jc w:val="both"/>
        <w:ind w:right="100" w:firstLine="509"/>
        <w:spacing w:after="0" w:line="275" w:lineRule="auto"/>
        <w:rPr>
          <w:sz w:val="20"/>
          <w:szCs w:val="20"/>
          <w:color w:val="auto"/>
        </w:rPr>
      </w:pPr>
      <w:r>
        <w:rPr>
          <w:rFonts w:ascii="Arial" w:cs="Arial" w:eastAsia="Arial" w:hAnsi="Arial"/>
          <w:sz w:val="18"/>
          <w:szCs w:val="18"/>
          <w:color w:val="auto"/>
        </w:rPr>
        <w:t>Total cost of revenue for the three and six months ended June 30, 2021 increased compared to the same period in 2020 primarily due to an increase in subscription and hosting costs, employee-related costs, amortization of capitalized software development costs, allocated overhead expenses, offset by a decrease in amortization of acquired technology due to certain acquired technology reaching the end of its useful life during the third quarter of 2020. Gross margins remained consistent year-over-year.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Ended June 30,</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30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8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Subscription cost of revenue</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51,134</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30,400</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20,734</w:t>
            </w:r>
          </w:p>
        </w:tc>
        <w:tc>
          <w:tcPr>
            <w:tcW w:w="150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68 %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94,986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60,135</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  34,851</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58 %</w:t>
            </w:r>
          </w:p>
        </w:tc>
      </w:tr>
      <w:tr>
        <w:trPr>
          <w:trHeight w:val="210"/>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Percentage of subscription revenue</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17 %</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15 %</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17 %</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16 %</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5" w:name="page26"/>
    <w:bookmarkEnd w:id="25"/>
    <w:p>
      <w:pPr>
        <w:ind w:right="220" w:firstLine="509"/>
        <w:spacing w:after="0" w:line="293" w:lineRule="auto"/>
        <w:rPr>
          <w:sz w:val="20"/>
          <w:szCs w:val="20"/>
          <w:color w:val="auto"/>
        </w:rPr>
      </w:pPr>
      <w:r>
        <w:rPr>
          <w:rFonts w:ascii="Arial" w:cs="Arial" w:eastAsia="Arial" w:hAnsi="Arial"/>
          <w:sz w:val="18"/>
          <w:szCs w:val="18"/>
          <w:color w:val="auto"/>
        </w:rPr>
        <w:t>The increase in subscription cost of revenue for the three and six months ended June 30, 2021 compared to the same period in 2020 was primarily due to the following:</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Three Months</w:t>
            </w:r>
          </w:p>
        </w:tc>
        <w:tc>
          <w:tcPr>
            <w:tcW w:w="20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8"/>
                <w:szCs w:val="18"/>
                <w:color w:val="auto"/>
              </w:rPr>
            </w:pPr>
          </w:p>
        </w:tc>
      </w:tr>
      <w:tr>
        <w:trPr>
          <w:trHeight w:val="196"/>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thousands)</w:t>
            </w:r>
          </w:p>
        </w:tc>
      </w:tr>
      <w:tr>
        <w:trPr>
          <w:trHeight w:val="28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hosting costs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15,015</w:t>
            </w:r>
          </w:p>
        </w:tc>
        <w:tc>
          <w:tcPr>
            <w:tcW w:w="1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24,918</w:t>
            </w:r>
          </w:p>
        </w:tc>
        <w:tc>
          <w:tcPr>
            <w:tcW w:w="100" w:type="dxa"/>
            <w:vAlign w:val="bottom"/>
            <w:shd w:val="clear" w:color="auto" w:fill="CFF0FC"/>
          </w:tcPr>
          <w:p>
            <w:pPr>
              <w:spacing w:after="0"/>
              <w:rPr>
                <w:sz w:val="24"/>
                <w:szCs w:val="24"/>
                <w:color w:val="auto"/>
              </w:rPr>
            </w:pP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4"/>
                <w:szCs w:val="24"/>
                <w:color w:val="auto"/>
              </w:rPr>
            </w:pPr>
          </w:p>
        </w:tc>
      </w:tr>
      <w:tr>
        <w:trPr>
          <w:trHeight w:val="29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80" w:type="dxa"/>
            <w:vAlign w:val="bottom"/>
            <w:shd w:val="clear" w:color="auto" w:fill="CFF0FC"/>
          </w:tcPr>
          <w:p>
            <w:pPr>
              <w:spacing w:after="0"/>
              <w:rPr>
                <w:sz w:val="24"/>
                <w:szCs w:val="2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FF0FC"/>
          </w:tcPr>
          <w:p>
            <w:pPr>
              <w:spacing w:after="0"/>
              <w:rPr>
                <w:sz w:val="24"/>
                <w:szCs w:val="24"/>
                <w:color w:val="auto"/>
              </w:rPr>
            </w:pPr>
          </w:p>
        </w:tc>
      </w:tr>
      <w:tr>
        <w:trPr>
          <w:trHeight w:val="277"/>
        </w:trPr>
        <w:tc>
          <w:tcPr>
            <w:tcW w:w="63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4"/>
                <w:szCs w:val="24"/>
                <w:color w:val="auto"/>
              </w:rPr>
            </w:pPr>
          </w:p>
        </w:tc>
      </w:tr>
      <w:tr>
        <w:trPr>
          <w:trHeight w:val="29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acquired technology</w:t>
            </w:r>
          </w:p>
        </w:tc>
        <w:tc>
          <w:tcPr>
            <w:tcW w:w="280" w:type="dxa"/>
            <w:vAlign w:val="bottom"/>
            <w:shd w:val="clear" w:color="auto" w:fill="CFF0FC"/>
          </w:tcPr>
          <w:p>
            <w:pPr>
              <w:spacing w:after="0"/>
              <w:rPr>
                <w:sz w:val="24"/>
                <w:szCs w:val="24"/>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(1,285 )</w:t>
            </w:r>
          </w:p>
        </w:tc>
      </w:tr>
      <w:tr>
        <w:trPr>
          <w:trHeight w:val="270"/>
        </w:trPr>
        <w:tc>
          <w:tcPr>
            <w:tcW w:w="6320" w:type="dxa"/>
            <w:vAlign w:val="bottom"/>
            <w:tcBorders>
              <w:top w:val="single" w:sz="8" w:color="CFF0FC"/>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tcBorders>
              <w:top w:val="single" w:sz="8" w:color="CFF0FC"/>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34,851</w:t>
            </w:r>
          </w:p>
        </w:tc>
        <w:tc>
          <w:tcPr>
            <w:tcW w:w="100" w:type="dxa"/>
            <w:vAlign w:val="bottom"/>
            <w:tcBorders>
              <w:top w:val="single" w:sz="8" w:color="CFF0FC"/>
            </w:tcBorders>
          </w:tcPr>
          <w:p>
            <w:pPr>
              <w:spacing w:after="0"/>
              <w:rPr>
                <w:sz w:val="23"/>
                <w:szCs w:val="23"/>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-210820</wp:posOffset>
            </wp:positionV>
            <wp:extent cx="12001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wp:posOffset>
            </wp:positionV>
            <wp:extent cx="6032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Subscription and hosting costs increased primarily due to growth in our Total Customer base from 86,672 as of June 30, 2020 to 121,048 as</w:t>
      </w:r>
    </w:p>
    <w:p>
      <w:pPr>
        <w:spacing w:after="0" w:line="2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of June 30, 2021. Additionally, we saw higher subscription and hosting costs as we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third quarter of 2020.</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Subscription and hosting costs increased primarily due to growth in our Total Customer base from 86,672 as of June 30, 2020 to 121,048 as</w:t>
      </w:r>
    </w:p>
    <w:p>
      <w:pPr>
        <w:spacing w:after="0" w:line="2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of June 30, 2021. Additionally, we saw higher subscription and hosting costs as we focus on the security, reliability and performance of our CRM Platform. Employee-related costs increased as a result of increased headcount as we continue to grow our customer support organization to support our customer growth and improve service levels and offerings. Amortization of capitalized software development costs increased due to the increased number of developers working on our software platform as we continue to develop new products and increased functionality. Allocated overhead expenses increased due to the expansion of our leased space and infrastructure as we continued to grow our business and expand headcount. Amortization of acquired technology decreased due to certain acquired technology reaching the end of its useful life during the third quarter of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left="284"/>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93"/>
              </w:rPr>
              <w:t>Ended June 30,</w:t>
            </w: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06"/>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Professional services and other cost of</w:t>
            </w: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6"/>
        </w:trPr>
        <w:tc>
          <w:tcPr>
            <w:tcW w:w="31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11,743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6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8,377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3,366</w:t>
            </w:r>
          </w:p>
        </w:tc>
        <w:tc>
          <w:tcPr>
            <w:tcW w:w="150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40 %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16,926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5,699</w:t>
            </w:r>
          </w:p>
        </w:tc>
        <w:tc>
          <w:tcPr>
            <w:tcW w:w="130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34 %</w:t>
            </w:r>
          </w:p>
        </w:tc>
      </w:tr>
      <w:tr>
        <w:trPr>
          <w:trHeight w:val="206"/>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Percentage of professional services and</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3120" w:type="dxa"/>
            <w:vAlign w:val="bottom"/>
            <w:gridSpan w:val="2"/>
          </w:tcPr>
          <w:p>
            <w:pPr>
              <w:ind w:left="100"/>
              <w:spacing w:after="0"/>
              <w:rPr>
                <w:sz w:val="20"/>
                <w:szCs w:val="20"/>
                <w:color w:val="auto"/>
              </w:rPr>
            </w:pPr>
            <w:r>
              <w:rPr>
                <w:rFonts w:ascii="Arial" w:cs="Arial" w:eastAsia="Arial" w:hAnsi="Arial"/>
                <w:sz w:val="16"/>
                <w:szCs w:val="16"/>
                <w:color w:val="auto"/>
              </w:rPr>
              <w:t>other revenue</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113 %</w:t>
            </w:r>
          </w:p>
        </w:tc>
        <w:tc>
          <w:tcPr>
            <w:tcW w:w="3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116 %</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105 %</w:t>
            </w:r>
          </w:p>
        </w:tc>
        <w:tc>
          <w:tcPr>
            <w:tcW w:w="16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113 %</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248" w:lineRule="exact"/>
        <w:rPr>
          <w:sz w:val="20"/>
          <w:szCs w:val="20"/>
          <w:color w:val="auto"/>
        </w:rPr>
      </w:pPr>
    </w:p>
    <w:p>
      <w:pPr>
        <w:ind w:right="340" w:firstLine="749"/>
        <w:spacing w:after="0" w:line="293" w:lineRule="auto"/>
        <w:rPr>
          <w:sz w:val="20"/>
          <w:szCs w:val="20"/>
          <w:color w:val="auto"/>
        </w:rPr>
      </w:pPr>
      <w:r>
        <w:rPr>
          <w:rFonts w:ascii="Arial" w:cs="Arial" w:eastAsia="Arial" w:hAnsi="Arial"/>
          <w:sz w:val="18"/>
          <w:szCs w:val="18"/>
          <w:color w:val="auto"/>
        </w:rPr>
        <w:t>The increase in professional services and other cost of revenue for three and six months ended June 30, 2021 compared to the same period in 2020 was primarily due to the following:</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632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21"/>
                <w:szCs w:val="21"/>
                <w:color w:val="auto"/>
              </w:rPr>
            </w:pPr>
          </w:p>
        </w:tc>
      </w:tr>
      <w:tr>
        <w:trPr>
          <w:trHeight w:val="250"/>
        </w:trPr>
        <w:tc>
          <w:tcPr>
            <w:tcW w:w="6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37"/>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r>
      <w:tr>
        <w:trPr>
          <w:trHeight w:val="26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340" w:type="dxa"/>
            <w:vAlign w:val="bottom"/>
            <w:shd w:val="clear" w:color="auto" w:fill="CFF0FC"/>
          </w:tcPr>
          <w:p>
            <w:pPr>
              <w:jc w:val="right"/>
              <w:ind w:right="11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2,464</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FF0FC"/>
          </w:tcPr>
          <w:p>
            <w:pPr>
              <w:spacing w:after="0"/>
              <w:rPr>
                <w:sz w:val="22"/>
                <w:szCs w:val="22"/>
                <w:color w:val="auto"/>
              </w:rPr>
            </w:pPr>
          </w:p>
        </w:tc>
      </w:tr>
      <w:tr>
        <w:trPr>
          <w:trHeight w:val="256"/>
        </w:trPr>
        <w:tc>
          <w:tcPr>
            <w:tcW w:w="63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r>
      <w:tr>
        <w:trPr>
          <w:trHeight w:val="310"/>
        </w:trPr>
        <w:tc>
          <w:tcPr>
            <w:tcW w:w="63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3,366</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-25400</wp:posOffset>
            </wp:positionV>
            <wp:extent cx="12001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1200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the expansion of our leased space and infrastructure as we continued to grow our business and expand headcount.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320"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Employee-related costs increased as a result of increased headcount as we continue to grow our professional services organization to support our customer growth. Allocated overhead expenses increased due to the expansion of our leased space and infrastructure as we continued to grow our business and expand headcount.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7"/>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7"/>
                <w:szCs w:val="17"/>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 Change</w:t>
            </w:r>
          </w:p>
        </w:tc>
        <w:tc>
          <w:tcPr>
            <w:tcW w:w="160" w:type="dxa"/>
            <w:vAlign w:val="bottom"/>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83"/>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72,104</w:t>
            </w:r>
          </w:p>
        </w:tc>
        <w:tc>
          <w:tcPr>
            <w:tcW w:w="2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49,372</w:t>
            </w:r>
          </w:p>
        </w:tc>
        <w:tc>
          <w:tcPr>
            <w:tcW w:w="28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22,732</w:t>
            </w:r>
          </w:p>
        </w:tc>
        <w:tc>
          <w:tcPr>
            <w:tcW w:w="15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46 %  $</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95,573</w:t>
            </w:r>
          </w:p>
        </w:tc>
        <w:tc>
          <w:tcPr>
            <w:tcW w:w="24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44,927</w:t>
            </w:r>
          </w:p>
        </w:tc>
        <w:tc>
          <w:tcPr>
            <w:tcW w:w="12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47 %</w:t>
            </w:r>
          </w:p>
        </w:tc>
      </w:tr>
      <w:tr>
        <w:trPr>
          <w:trHeight w:val="270"/>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Percentage of total revenue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23 %</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180" w:type="dxa"/>
            <w:vAlign w:val="bottom"/>
          </w:tcPr>
          <w:p>
            <w:pPr>
              <w:spacing w:after="0"/>
              <w:rPr>
                <w:sz w:val="23"/>
                <w:szCs w:val="2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310" w:lineRule="exact"/>
        <w:rPr>
          <w:sz w:val="20"/>
          <w:szCs w:val="20"/>
          <w:color w:val="auto"/>
        </w:rPr>
      </w:pPr>
    </w:p>
    <w:p>
      <w:pPr>
        <w:ind w:right="460" w:firstLine="509"/>
        <w:spacing w:after="0" w:line="293" w:lineRule="auto"/>
        <w:rPr>
          <w:sz w:val="20"/>
          <w:szCs w:val="20"/>
          <w:color w:val="auto"/>
        </w:rPr>
      </w:pPr>
      <w:r>
        <w:rPr>
          <w:rFonts w:ascii="Arial" w:cs="Arial" w:eastAsia="Arial" w:hAnsi="Arial"/>
          <w:sz w:val="18"/>
          <w:szCs w:val="18"/>
          <w:color w:val="auto"/>
        </w:rPr>
        <w:t>The increase in research and development expense for the three and six months ended June 30, 2021 compared to the same period in 2020 was primarily due to the following:</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7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jc w:val="right"/>
              <w:ind w:right="4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6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50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18,290</w:t>
            </w:r>
          </w:p>
        </w:tc>
        <w:tc>
          <w:tcPr>
            <w:tcW w:w="100" w:type="dxa"/>
            <w:vAlign w:val="bottom"/>
            <w:shd w:val="clear" w:color="auto" w:fill="CFF0FC"/>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35,728</w:t>
            </w:r>
          </w:p>
        </w:tc>
        <w:tc>
          <w:tcPr>
            <w:tcW w:w="100" w:type="dxa"/>
            <w:vAlign w:val="bottom"/>
            <w:shd w:val="clear" w:color="auto" w:fill="CFF0FC"/>
          </w:tcPr>
          <w:p>
            <w:pPr>
              <w:spacing w:after="0"/>
              <w:rPr>
                <w:sz w:val="22"/>
                <w:szCs w:val="22"/>
                <w:color w:val="auto"/>
              </w:rPr>
            </w:pPr>
          </w:p>
        </w:tc>
      </w:tr>
      <w:tr>
        <w:trPr>
          <w:trHeight w:val="277"/>
        </w:trPr>
        <w:tc>
          <w:tcPr>
            <w:tcW w:w="57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5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4"/>
                <w:szCs w:val="24"/>
                <w:color w:val="auto"/>
              </w:rPr>
            </w:pPr>
          </w:p>
        </w:tc>
      </w:tr>
      <w:tr>
        <w:trPr>
          <w:trHeight w:val="29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Hosting expenses</w:t>
            </w:r>
          </w:p>
        </w:tc>
        <w:tc>
          <w:tcPr>
            <w:tcW w:w="150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71"/>
        </w:trPr>
        <w:tc>
          <w:tcPr>
            <w:tcW w:w="5720" w:type="dxa"/>
            <w:vAlign w:val="bottom"/>
          </w:tcPr>
          <w:p>
            <w:pPr>
              <w:spacing w:after="0"/>
              <w:rPr>
                <w:sz w:val="23"/>
                <w:szCs w:val="23"/>
                <w:color w:val="auto"/>
              </w:rPr>
            </w:pPr>
          </w:p>
        </w:tc>
        <w:tc>
          <w:tcPr>
            <w:tcW w:w="1500" w:type="dxa"/>
            <w:vAlign w:val="bottom"/>
          </w:tcPr>
          <w:p>
            <w:pPr>
              <w:jc w:val="right"/>
              <w:ind w:right="13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22,732</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44,927</w:t>
            </w:r>
          </w:p>
        </w:tc>
        <w:tc>
          <w:tcPr>
            <w:tcW w:w="100" w:type="dxa"/>
            <w:vAlign w:val="bottom"/>
          </w:tcPr>
          <w:p>
            <w:pPr>
              <w:spacing w:after="0"/>
              <w:rPr>
                <w:sz w:val="23"/>
                <w:szCs w:val="23"/>
                <w:color w:val="auto"/>
              </w:rPr>
            </w:pPr>
          </w:p>
        </w:tc>
      </w:tr>
      <w:tr>
        <w:trPr>
          <w:trHeight w:val="20"/>
        </w:trPr>
        <w:tc>
          <w:tcPr>
            <w:tcW w:w="57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-210820</wp:posOffset>
            </wp:positionV>
            <wp:extent cx="12001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wp:posOffset>
            </wp:positionV>
            <wp:extent cx="6032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Employee-related costs increased as a result of increased headcount as we continue to grow our engineering organization to develop new products, increase functionality and to maintain our existing CRM Platform. Hosting expense increased due to incremental spend associated with product development infrastructure that is unrelated to the hosting of our CRM Platform for paying customers. Allocated overhead expense increased due to expanding our leased space and infrastructure as we continue to grow our business and expand headcount.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320" w:lineRule="exact"/>
        <w:rPr>
          <w:sz w:val="20"/>
          <w:szCs w:val="20"/>
          <w:color w:val="auto"/>
        </w:rPr>
      </w:pPr>
    </w:p>
    <w:p>
      <w:pPr>
        <w:ind w:right="160" w:firstLine="509"/>
        <w:spacing w:after="0" w:line="296" w:lineRule="auto"/>
        <w:rPr>
          <w:sz w:val="20"/>
          <w:szCs w:val="20"/>
          <w:color w:val="auto"/>
        </w:rPr>
      </w:pPr>
      <w:r>
        <w:rPr>
          <w:rFonts w:ascii="Arial" w:cs="Arial" w:eastAsia="Arial" w:hAnsi="Arial"/>
          <w:sz w:val="17"/>
          <w:szCs w:val="17"/>
          <w:color w:val="auto"/>
        </w:rPr>
        <w:t>Employee-related costs increased as a result of increased headcount as we continue to grow our engineering organization to develop new products, increase functionality and to maintain our existing CRM Platform. Hosting expense increased due to incremental spend associated with product development infrastructure that is unrelated to the hosting of our CRM Platform for paying customers. Allocated overhead expense increased due to expanding our leased space and infrastructure as we continue to grow our business and expand headcount.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Ended June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Ended June 30,</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56"/>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157,799</w:t>
            </w:r>
          </w:p>
        </w:tc>
        <w:tc>
          <w:tcPr>
            <w:tcW w:w="3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  102,600</w:t>
            </w:r>
          </w:p>
        </w:tc>
        <w:tc>
          <w:tcPr>
            <w:tcW w:w="28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55,199</w:t>
            </w:r>
          </w:p>
        </w:tc>
        <w:tc>
          <w:tcPr>
            <w:tcW w:w="16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54 % $</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298,817</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204,928</w:t>
            </w:r>
          </w:p>
        </w:tc>
        <w:tc>
          <w:tcPr>
            <w:tcW w:w="2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93,889</w:t>
            </w: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46 %</w:t>
            </w: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Percentage of total revenue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51 %</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50 %</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50 %</w:t>
            </w: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51 %</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688"/>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7" w:name="page28"/>
    <w:bookmarkEnd w:id="27"/>
    <w:p>
      <w:pPr>
        <w:ind w:right="200" w:firstLine="509"/>
        <w:spacing w:after="0" w:line="293" w:lineRule="auto"/>
        <w:rPr>
          <w:sz w:val="20"/>
          <w:szCs w:val="20"/>
          <w:color w:val="auto"/>
        </w:rPr>
      </w:pPr>
      <w:r>
        <w:rPr>
          <w:rFonts w:ascii="Arial" w:cs="Arial" w:eastAsia="Arial" w:hAnsi="Arial"/>
          <w:sz w:val="18"/>
          <w:szCs w:val="18"/>
          <w:color w:val="auto"/>
        </w:rPr>
        <w:t>The increase in sales and marketing expense for the three and six months ended June 30, 2021 compared to the same period in 2020 was primarily due to the following:</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Change</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53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Three Months</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8"/>
                <w:szCs w:val="18"/>
                <w:color w:val="auto"/>
              </w:rPr>
            </w:pPr>
          </w:p>
        </w:tc>
      </w:tr>
      <w:tr>
        <w:trPr>
          <w:trHeight w:val="196"/>
        </w:trPr>
        <w:tc>
          <w:tcPr>
            <w:tcW w:w="53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jc w:val="right"/>
              <w:ind w:right="59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62"/>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640" w:type="dxa"/>
            <w:vAlign w:val="bottom"/>
            <w:shd w:val="clear" w:color="auto" w:fill="CFF0FC"/>
          </w:tcPr>
          <w:p>
            <w:pPr>
              <w:jc w:val="right"/>
              <w:ind w:right="145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33,715</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55,431</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Marketing programs</w:t>
            </w:r>
          </w:p>
        </w:tc>
        <w:tc>
          <w:tcPr>
            <w:tcW w:w="16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18,650</w:t>
            </w:r>
          </w:p>
        </w:tc>
        <w:tc>
          <w:tcPr>
            <w:tcW w:w="100" w:type="dxa"/>
            <w:vAlign w:val="bottom"/>
          </w:tcPr>
          <w:p>
            <w:pPr>
              <w:spacing w:after="0"/>
              <w:rPr>
                <w:sz w:val="21"/>
                <w:szCs w:val="21"/>
                <w:color w:val="auto"/>
              </w:rPr>
            </w:pPr>
          </w:p>
        </w:tc>
      </w:tr>
      <w:tr>
        <w:trPr>
          <w:trHeight w:val="26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Solutions Partner commissions</w:t>
            </w:r>
          </w:p>
        </w:tc>
        <w:tc>
          <w:tcPr>
            <w:tcW w:w="16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11,371</w:t>
            </w:r>
          </w:p>
        </w:tc>
        <w:tc>
          <w:tcPr>
            <w:tcW w:w="100" w:type="dxa"/>
            <w:vAlign w:val="bottom"/>
            <w:shd w:val="clear" w:color="auto" w:fill="CFF0FC"/>
          </w:tcPr>
          <w:p>
            <w:pPr>
              <w:spacing w:after="0"/>
              <w:rPr>
                <w:sz w:val="22"/>
                <w:szCs w:val="22"/>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6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Pr>
          <w:p>
            <w:pPr>
              <w:spacing w:after="0"/>
              <w:rPr>
                <w:sz w:val="21"/>
                <w:szCs w:val="21"/>
                <w:color w:val="auto"/>
              </w:rPr>
            </w:pPr>
          </w:p>
        </w:tc>
      </w:tr>
      <w:tr>
        <w:trPr>
          <w:trHeight w:val="26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 of acquired intangible asset</w:t>
            </w:r>
          </w:p>
        </w:tc>
        <w:tc>
          <w:tcPr>
            <w:tcW w:w="16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5340" w:type="dxa"/>
            <w:vAlign w:val="bottom"/>
          </w:tcPr>
          <w:p>
            <w:pPr>
              <w:spacing w:after="0"/>
              <w:rPr>
                <w:sz w:val="21"/>
                <w:szCs w:val="21"/>
                <w:color w:val="auto"/>
              </w:rPr>
            </w:pPr>
          </w:p>
        </w:tc>
        <w:tc>
          <w:tcPr>
            <w:tcW w:w="1640" w:type="dxa"/>
            <w:vAlign w:val="bottom"/>
          </w:tcPr>
          <w:p>
            <w:pPr>
              <w:jc w:val="right"/>
              <w:ind w:right="145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55,199</w:t>
            </w:r>
          </w:p>
        </w:tc>
        <w:tc>
          <w:tcPr>
            <w:tcW w:w="6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93,889</w:t>
            </w:r>
          </w:p>
        </w:tc>
        <w:tc>
          <w:tcPr>
            <w:tcW w:w="100" w:type="dxa"/>
            <w:vAlign w:val="bottom"/>
          </w:tcPr>
          <w:p>
            <w:pPr>
              <w:spacing w:after="0"/>
              <w:rPr>
                <w:sz w:val="21"/>
                <w:szCs w:val="21"/>
                <w:color w:val="auto"/>
              </w:rPr>
            </w:pPr>
          </w:p>
        </w:tc>
      </w:tr>
      <w:tr>
        <w:trPr>
          <w:trHeight w:val="20"/>
        </w:trPr>
        <w:tc>
          <w:tcPr>
            <w:tcW w:w="53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-193675</wp:posOffset>
            </wp:positionV>
            <wp:extent cx="12890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-193675</wp:posOffset>
            </wp:positionV>
            <wp:extent cx="6032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20"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 Amortization of acquired intangible assets increased due to the amortization of customer relationships associated with our acquisition of the Hustle in the first quarter of 2021.</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333" w:lineRule="exact"/>
        <w:rPr>
          <w:sz w:val="20"/>
          <w:szCs w:val="20"/>
          <w:color w:val="auto"/>
        </w:rPr>
      </w:pPr>
    </w:p>
    <w:p>
      <w:pPr>
        <w:ind w:firstLine="509"/>
        <w:spacing w:after="0" w:line="314" w:lineRule="auto"/>
        <w:rPr>
          <w:sz w:val="20"/>
          <w:szCs w:val="20"/>
          <w:color w:val="auto"/>
        </w:rPr>
      </w:pPr>
      <w:r>
        <w:rPr>
          <w:rFonts w:ascii="Arial" w:cs="Arial" w:eastAsia="Arial" w:hAnsi="Arial"/>
          <w:sz w:val="16"/>
          <w:szCs w:val="16"/>
          <w:color w:val="auto"/>
        </w:rPr>
        <w:t>Employee-related costs increased as a result of increased headcount as we continue to expand our selling and marketing organizations to grow our customer base. Marketing programs increased due to the timing and size of certain marketing efforts as we continue to make investments in attracting new customers. Solutions Partner commissions increased as a result of increased revenue generated through our partners. Allocated overhead expenses increased due to expanding our leased space and infrastructure as we continue to grow our business and expand headcount. Amortization of acquired intangible assets increased due to the amortization of customer relationships associated with our acquisition of the Hustle in the first quarter of 2021.</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Ended June 30,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Ended 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6"/>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7"/>
                <w:szCs w:val="17"/>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7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 Change</w:t>
            </w:r>
          </w:p>
        </w:tc>
        <w:tc>
          <w:tcPr>
            <w:tcW w:w="180" w:type="dxa"/>
            <w:vAlign w:val="bottom"/>
          </w:tcPr>
          <w:p>
            <w:pPr>
              <w:spacing w:after="0"/>
              <w:rPr>
                <w:sz w:val="17"/>
                <w:szCs w:val="17"/>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7"/>
                <w:szCs w:val="17"/>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83"/>
        </w:trPr>
        <w:tc>
          <w:tcPr>
            <w:tcW w:w="2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34,610</w:t>
            </w:r>
          </w:p>
        </w:tc>
        <w:tc>
          <w:tcPr>
            <w:tcW w:w="3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26,484</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14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31 % $</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66,860</w:t>
            </w: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52,741</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1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27 %</w:t>
            </w:r>
          </w:p>
        </w:tc>
      </w:tr>
      <w:tr>
        <w:trPr>
          <w:trHeight w:val="27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Percentage of total revenue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11 %</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83"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The increase in general and administrative expense for the three and six months ended June 30, 2021 compared to the same period in 2020 was primarily due to the following:</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8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Change</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5620" w:type="dxa"/>
            <w:vAlign w:val="bottom"/>
          </w:tcPr>
          <w:p>
            <w:pPr>
              <w:spacing w:after="0"/>
              <w:rPr>
                <w:sz w:val="18"/>
                <w:szCs w:val="18"/>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8"/>
                <w:szCs w:val="18"/>
                <w:color w:val="auto"/>
              </w:rPr>
            </w:pPr>
          </w:p>
        </w:tc>
      </w:tr>
      <w:tr>
        <w:trPr>
          <w:trHeight w:val="196"/>
        </w:trPr>
        <w:tc>
          <w:tcPr>
            <w:tcW w:w="562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6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Employee-related costs</w:t>
            </w:r>
          </w:p>
        </w:tc>
        <w:tc>
          <w:tcPr>
            <w:tcW w:w="1580" w:type="dxa"/>
            <w:vAlign w:val="bottom"/>
            <w:shd w:val="clear" w:color="auto" w:fill="CFF0FC"/>
          </w:tcPr>
          <w:p>
            <w:pPr>
              <w:jc w:val="right"/>
              <w:ind w:right="13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100" w:type="dxa"/>
            <w:vAlign w:val="bottom"/>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100" w:type="dxa"/>
            <w:vAlign w:val="bottom"/>
            <w:shd w:val="clear" w:color="auto" w:fill="CFF0FC"/>
          </w:tcPr>
          <w:p>
            <w:pPr>
              <w:spacing w:after="0"/>
              <w:rPr>
                <w:sz w:val="22"/>
                <w:szCs w:val="22"/>
                <w:color w:val="auto"/>
              </w:rPr>
            </w:pPr>
          </w:p>
        </w:tc>
      </w:tr>
      <w:tr>
        <w:trPr>
          <w:trHeight w:val="250"/>
        </w:trPr>
        <w:tc>
          <w:tcPr>
            <w:tcW w:w="5620" w:type="dxa"/>
            <w:vAlign w:val="bottom"/>
          </w:tcPr>
          <w:p>
            <w:pPr>
              <w:spacing w:after="0"/>
              <w:rPr>
                <w:sz w:val="20"/>
                <w:szCs w:val="20"/>
                <w:color w:val="auto"/>
              </w:rPr>
            </w:pPr>
            <w:r>
              <w:rPr>
                <w:rFonts w:ascii="Arial" w:cs="Arial" w:eastAsia="Arial" w:hAnsi="Arial"/>
                <w:sz w:val="18"/>
                <w:szCs w:val="18"/>
                <w:color w:val="auto"/>
              </w:rPr>
              <w:t>Allocated overhead expenses</w:t>
            </w:r>
          </w:p>
        </w:tc>
        <w:tc>
          <w:tcPr>
            <w:tcW w:w="15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1"/>
                <w:szCs w:val="21"/>
                <w:color w:val="auto"/>
              </w:rPr>
            </w:pPr>
          </w:p>
        </w:tc>
      </w:tr>
      <w:tr>
        <w:trPr>
          <w:trHeight w:val="26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credit card fees</w:t>
            </w:r>
          </w:p>
        </w:tc>
        <w:tc>
          <w:tcPr>
            <w:tcW w:w="158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70"/>
        </w:trPr>
        <w:tc>
          <w:tcPr>
            <w:tcW w:w="5620" w:type="dxa"/>
            <w:vAlign w:val="bottom"/>
          </w:tcPr>
          <w:p>
            <w:pPr>
              <w:spacing w:after="0"/>
              <w:rPr>
                <w:sz w:val="23"/>
                <w:szCs w:val="23"/>
                <w:color w:val="auto"/>
              </w:rPr>
            </w:pPr>
          </w:p>
        </w:tc>
        <w:tc>
          <w:tcPr>
            <w:tcW w:w="1580" w:type="dxa"/>
            <w:vAlign w:val="bottom"/>
          </w:tcPr>
          <w:p>
            <w:pPr>
              <w:jc w:val="right"/>
              <w:ind w:right="139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8,126</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14,119</w:t>
            </w:r>
          </w:p>
        </w:tc>
        <w:tc>
          <w:tcPr>
            <w:tcW w:w="100" w:type="dxa"/>
            <w:vAlign w:val="bottom"/>
          </w:tcPr>
          <w:p>
            <w:pPr>
              <w:spacing w:after="0"/>
              <w:rPr>
                <w:sz w:val="23"/>
                <w:szCs w:val="23"/>
                <w:color w:val="auto"/>
              </w:rPr>
            </w:pPr>
          </w:p>
        </w:tc>
      </w:tr>
      <w:tr>
        <w:trPr>
          <w:trHeight w:val="20"/>
        </w:trPr>
        <w:tc>
          <w:tcPr>
            <w:tcW w:w="56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-210820</wp:posOffset>
            </wp:positionV>
            <wp:extent cx="12890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-210820</wp:posOffset>
            </wp:positionV>
            <wp:extent cx="6032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Three month change</w:t>
      </w:r>
    </w:p>
    <w:p>
      <w:pPr>
        <w:spacing w:after="0" w:line="333" w:lineRule="exact"/>
        <w:rPr>
          <w:sz w:val="20"/>
          <w:szCs w:val="20"/>
          <w:color w:val="auto"/>
        </w:rPr>
      </w:pPr>
    </w:p>
    <w:p>
      <w:pPr>
        <w:jc w:val="both"/>
        <w:ind w:right="60" w:firstLine="509"/>
        <w:spacing w:after="0" w:line="329"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Six month change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right="60" w:firstLine="509"/>
        <w:spacing w:after="0" w:line="329" w:lineRule="auto"/>
        <w:rPr>
          <w:sz w:val="20"/>
          <w:szCs w:val="20"/>
          <w:color w:val="auto"/>
        </w:rPr>
      </w:pPr>
      <w:r>
        <w:rPr>
          <w:rFonts w:ascii="Arial" w:cs="Arial" w:eastAsia="Arial" w:hAnsi="Arial"/>
          <w:sz w:val="16"/>
          <w:szCs w:val="16"/>
          <w:color w:val="auto"/>
        </w:rPr>
        <w:t>Employee-related costs increased as a result of increased headcount as we continue to grow our business and require additional personnel to support our expanded operations. Allocated overhead expenses increased due to expanding our leased space and infrastructure as we continue to grow our business and expand headcount. Customer credit card fees increased due to increased customer transactions as we continue to grow our business.</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2"/>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6"/>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 Change</w:t>
            </w:r>
          </w:p>
        </w:tc>
        <w:tc>
          <w:tcPr>
            <w:tcW w:w="140" w:type="dxa"/>
            <w:vAlign w:val="bottom"/>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r>
      <w:tr>
        <w:trPr>
          <w:trHeight w:val="229"/>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(1,794 )</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(84 )%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(5,376 )</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(87 )%</w:t>
            </w:r>
          </w:p>
        </w:tc>
      </w:tr>
      <w:tr>
        <w:trPr>
          <w:trHeight w:val="220"/>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0 %</w:t>
            </w: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2 %</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(7,179 )</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(16,809 )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9,630</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(57 )%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9"/>
              </w:rPr>
              <w:t>(16,578 )</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w w:val="90"/>
              </w:rPr>
              <w:t>(22,761 )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6,183</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(27 )%</w:t>
            </w:r>
          </w:p>
        </w:tc>
      </w:tr>
      <w:tr>
        <w:trPr>
          <w:trHeight w:val="220"/>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(2 )%</w:t>
            </w: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(3 )%</w:t>
            </w: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(91 )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680 %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(1,143 )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204 %</w:t>
            </w:r>
          </w:p>
        </w:tc>
      </w:tr>
      <w:tr>
        <w:trPr>
          <w:trHeight w:val="210"/>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39" w:lineRule="exact"/>
        <w:rPr>
          <w:sz w:val="20"/>
          <w:szCs w:val="20"/>
          <w:color w:val="auto"/>
        </w:rPr>
      </w:pPr>
    </w:p>
    <w:p>
      <w:pPr>
        <w:jc w:val="both"/>
        <w:ind w:right="100" w:firstLine="544"/>
        <w:spacing w:after="0" w:line="293" w:lineRule="auto"/>
        <w:rPr>
          <w:sz w:val="20"/>
          <w:szCs w:val="20"/>
          <w:color w:val="auto"/>
        </w:rPr>
      </w:pPr>
      <w:r>
        <w:rPr>
          <w:rFonts w:ascii="Arial" w:cs="Arial" w:eastAsia="Arial" w:hAnsi="Arial"/>
          <w:sz w:val="18"/>
          <w:szCs w:val="18"/>
          <w:color w:val="auto"/>
        </w:rPr>
        <w:t>Interest income primarily consists of interest earned on invested cash and cash equivalents balances and investments. The decrease during the three and six months ended June 30, 2021 is due to a decrease in yields on our investment balances.</w:t>
      </w:r>
    </w:p>
    <w:p>
      <w:pPr>
        <w:spacing w:after="0" w:line="170" w:lineRule="exact"/>
        <w:rPr>
          <w:sz w:val="20"/>
          <w:szCs w:val="20"/>
          <w:color w:val="auto"/>
        </w:rPr>
      </w:pPr>
    </w:p>
    <w:p>
      <w:pPr>
        <w:ind w:right="40" w:firstLine="544"/>
        <w:spacing w:after="0" w:line="275" w:lineRule="auto"/>
        <w:rPr>
          <w:sz w:val="20"/>
          <w:szCs w:val="20"/>
          <w:color w:val="auto"/>
        </w:rPr>
      </w:pPr>
      <w:r>
        <w:rPr>
          <w:rFonts w:ascii="Arial" w:cs="Arial" w:eastAsia="Arial" w:hAnsi="Arial"/>
          <w:sz w:val="18"/>
          <w:szCs w:val="18"/>
          <w:color w:val="auto"/>
        </w:rPr>
        <w:t>Interest expense primarily consists of amortization of the debt discount and issuance costs and contractual interest expense related to our Notes, and the loss on early extinguishment of our 2022 Notes. The decrease during the three and six months ended June 30, 2021 is primarily due to the loss on the early extinguishment of our 2022 Notes of $10.5 million recorded in the three and six months ended June 30, 2020, offset by the amortization of the debt discount and issuance costs related to the 2025 Notes.</w:t>
      </w:r>
    </w:p>
    <w:p>
      <w:pPr>
        <w:spacing w:after="0" w:line="185" w:lineRule="exact"/>
        <w:rPr>
          <w:sz w:val="20"/>
          <w:szCs w:val="20"/>
          <w:color w:val="auto"/>
        </w:rPr>
      </w:pPr>
    </w:p>
    <w:p>
      <w:pPr>
        <w:ind w:right="320" w:firstLine="544"/>
        <w:spacing w:after="0" w:line="303" w:lineRule="auto"/>
        <w:rPr>
          <w:sz w:val="20"/>
          <w:szCs w:val="20"/>
          <w:color w:val="auto"/>
        </w:rPr>
      </w:pPr>
      <w:r>
        <w:rPr>
          <w:rFonts w:ascii="Arial" w:cs="Arial" w:eastAsia="Arial" w:hAnsi="Arial"/>
          <w:sz w:val="17"/>
          <w:szCs w:val="17"/>
          <w:color w:val="auto"/>
        </w:rPr>
        <w:t>Other income (expense) primarily consists of the impact of foreign currency transaction gains and losses associated with monetary assets and liabilities, and any gains or losses on our strategic investments. The increase in other income during the three and six months ended June 30, 2021 were primarily due to exchange rate fluctuations and a gain recorded on our strategic investments (Note 4).</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2"/>
        </w:trPr>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4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96"/>
              <w:spacing w:after="0"/>
              <w:rPr>
                <w:sz w:val="20"/>
                <w:szCs w:val="20"/>
                <w:color w:val="auto"/>
              </w:rPr>
            </w:pPr>
            <w:r>
              <w:rPr>
                <w:rFonts w:ascii="Arial" w:cs="Arial" w:eastAsia="Arial" w:hAnsi="Arial"/>
                <w:sz w:val="14"/>
                <w:szCs w:val="14"/>
                <w:b w:val="1"/>
                <w:bCs w:val="1"/>
                <w:color w:val="auto"/>
                <w:w w:val="91"/>
              </w:rPr>
              <w:t>Ended June 30,</w:t>
            </w:r>
          </w:p>
        </w:tc>
        <w:tc>
          <w:tcPr>
            <w:tcW w:w="3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77"/>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4"/>
                <w:szCs w:val="24"/>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24"/>
                <w:szCs w:val="24"/>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4"/>
                <w:szCs w:val="24"/>
                <w:color w:val="auto"/>
              </w:rPr>
            </w:pPr>
          </w:p>
        </w:tc>
      </w:tr>
      <w:tr>
        <w:trPr>
          <w:trHeight w:val="242"/>
        </w:trPr>
        <w:tc>
          <w:tcPr>
            <w:tcW w:w="24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44"/>
        </w:trPr>
        <w:tc>
          <w:tcPr>
            <w:tcW w:w="2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2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   (1,660 )  $</w:t>
            </w: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(1,011 )  $</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(649 )</w:t>
            </w:r>
          </w:p>
        </w:tc>
        <w:tc>
          <w:tcPr>
            <w:tcW w:w="14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64 % $</w:t>
            </w: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(1,522 )  $</w:t>
            </w: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(1,677 )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(9 %</w:t>
            </w:r>
          </w:p>
        </w:tc>
      </w:tr>
      <w:tr>
        <w:trPr>
          <w:trHeight w:val="243"/>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Effective tax rate</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2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42" w:lineRule="exact"/>
        <w:rPr>
          <w:sz w:val="20"/>
          <w:szCs w:val="20"/>
          <w:color w:val="auto"/>
        </w:rPr>
      </w:pPr>
    </w:p>
    <w:p>
      <w:pPr>
        <w:ind w:right="80" w:firstLine="749"/>
        <w:spacing w:after="0" w:line="300" w:lineRule="auto"/>
        <w:rPr>
          <w:sz w:val="20"/>
          <w:szCs w:val="20"/>
          <w:color w:val="auto"/>
        </w:rPr>
      </w:pPr>
      <w:r>
        <w:rPr>
          <w:rFonts w:ascii="Arial" w:cs="Arial" w:eastAsia="Arial" w:hAnsi="Arial"/>
          <w:sz w:val="17"/>
          <w:szCs w:val="17"/>
          <w:color w:val="auto"/>
        </w:rPr>
        <w:t xml:space="preserve">Income tax expense consists of current and deferred taxes for U.S. and foreign income taxes. The increase in the income tax expense in the three months ended June 30, 2021 compared to the same period in 2020 was </w:t>
      </w:r>
      <w:r>
        <w:rPr>
          <w:rFonts w:ascii="Arial" w:cs="Arial" w:eastAsia="Arial" w:hAnsi="Arial"/>
          <w:sz w:val="15"/>
          <w:szCs w:val="15"/>
          <w:color w:val="auto"/>
        </w:rPr>
        <w:t>primarily driven by increased income in jurisdictions outside of the United States that are</w:t>
      </w:r>
      <w:r>
        <w:rPr>
          <w:rFonts w:ascii="Arial" w:cs="Arial" w:eastAsia="Arial" w:hAnsi="Arial"/>
          <w:sz w:val="17"/>
          <w:szCs w:val="17"/>
          <w:color w:val="auto"/>
        </w:rPr>
        <w:t xml:space="preserve"> </w:t>
      </w:r>
      <w:r>
        <w:rPr>
          <w:rFonts w:ascii="Arial" w:cs="Arial" w:eastAsia="Arial" w:hAnsi="Arial"/>
          <w:sz w:val="15"/>
          <w:szCs w:val="15"/>
          <w:color w:val="auto"/>
        </w:rPr>
        <w:t>profitable from a tax perspective</w:t>
      </w:r>
      <w:r>
        <w:rPr>
          <w:rFonts w:ascii="Arial" w:cs="Arial" w:eastAsia="Arial" w:hAnsi="Arial"/>
          <w:sz w:val="16"/>
          <w:szCs w:val="16"/>
          <w:color w:val="auto"/>
        </w:rPr>
        <w:t>. The decrease in the six months ended June 30, 2021 compared to the same period in 2020 was</w:t>
      </w:r>
      <w:r>
        <w:rPr>
          <w:rFonts w:ascii="Arial" w:cs="Arial" w:eastAsia="Arial" w:hAnsi="Arial"/>
          <w:sz w:val="15"/>
          <w:szCs w:val="15"/>
          <w:color w:val="auto"/>
        </w:rPr>
        <w:t xml:space="preserve"> primarily driven by </w:t>
      </w:r>
      <w:r>
        <w:rPr>
          <w:rFonts w:ascii="Arial" w:cs="Arial" w:eastAsia="Arial" w:hAnsi="Arial"/>
          <w:sz w:val="16"/>
          <w:szCs w:val="16"/>
          <w:color w:val="auto"/>
        </w:rPr>
        <w:t xml:space="preserve">a non-recurring income tax benefit relating to the release of a portion of the Company’s valuation allowance, offset by </w:t>
      </w:r>
      <w:r>
        <w:rPr>
          <w:rFonts w:ascii="Arial" w:cs="Arial" w:eastAsia="Arial" w:hAnsi="Arial"/>
          <w:sz w:val="15"/>
          <w:szCs w:val="15"/>
          <w:color w:val="auto"/>
        </w:rPr>
        <w:t>increased income in jurisdictions outside of the</w:t>
      </w:r>
      <w:r>
        <w:rPr>
          <w:rFonts w:ascii="Arial" w:cs="Arial" w:eastAsia="Arial" w:hAnsi="Arial"/>
          <w:sz w:val="16"/>
          <w:szCs w:val="16"/>
          <w:color w:val="auto"/>
        </w:rPr>
        <w:t xml:space="preserve"> </w:t>
      </w:r>
      <w:r>
        <w:rPr>
          <w:rFonts w:ascii="Arial" w:cs="Arial" w:eastAsia="Arial" w:hAnsi="Arial"/>
          <w:sz w:val="15"/>
          <w:szCs w:val="15"/>
          <w:color w:val="auto"/>
        </w:rPr>
        <w:t>United States that are profitable from a tax perspective</w:t>
      </w:r>
      <w:r>
        <w:rPr>
          <w:rFonts w:ascii="Arial" w:cs="Arial" w:eastAsia="Arial" w:hAnsi="Arial"/>
          <w:sz w:val="16"/>
          <w:szCs w:val="16"/>
          <w:color w:val="auto"/>
        </w:rPr>
        <w:t>. The release was due to recording net deferred tax liabilities related to the Hustle acquisition, which are a</w:t>
      </w:r>
      <w:r>
        <w:rPr>
          <w:rFonts w:ascii="Arial" w:cs="Arial" w:eastAsia="Arial" w:hAnsi="Arial"/>
          <w:sz w:val="15"/>
          <w:szCs w:val="15"/>
          <w:color w:val="auto"/>
        </w:rPr>
        <w:t xml:space="preserve"> </w:t>
      </w:r>
      <w:r>
        <w:rPr>
          <w:rFonts w:ascii="Arial" w:cs="Arial" w:eastAsia="Arial" w:hAnsi="Arial"/>
          <w:sz w:val="16"/>
          <w:szCs w:val="16"/>
          <w:color w:val="auto"/>
        </w:rPr>
        <w:t>source of income to support the realizability of the Company’s pre-existing U.S. deferred tax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600" w:firstLine="509"/>
        <w:spacing w:after="0" w:line="266" w:lineRule="auto"/>
        <w:rPr>
          <w:sz w:val="20"/>
          <w:szCs w:val="20"/>
          <w:color w:val="auto"/>
        </w:rPr>
      </w:pPr>
      <w:r>
        <w:rPr>
          <w:rFonts w:ascii="Arial" w:cs="Arial" w:eastAsia="Arial" w:hAnsi="Arial"/>
          <w:sz w:val="18"/>
          <w:szCs w:val="18"/>
          <w:color w:val="auto"/>
        </w:rPr>
        <w:t>Our principal sources of liquidity to date have been cash and cash equivalents, net accounts receivable, our common stock offerings, and our convertible notes offerings.</w:t>
      </w:r>
    </w:p>
    <w:p>
      <w:pPr>
        <w:spacing w:after="0" w:line="1" w:lineRule="exact"/>
        <w:rPr>
          <w:sz w:val="20"/>
          <w:szCs w:val="20"/>
          <w:color w:val="auto"/>
        </w:rPr>
      </w:pPr>
    </w:p>
    <w:p>
      <w:pPr>
        <w:ind w:right="60" w:firstLine="509"/>
        <w:spacing w:after="0" w:line="279" w:lineRule="auto"/>
        <w:rPr>
          <w:sz w:val="20"/>
          <w:szCs w:val="20"/>
          <w:color w:val="auto"/>
        </w:rPr>
      </w:pPr>
      <w:r>
        <w:rPr>
          <w:rFonts w:ascii="Arial" w:cs="Arial" w:eastAsia="Arial" w:hAnsi="Arial"/>
          <w:sz w:val="18"/>
          <w:szCs w:val="18"/>
          <w:color w:val="auto"/>
        </w:rPr>
        <w:t>The following table shows cash and cash equivalents, working capital, net cash and cash equivalents provided by operating activities, net cash and cash equivalents used in investing activities, and net cash and cash equivalents provided by financing activities for the six months ended June 30, 2021 and 2020.</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96"/>
        </w:trPr>
        <w:tc>
          <w:tcPr>
            <w:tcW w:w="57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196"/>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338,336</w:t>
            </w:r>
          </w:p>
        </w:tc>
        <w:tc>
          <w:tcPr>
            <w:tcW w:w="24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201,086</w:t>
            </w:r>
          </w:p>
        </w:tc>
        <w:tc>
          <w:tcPr>
            <w:tcW w:w="80" w:type="dxa"/>
            <w:vAlign w:val="bottom"/>
            <w:shd w:val="clear" w:color="auto" w:fill="CFF0FC"/>
          </w:tcPr>
          <w:p>
            <w:pPr>
              <w:spacing w:after="0"/>
              <w:rPr>
                <w:sz w:val="22"/>
                <w:szCs w:val="22"/>
                <w:color w:val="auto"/>
              </w:rPr>
            </w:pP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862,418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962,873</w:t>
            </w:r>
          </w:p>
        </w:tc>
        <w:tc>
          <w:tcPr>
            <w:tcW w:w="80" w:type="dxa"/>
            <w:vAlign w:val="bottom"/>
          </w:tcPr>
          <w:p>
            <w:pPr>
              <w:spacing w:after="0"/>
              <w:rPr>
                <w:sz w:val="21"/>
                <w:szCs w:val="21"/>
                <w:color w:val="auto"/>
              </w:rPr>
            </w:pPr>
          </w:p>
        </w:tc>
      </w:tr>
      <w:tr>
        <w:trPr>
          <w:trHeight w:val="26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cash and cash equivalents provided by (used in) operating activities</w:t>
            </w: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100,891</w:t>
            </w:r>
          </w:p>
        </w:tc>
        <w:tc>
          <w:tcPr>
            <w:tcW w:w="2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(10,679 )</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Net cash and cash equivalents used in investing activities</w:t>
            </w:r>
          </w:p>
        </w:tc>
        <w:tc>
          <w:tcPr>
            <w:tcW w:w="3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(110,740 )</w:t>
            </w:r>
          </w:p>
        </w:tc>
        <w:tc>
          <w:tcPr>
            <w:tcW w:w="44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(277,154 )</w:t>
            </w:r>
          </w:p>
        </w:tc>
      </w:tr>
      <w:tr>
        <w:trPr>
          <w:trHeight w:val="26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cash and cash equivalents (used in) provided by financing activities</w:t>
            </w:r>
          </w:p>
        </w:tc>
        <w:tc>
          <w:tcPr>
            <w:tcW w:w="3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(26,729 )</w:t>
            </w:r>
          </w:p>
        </w:tc>
        <w:tc>
          <w:tcPr>
            <w:tcW w:w="4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213,577</w:t>
            </w:r>
          </w:p>
        </w:tc>
        <w:tc>
          <w:tcPr>
            <w:tcW w:w="80" w:type="dxa"/>
            <w:vAlign w:val="bottom"/>
            <w:shd w:val="clear" w:color="auto" w:fill="CFF0FC"/>
          </w:tcPr>
          <w:p>
            <w:pPr>
              <w:spacing w:after="0"/>
              <w:rPr>
                <w:sz w:val="22"/>
                <w:szCs w:val="22"/>
                <w:color w:val="auto"/>
              </w:rPr>
            </w:pPr>
          </w:p>
        </w:tc>
      </w:tr>
    </w:tbl>
    <w:p>
      <w:pPr>
        <w:spacing w:after="0" w:line="296" w:lineRule="exact"/>
        <w:rPr>
          <w:sz w:val="20"/>
          <w:szCs w:val="20"/>
          <w:color w:val="auto"/>
        </w:rPr>
      </w:pPr>
    </w:p>
    <w:p>
      <w:pPr>
        <w:ind w:right="60" w:firstLine="509"/>
        <w:spacing w:after="0" w:line="319" w:lineRule="auto"/>
        <w:rPr>
          <w:sz w:val="20"/>
          <w:szCs w:val="20"/>
          <w:color w:val="auto"/>
        </w:rPr>
      </w:pPr>
      <w:r>
        <w:rPr>
          <w:rFonts w:ascii="Arial" w:cs="Arial" w:eastAsia="Arial" w:hAnsi="Arial"/>
          <w:sz w:val="16"/>
          <w:szCs w:val="16"/>
          <w:color w:val="auto"/>
        </w:rPr>
        <w:t>Our cash and cash equivalents at June 30, 2021 were held for working capital purposes. At June 30, 2021, $113.0 million of our cash and cash equivalents was held in accounts outside the United States. As of December 31, 2018, we no longer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250"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Cash from operations could be affected by various risks and uncertainties, including, but not limited to, the effects of the pandemic and other risks detailed in the section titled “Risk Factors” included under Part II, Item 1A. However, based on our current business plan and revenue prospects, we believe that our existing cash, cash equivalents and investment balances, and our anticipated cash flows from operations will be sufficient to meet our working capital and operating resource expenditure requirements for the next twelve months.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Operating Activities</w:t>
      </w:r>
    </w:p>
    <w:p>
      <w:pPr>
        <w:spacing w:after="0" w:line="131"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and cash equivalents provided by operating activities during the six months ended June 30, 2021 primarily reflected our net loss of $47.7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million, the portion of the repayment of the 2022 Notes attributable to the debt discount of $13.0 million, benefit from deferred income taxes of $1.1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million, and a gain on strategic investments of $1.0 million, offset by non-cash expenses that included $21.7 million of depreciation and amortization,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$75.9 million in stock-based compensation, $1.7 million amortization of bond discounts, $12.5 million of amortization of debt discount and issuance costs,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$3.1 million of loss on early extinguishment of 2022 Notes. Working capital sources of cash and cash equivalents primarily included a $49.4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deferred revenue primarily resulting from the growth in the number of customers invoiced during the period, a $8.9 million decrease in accounts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receivable related to increased collection, a $18.5 million increase in right-of-use asset, and $15.5 million increase in accrued expenses and other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sources of cash and cash equivalents were offset by a $1.3 million increase in accounts payable related to timing of bill payments, a $7.7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in prepaid expenses and other assets, a $18.4 million decrease in operating lease liabilities, and a $16.4 million increase in deferred commissions.</w:t>
      </w:r>
    </w:p>
    <w:p>
      <w:pPr>
        <w:spacing w:after="0" w:line="261" w:lineRule="exact"/>
        <w:rPr>
          <w:sz w:val="20"/>
          <w:szCs w:val="20"/>
          <w:color w:val="auto"/>
        </w:rPr>
      </w:pPr>
    </w:p>
    <w:p>
      <w:pPr>
        <w:ind w:firstLine="544"/>
        <w:spacing w:after="0" w:line="287" w:lineRule="auto"/>
        <w:rPr>
          <w:sz w:val="20"/>
          <w:szCs w:val="20"/>
          <w:color w:val="auto"/>
        </w:rPr>
      </w:pPr>
      <w:r>
        <w:rPr>
          <w:rFonts w:ascii="Arial" w:cs="Arial" w:eastAsia="Arial" w:hAnsi="Arial"/>
          <w:sz w:val="17"/>
          <w:szCs w:val="17"/>
          <w:color w:val="auto"/>
        </w:rPr>
        <w:t>Net cash and cash equivalents provided by operating activities during the six months ended June 30, 2020, primarily reflected our net loss of $47.1 million, the portion of the repayment of the 2022 Notes attributable to the debt discount of $48.7 million and accretion of bond discounts of $3.5 million offset by non-cash expenses that included $17.7 million of depreciation and amortization, $58.8 million in stock-based compensation, $10.5 million of loss on early extinguishment of 2022 Notes and $11.7 million of amortization of debt discount and issuance costs. Working capital sources of cash and cash equivalents included a $7.1 million increase in deferred revenue primarily resulting from the growth in the number of customers invoiced during the period, a $5.9 million decrease in accounts receivable related to increased collection, a $1.8 million increase in accounts payable related to timing of bill payments, a $13.4 million increase in right-of-use asset, and a $0.4 million increase in accrued expenses and other liabilities. These sources of cash and cash equivalents were offset by a $20.4 million increase in prepaid expenses and other assets, a $12.3 million decrease in operating lease liabilities, and a $5.8 million increase in deferred commissions.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Net Cash and Cash Equivalents Used in Investing Activities</w:t>
      </w:r>
    </w:p>
    <w:p>
      <w:pPr>
        <w:spacing w:after="0" w:line="131" w:lineRule="exact"/>
        <w:rPr>
          <w:sz w:val="20"/>
          <w:szCs w:val="20"/>
          <w:color w:val="auto"/>
        </w:rPr>
      </w:pPr>
    </w:p>
    <w:p>
      <w:pPr>
        <w:ind w:firstLine="544"/>
        <w:spacing w:after="0" w:line="329" w:lineRule="auto"/>
        <w:rPr>
          <w:sz w:val="20"/>
          <w:szCs w:val="20"/>
          <w:color w:val="auto"/>
        </w:rPr>
      </w:pPr>
      <w:r>
        <w:rPr>
          <w:rFonts w:ascii="Arial" w:cs="Arial" w:eastAsia="Arial" w:hAnsi="Arial"/>
          <w:sz w:val="16"/>
          <w:szCs w:val="16"/>
          <w:color w:val="auto"/>
        </w:rPr>
        <w:t>Our investing activities have consisted primarily of purchases, maturities and sale of investments, property and equipment purchases, an acquisition of a business,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48" w:lineRule="exact"/>
        <w:rPr>
          <w:sz w:val="20"/>
          <w:szCs w:val="20"/>
          <w:color w:val="auto"/>
        </w:rPr>
      </w:pPr>
    </w:p>
    <w:p>
      <w:pPr>
        <w:ind w:right="120" w:firstLine="544"/>
        <w:spacing w:after="0" w:line="275" w:lineRule="auto"/>
        <w:rPr>
          <w:sz w:val="20"/>
          <w:szCs w:val="20"/>
          <w:color w:val="auto"/>
        </w:rPr>
      </w:pPr>
      <w:r>
        <w:rPr>
          <w:rFonts w:ascii="Arial" w:cs="Arial" w:eastAsia="Arial" w:hAnsi="Arial"/>
          <w:sz w:val="18"/>
          <w:szCs w:val="18"/>
          <w:color w:val="auto"/>
        </w:rPr>
        <w:t>Net cash and cash equivalents used in investing activities during the six months ended June 30, 2021 consisted primarily of $654.1 million purchases of investments, $10.7 million of purchased property and equipment, a $16.8 million business acquisition, $6.2 million of purchases of strategic investments, $3.1 million in an equity method investment and $16.4 million of capitalized software development costs. These uses of cash were offset by $596.6 million received related to the maturity of investments.</w:t>
      </w:r>
    </w:p>
    <w:p>
      <w:pPr>
        <w:spacing w:after="0" w:line="185" w:lineRule="exact"/>
        <w:rPr>
          <w:sz w:val="20"/>
          <w:szCs w:val="20"/>
          <w:color w:val="auto"/>
        </w:rPr>
      </w:pPr>
    </w:p>
    <w:p>
      <w:pPr>
        <w:ind w:right="20" w:firstLine="544"/>
        <w:spacing w:after="0" w:line="275" w:lineRule="auto"/>
        <w:rPr>
          <w:sz w:val="20"/>
          <w:szCs w:val="20"/>
          <w:color w:val="auto"/>
        </w:rPr>
      </w:pPr>
      <w:r>
        <w:rPr>
          <w:rFonts w:ascii="Arial" w:cs="Arial" w:eastAsia="Arial" w:hAnsi="Arial"/>
          <w:sz w:val="18"/>
          <w:szCs w:val="18"/>
          <w:color w:val="auto"/>
        </w:rPr>
        <w:t>Net cash and cash equivalents used in investing activities during the six months ended June 30, 2020 consisted primarily of $967.0 million purchases of investments, $19.9 million of purchased property and equipment, $1.0 million of purchases of strategic investments, and $10.2 million of capitalized software development costs. These uses of cash were offset by $710.0 million received related to the maturity of investments and $10.9 million received for sale of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and Cash Equivalents Provided by Financing Activities</w:t>
      </w:r>
    </w:p>
    <w:p>
      <w:pPr>
        <w:spacing w:after="0" w:line="131" w:lineRule="exact"/>
        <w:rPr>
          <w:sz w:val="20"/>
          <w:szCs w:val="20"/>
          <w:color w:val="auto"/>
        </w:rPr>
      </w:pPr>
    </w:p>
    <w:p>
      <w:pPr>
        <w:jc w:val="both"/>
        <w:ind w:right="200" w:firstLine="509"/>
        <w:spacing w:after="0" w:line="287" w:lineRule="auto"/>
        <w:rPr>
          <w:sz w:val="20"/>
          <w:szCs w:val="20"/>
          <w:color w:val="auto"/>
        </w:rPr>
      </w:pPr>
      <w:r>
        <w:rPr>
          <w:rFonts w:ascii="Arial" w:cs="Arial" w:eastAsia="Arial" w:hAnsi="Arial"/>
          <w:sz w:val="18"/>
          <w:szCs w:val="18"/>
          <w:color w:val="auto"/>
        </w:rPr>
        <w:t xml:space="preserve">Our financing activities have consisted primarily of the various components of our 2022 Notes repayment, </w:t>
      </w:r>
      <w:r>
        <w:rPr>
          <w:rFonts w:ascii="Arial" w:cs="Arial" w:eastAsia="Arial" w:hAnsi="Arial"/>
          <w:sz w:val="16"/>
          <w:szCs w:val="16"/>
          <w:color w:val="auto"/>
        </w:rPr>
        <w:t>the various components of our 2025 Notes</w:t>
      </w:r>
      <w:r>
        <w:rPr>
          <w:rFonts w:ascii="Arial" w:cs="Arial" w:eastAsia="Arial" w:hAnsi="Arial"/>
          <w:sz w:val="18"/>
          <w:szCs w:val="18"/>
          <w:color w:val="auto"/>
        </w:rPr>
        <w:t xml:space="preserve"> </w:t>
      </w:r>
      <w:r>
        <w:rPr>
          <w:rFonts w:ascii="Arial" w:cs="Arial" w:eastAsia="Arial" w:hAnsi="Arial"/>
          <w:sz w:val="16"/>
          <w:szCs w:val="16"/>
          <w:color w:val="auto"/>
        </w:rPr>
        <w:t xml:space="preserve">offering, </w:t>
      </w:r>
      <w:r>
        <w:rPr>
          <w:rFonts w:ascii="Arial" w:cs="Arial" w:eastAsia="Arial" w:hAnsi="Arial"/>
          <w:sz w:val="17"/>
          <w:szCs w:val="17"/>
          <w:color w:val="auto"/>
        </w:rPr>
        <w:t>the issuance of common stock under our stock plans, payments of employee taxes related to the net share settlement of stock-based awards, and</w:t>
      </w:r>
      <w:r>
        <w:rPr>
          <w:rFonts w:ascii="Arial" w:cs="Arial" w:eastAsia="Arial" w:hAnsi="Arial"/>
          <w:sz w:val="16"/>
          <w:szCs w:val="16"/>
          <w:color w:val="auto"/>
        </w:rPr>
        <w:t xml:space="preserve"> </w:t>
      </w:r>
      <w:r>
        <w:rPr>
          <w:rFonts w:ascii="Arial" w:cs="Arial" w:eastAsia="Arial" w:hAnsi="Arial"/>
          <w:sz w:val="17"/>
          <w:szCs w:val="17"/>
          <w:color w:val="auto"/>
        </w:rPr>
        <w:t>repayments of our finance lease obligations.</w:t>
      </w:r>
    </w:p>
    <w:p>
      <w:pPr>
        <w:spacing w:after="0" w:line="176" w:lineRule="exact"/>
        <w:rPr>
          <w:sz w:val="20"/>
          <w:szCs w:val="20"/>
          <w:color w:val="auto"/>
        </w:rPr>
      </w:pPr>
    </w:p>
    <w:p>
      <w:pPr>
        <w:ind w:right="160" w:firstLine="544"/>
        <w:spacing w:after="0" w:line="275" w:lineRule="auto"/>
        <w:rPr>
          <w:sz w:val="20"/>
          <w:szCs w:val="20"/>
          <w:color w:val="auto"/>
        </w:rPr>
      </w:pPr>
      <w:r>
        <w:rPr>
          <w:rFonts w:ascii="Arial" w:cs="Arial" w:eastAsia="Arial" w:hAnsi="Arial"/>
          <w:sz w:val="18"/>
          <w:szCs w:val="18"/>
          <w:color w:val="auto"/>
        </w:rPr>
        <w:t>For the six months ended June 30, 2021 cash used in financing activities consisted of $45.4 million used for repayment of the 2022 Notes attributable to the principal and $6.9 million used for payment of employee taxes related to the net share settlement of stock-based awards, offset by $0.7 million of proceeds from the settlement of the Convertible Note Hedges related to the 2022 Notes and $24.9 million of proceeds related to issuance of common stock under stock plans.</w:t>
      </w:r>
    </w:p>
    <w:p>
      <w:pPr>
        <w:spacing w:after="0" w:line="185" w:lineRule="exact"/>
        <w:rPr>
          <w:sz w:val="20"/>
          <w:szCs w:val="20"/>
          <w:color w:val="auto"/>
        </w:rPr>
      </w:pPr>
    </w:p>
    <w:p>
      <w:pPr>
        <w:ind w:right="20" w:firstLine="544"/>
        <w:spacing w:after="0" w:line="314" w:lineRule="auto"/>
        <w:rPr>
          <w:sz w:val="20"/>
          <w:szCs w:val="20"/>
          <w:color w:val="auto"/>
        </w:rPr>
      </w:pPr>
      <w:r>
        <w:rPr>
          <w:rFonts w:ascii="Arial" w:cs="Arial" w:eastAsia="Arial" w:hAnsi="Arial"/>
          <w:sz w:val="16"/>
          <w:szCs w:val="16"/>
          <w:color w:val="auto"/>
        </w:rPr>
        <w:t>For the six months ended June 30, 2020 cash provided by financing activities consisted of $450.6 million of net proceeds from the issuance of the 2025 Notes, $362.5 million of proceeds from the settlement of the Convertible Note Hedges related to the 2022 Notes, and $15.2 million of proceeds related to issuance of common stock under stock plans. This source of cash was offset by $234.4 million used for repayment of the 2022 Notes attributable to the principal, $327.5 million for payment to settle the Warrants related to the 2022 Notes, $50.6 million for payment of the Capped Call Options related to the 2025 Notes, and $2.2 million used for payment of employee taxes related to the net share settlement of stock-based awards.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7" w:lineRule="exact"/>
        <w:rPr>
          <w:sz w:val="20"/>
          <w:szCs w:val="20"/>
          <w:color w:val="auto"/>
        </w:rPr>
      </w:pPr>
    </w:p>
    <w:p>
      <w:pPr>
        <w:ind w:right="20" w:firstLine="749"/>
        <w:spacing w:after="0" w:line="323"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six months ended June 30, 2021 as compared to the critical accounting policies and estimates disclosed in our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As of June 30, 2021, there were no material changes in our contractual obligations and commitments from those disclosed in the Annual Report on Form 10-K filed with the SEC on February 16, 2021, other than those in the notes to the consolidated financial statements appearing elsewhere in this Quarterly Report on Form 10-Q.</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 xml:space="preserve">For information on recent accounting pronouncements,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the notes to the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right="160" w:firstLine="509"/>
        <w:spacing w:after="0" w:line="303" w:lineRule="auto"/>
        <w:rPr>
          <w:sz w:val="20"/>
          <w:szCs w:val="20"/>
          <w:color w:val="auto"/>
        </w:rPr>
      </w:pPr>
      <w:r>
        <w:rPr>
          <w:rFonts w:ascii="Arial" w:cs="Arial" w:eastAsia="Arial" w:hAnsi="Arial"/>
          <w:sz w:val="17"/>
          <w:szCs w:val="17"/>
          <w:color w:val="auto"/>
        </w:rPr>
        <w:t>As of June 30, 2021, we are committed to contribute additional capital of $9.4 million to the Black Economic Development Fund (Note 5). There were no other material off-balance sheet arrangements exclusive of operating leases and indemnifications of officers, directors and employees for certain events or occurrences while the officer, director or employee is, or was, serving at our request in such capacity.</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jc w:val="both"/>
        <w:ind w:right="280" w:firstLine="544"/>
        <w:spacing w:after="0" w:line="303"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primarily the Euro, British Pound Sterling, Australian dollar, Singaporean dollar, Japanese Yen, and Colombian Peso. Since we translate foreign currencies into U.S. dollars for financial reporting purposes, currency fluctuations can have an impact on our financial results.</w:t>
      </w:r>
    </w:p>
    <w:p>
      <w:pPr>
        <w:spacing w:after="0" w:line="56" w:lineRule="exact"/>
        <w:rPr>
          <w:sz w:val="20"/>
          <w:szCs w:val="20"/>
          <w:color w:val="auto"/>
        </w:rPr>
      </w:pPr>
    </w:p>
    <w:p>
      <w:pPr>
        <w:ind w:right="40" w:firstLine="544"/>
        <w:spacing w:after="0" w:line="314" w:lineRule="auto"/>
        <w:rPr>
          <w:sz w:val="20"/>
          <w:szCs w:val="20"/>
          <w:color w:val="auto"/>
        </w:rPr>
      </w:pPr>
      <w:r>
        <w:rPr>
          <w:rFonts w:ascii="Arial" w:cs="Arial" w:eastAsia="Arial" w:hAnsi="Arial"/>
          <w:sz w:val="16"/>
          <w:szCs w:val="16"/>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We recognized immaterial amounts of foreign currency gains and losses in each of the periods presented.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 and our risk grows.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31" w:lineRule="exact"/>
        <w:rPr>
          <w:sz w:val="20"/>
          <w:szCs w:val="20"/>
          <w:color w:val="auto"/>
        </w:rPr>
      </w:pPr>
    </w:p>
    <w:p>
      <w:pPr>
        <w:ind w:right="120" w:firstLine="544"/>
        <w:spacing w:after="0" w:line="292" w:lineRule="auto"/>
        <w:rPr>
          <w:sz w:val="20"/>
          <w:szCs w:val="20"/>
          <w:color w:val="auto"/>
        </w:rPr>
      </w:pPr>
      <w:r>
        <w:rPr>
          <w:rFonts w:ascii="Arial" w:cs="Arial" w:eastAsia="Arial" w:hAnsi="Arial"/>
          <w:sz w:val="17"/>
          <w:szCs w:val="17"/>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31" w:lineRule="exact"/>
        <w:rPr>
          <w:sz w:val="20"/>
          <w:szCs w:val="20"/>
          <w:color w:val="auto"/>
        </w:rPr>
      </w:pPr>
    </w:p>
    <w:p>
      <w:pPr>
        <w:ind w:right="40" w:firstLine="544"/>
        <w:spacing w:after="0" w:line="279" w:lineRule="auto"/>
        <w:rPr>
          <w:sz w:val="20"/>
          <w:szCs w:val="20"/>
          <w:color w:val="auto"/>
        </w:rPr>
      </w:pPr>
      <w:r>
        <w:rPr>
          <w:rFonts w:ascii="Arial" w:cs="Arial" w:eastAsia="Arial" w:hAnsi="Arial"/>
          <w:sz w:val="18"/>
          <w:szCs w:val="18"/>
          <w:color w:val="auto"/>
        </w:rPr>
        <w:t>We do not believe that inflation has had a material effect on our business. However, if our costs, in particular personnel, sales and marketing and hosting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 Risk and Market Interest Risk</w:t>
      </w:r>
    </w:p>
    <w:p>
      <w:pPr>
        <w:spacing w:after="0" w:line="131" w:lineRule="exact"/>
        <w:rPr>
          <w:sz w:val="20"/>
          <w:szCs w:val="20"/>
          <w:color w:val="auto"/>
        </w:rPr>
      </w:pPr>
    </w:p>
    <w:p>
      <w:pPr>
        <w:ind w:right="160" w:firstLine="509"/>
        <w:spacing w:after="0" w:line="287" w:lineRule="auto"/>
        <w:rPr>
          <w:sz w:val="20"/>
          <w:szCs w:val="20"/>
          <w:color w:val="auto"/>
        </w:rPr>
      </w:pPr>
      <w:r>
        <w:rPr>
          <w:rFonts w:ascii="Arial" w:cs="Arial" w:eastAsia="Arial" w:hAnsi="Arial"/>
          <w:sz w:val="17"/>
          <w:szCs w:val="17"/>
          <w:color w:val="auto"/>
        </w:rPr>
        <w:t>In May 2017, we issued $400.0 million aggregate principal amount of 0.25% convertible senior due June 1, 2022, of which $272.1 million was repurchased in June 2020 and $12.7 million was settled in cash in the second quarter of 2021. As of June 30, 2021, $68.7 million of principal remains outstanding on the 2022 Notes. Also in June 2020, we issued $460 million aggregate principal amount of convertible senior notes due June 1, 2025. The fair value of our convertible senior notes is subject to interest rate risk, market risk and other factors due to the convertible feature. The fair value of the convertible senior notes will generally increase as our common stock price increases and will generally decrease as our common stock price declines in value. The interest and market value changes affect the fair value of our convertible senior notes but do not impact our financial position, cash flows or results of operations due to the fixed nature of the debt obligation. Generally, the fair values of 2022 Notes and the 2025 Notes (the “Notes”) will increase as interest rates fall and decrease as interest rates rise. Additionally, we carry the convertible senior notes at face value less unamortized discount on our balance sheet, and we present the fair value for required disclosure purposes only.</w:t>
      </w:r>
    </w:p>
    <w:p>
      <w:pPr>
        <w:spacing w:after="0" w:line="272" w:lineRule="exact"/>
        <w:rPr>
          <w:sz w:val="20"/>
          <w:szCs w:val="20"/>
          <w:color w:val="auto"/>
        </w:rPr>
      </w:pPr>
    </w:p>
    <w:p>
      <w:pPr>
        <w:ind w:right="20" w:firstLine="544"/>
        <w:spacing w:after="0" w:line="279" w:lineRule="auto"/>
        <w:rPr>
          <w:sz w:val="20"/>
          <w:szCs w:val="20"/>
          <w:color w:val="auto"/>
        </w:rPr>
      </w:pPr>
      <w:r>
        <w:rPr>
          <w:rFonts w:ascii="Arial" w:cs="Arial" w:eastAsia="Arial" w:hAnsi="Arial"/>
          <w:sz w:val="18"/>
          <w:szCs w:val="18"/>
          <w:color w:val="auto"/>
        </w:rPr>
        <w:t>The table below provides a sensitivity analysis of hypothetical 10% changes of our stock price as of June 30, 2021 and the estimated impact on the fair value of the Notes. The selected scenarios are not predictions of future events, but rather are intended to illustrate the effect such event may have on the fair value of the Notes.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2022 Notes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Hypothetical</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2"/>
              </w:rPr>
              <w:t>Estimated change in fair</w:t>
            </w:r>
          </w:p>
        </w:tc>
        <w:tc>
          <w:tcPr>
            <w:tcW w:w="1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percentage increase</w:t>
            </w: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value</w:t>
            </w:r>
          </w:p>
        </w:tc>
        <w:tc>
          <w:tcPr>
            <w:tcW w:w="18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(decrease) in fair value</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7"/>
        </w:trPr>
        <w:tc>
          <w:tcPr>
            <w:tcW w:w="580" w:type="dxa"/>
            <w:vAlign w:val="bottom"/>
          </w:tcPr>
          <w:p>
            <w:pPr>
              <w:spacing w:after="0"/>
              <w:rPr>
                <w:sz w:val="22"/>
                <w:szCs w:val="2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463,957</w:t>
            </w:r>
          </w:p>
        </w:tc>
        <w:tc>
          <w:tcPr>
            <w:tcW w:w="64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42,638</w:t>
            </w:r>
          </w:p>
        </w:tc>
        <w:tc>
          <w:tcPr>
            <w:tcW w:w="180" w:type="dxa"/>
            <w:vAlign w:val="bottom"/>
            <w:shd w:val="clear" w:color="auto" w:fill="CFF0FC"/>
          </w:tcPr>
          <w:p>
            <w:pPr>
              <w:spacing w:after="0"/>
              <w:rPr>
                <w:sz w:val="22"/>
                <w:szCs w:val="22"/>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10 %</w:t>
            </w:r>
          </w:p>
        </w:tc>
        <w:tc>
          <w:tcPr>
            <w:tcW w:w="560" w:type="dxa"/>
            <w:vAlign w:val="bottom"/>
          </w:tcPr>
          <w:p>
            <w:pPr>
              <w:spacing w:after="0"/>
              <w:rPr>
                <w:sz w:val="22"/>
                <w:szCs w:val="22"/>
                <w:color w:val="auto"/>
              </w:rPr>
            </w:pPr>
          </w:p>
        </w:tc>
      </w:tr>
      <w:tr>
        <w:trPr>
          <w:trHeight w:val="250"/>
        </w:trPr>
        <w:tc>
          <w:tcPr>
            <w:tcW w:w="58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 change</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421,319</w:t>
            </w:r>
          </w:p>
        </w:tc>
        <w:tc>
          <w:tcPr>
            <w:tcW w:w="6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r>
      <w:tr>
        <w:trPr>
          <w:trHeight w:val="263"/>
        </w:trPr>
        <w:tc>
          <w:tcPr>
            <w:tcW w:w="580" w:type="dxa"/>
            <w:vAlign w:val="bottom"/>
          </w:tcPr>
          <w:p>
            <w:pPr>
              <w:spacing w:after="0"/>
              <w:rPr>
                <w:sz w:val="22"/>
                <w:szCs w:val="2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379,530</w:t>
            </w:r>
          </w:p>
        </w:tc>
        <w:tc>
          <w:tcPr>
            <w:tcW w:w="64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(41,789 )</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(10 )%</w:t>
            </w:r>
          </w:p>
        </w:tc>
        <w:tc>
          <w:tcPr>
            <w:tcW w:w="560" w:type="dxa"/>
            <w:vAlign w:val="bottom"/>
          </w:tcPr>
          <w:p>
            <w:pPr>
              <w:spacing w:after="0"/>
              <w:rPr>
                <w:sz w:val="22"/>
                <w:szCs w:val="22"/>
                <w:color w:val="auto"/>
              </w:rPr>
            </w:pPr>
          </w:p>
        </w:tc>
      </w:tr>
      <w:tr>
        <w:trPr>
          <w:trHeight w:val="675"/>
        </w:trPr>
        <w:tc>
          <w:tcPr>
            <w:tcW w:w="5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ind w:left="560"/>
        <w:spacing w:after="0"/>
        <w:rPr>
          <w:sz w:val="20"/>
          <w:szCs w:val="20"/>
          <w:color w:val="auto"/>
        </w:rPr>
      </w:pPr>
      <w:r>
        <w:rPr>
          <w:rFonts w:ascii="Arial" w:cs="Arial" w:eastAsia="Arial" w:hAnsi="Arial"/>
          <w:sz w:val="18"/>
          <w:szCs w:val="18"/>
          <w:b w:val="1"/>
          <w:bCs w:val="1"/>
          <w:color w:val="auto"/>
        </w:rPr>
        <w:t>2025 Notes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Hypothetical</w:t>
            </w:r>
          </w:p>
        </w:tc>
      </w:tr>
      <w:tr>
        <w:trPr>
          <w:trHeight w:val="203"/>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1"/>
              </w:rPr>
              <w:t>Estimated change in</w:t>
            </w:r>
          </w:p>
        </w:tc>
        <w:tc>
          <w:tcPr>
            <w:tcW w:w="1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percentage increase</w:t>
            </w:r>
          </w:p>
        </w:tc>
      </w:tr>
      <w:tr>
        <w:trPr>
          <w:trHeight w:val="22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Hypothetical change in HubSpot stock price</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(decrease) in fair value</w:t>
            </w:r>
          </w:p>
        </w:tc>
        <w:tc>
          <w:tcPr>
            <w:tcW w:w="300" w:type="dxa"/>
            <w:vAlign w:val="bottom"/>
          </w:tcPr>
          <w:p>
            <w:pPr>
              <w:spacing w:after="0"/>
              <w:rPr>
                <w:sz w:val="19"/>
                <w:szCs w:val="19"/>
                <w:color w:val="auto"/>
              </w:rPr>
            </w:pPr>
          </w:p>
        </w:tc>
      </w:tr>
      <w:tr>
        <w:trPr>
          <w:trHeight w:val="257"/>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10% increase</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1,066,197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80,210</w:t>
            </w:r>
          </w:p>
        </w:tc>
        <w:tc>
          <w:tcPr>
            <w:tcW w:w="180" w:type="dxa"/>
            <w:vAlign w:val="bottom"/>
            <w:shd w:val="clear" w:color="auto" w:fill="CFF0FC"/>
          </w:tcPr>
          <w:p>
            <w:pPr>
              <w:spacing w:after="0"/>
              <w:rPr>
                <w:sz w:val="22"/>
                <w:szCs w:val="22"/>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8 %</w:t>
            </w:r>
          </w:p>
        </w:tc>
      </w:tr>
      <w:tr>
        <w:trPr>
          <w:trHeight w:val="250"/>
        </w:trPr>
        <w:tc>
          <w:tcPr>
            <w:tcW w:w="4440" w:type="dxa"/>
            <w:vAlign w:val="bottom"/>
          </w:tcPr>
          <w:p>
            <w:pPr>
              <w:spacing w:after="0"/>
              <w:rPr>
                <w:sz w:val="20"/>
                <w:szCs w:val="20"/>
                <w:color w:val="auto"/>
              </w:rPr>
            </w:pPr>
            <w:r>
              <w:rPr>
                <w:rFonts w:ascii="Arial" w:cs="Arial" w:eastAsia="Arial" w:hAnsi="Arial"/>
                <w:sz w:val="18"/>
                <w:szCs w:val="18"/>
                <w:color w:val="auto"/>
              </w:rPr>
              <w:t>No change</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985,987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6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10% decrease</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889,060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(96,927 )</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91"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83" w:lineRule="exact"/>
        <w:rPr>
          <w:sz w:val="20"/>
          <w:szCs w:val="20"/>
          <w:color w:val="auto"/>
        </w:rPr>
      </w:pPr>
    </w:p>
    <w:p>
      <w:pPr>
        <w:ind w:right="60" w:firstLine="509"/>
        <w:spacing w:after="0" w:line="306" w:lineRule="auto"/>
        <w:rPr>
          <w:sz w:val="20"/>
          <w:szCs w:val="20"/>
          <w:color w:val="auto"/>
        </w:rPr>
      </w:pPr>
      <w:r>
        <w:rPr>
          <w:rFonts w:ascii="Arial" w:cs="Arial" w:eastAsia="Arial" w:hAnsi="Arial"/>
          <w:sz w:val="16"/>
          <w:szCs w:val="16"/>
          <w:u w:val="single" w:color="auto"/>
          <w:color w:val="auto"/>
        </w:rPr>
        <w:t>Inherent Limitations of Internal Controls</w:t>
      </w:r>
      <w:r>
        <w:rPr>
          <w:rFonts w:ascii="Arial" w:cs="Arial" w:eastAsia="Arial" w:hAnsi="Arial"/>
          <w:sz w:val="16"/>
          <w:szCs w:val="16"/>
          <w:color w:val="auto"/>
        </w:rPr>
        <w:t>. 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firstLine="509"/>
        <w:spacing w:after="0" w:line="29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Quarterly Report on Form 10-Q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364" w:lineRule="exact"/>
        <w:rPr>
          <w:sz w:val="20"/>
          <w:szCs w:val="20"/>
          <w:color w:val="auto"/>
        </w:rPr>
      </w:pPr>
    </w:p>
    <w:p>
      <w:pPr>
        <w:ind w:right="160"/>
        <w:spacing w:after="0" w:line="324" w:lineRule="auto"/>
        <w:rPr>
          <w:sz w:val="20"/>
          <w:szCs w:val="20"/>
          <w:color w:val="auto"/>
        </w:rPr>
      </w:pPr>
      <w:r>
        <w:rPr>
          <w:rFonts w:ascii="Arial" w:cs="Arial" w:eastAsia="Arial" w:hAnsi="Arial"/>
          <w:sz w:val="17"/>
          <w:szCs w:val="17"/>
          <w:b w:val="1"/>
          <w:bCs w:val="1"/>
          <w:i w:val="1"/>
          <w:iCs w:val="1"/>
          <w:color w:val="auto"/>
        </w:rPr>
        <w:t>The effects of the COVID-19 pandemic have materially affected how we and our customers are operating our businesses, and the duration and extent to which this will impact our future results of operations and overall financial performance remains uncertain.</w:t>
      </w:r>
    </w:p>
    <w:p>
      <w:pPr>
        <w:spacing w:after="0" w:line="39" w:lineRule="exact"/>
        <w:rPr>
          <w:sz w:val="20"/>
          <w:szCs w:val="20"/>
          <w:color w:val="auto"/>
        </w:rPr>
      </w:pPr>
    </w:p>
    <w:p>
      <w:pPr>
        <w:jc w:val="both"/>
        <w:ind w:right="580" w:firstLine="749"/>
        <w:spacing w:after="0" w:line="329" w:lineRule="auto"/>
        <w:rPr>
          <w:sz w:val="20"/>
          <w:szCs w:val="20"/>
          <w:color w:val="auto"/>
        </w:rPr>
      </w:pPr>
      <w:r>
        <w:rPr>
          <w:rFonts w:ascii="Arial" w:cs="Arial" w:eastAsia="Arial" w:hAnsi="Arial"/>
          <w:sz w:val="16"/>
          <w:szCs w:val="16"/>
          <w:color w:val="auto"/>
        </w:rPr>
        <w:t>The COVID-19 pandemic and the related adverse public health developments, including orders to shelter-in-place, travel restrictions, and mandated business closures, have adversely affected workforces, organizations, customers, economies, and financial markets globally, leading to an economic downturn and increased market volatility. It has also disrupted the normal operations of many businesses, including ours.</w:t>
      </w:r>
    </w:p>
    <w:p>
      <w:pPr>
        <w:spacing w:after="0" w:line="40" w:lineRule="exact"/>
        <w:rPr>
          <w:sz w:val="20"/>
          <w:szCs w:val="20"/>
          <w:color w:val="auto"/>
        </w:rPr>
      </w:pPr>
    </w:p>
    <w:p>
      <w:pPr>
        <w:ind w:right="140" w:firstLine="749"/>
        <w:spacing w:after="0" w:line="309" w:lineRule="auto"/>
        <w:rPr>
          <w:sz w:val="20"/>
          <w:szCs w:val="20"/>
          <w:color w:val="auto"/>
        </w:rPr>
      </w:pPr>
      <w:r>
        <w:rPr>
          <w:rFonts w:ascii="Arial" w:cs="Arial" w:eastAsia="Arial" w:hAnsi="Arial"/>
          <w:sz w:val="16"/>
          <w:szCs w:val="16"/>
          <w:color w:val="auto"/>
        </w:rPr>
        <w:t>In response to the pandemic, we temporarily closed our global offices, including our corporate headquarters, suspended all company-related travel, and all HubSpot employees globally were required to work from home for several months during the height of the pandemic. We shifted our Solutions Partner events, INBOUND 2020 and INBOUND 2021 to virtual-only experiences and have cancelled other customer and industry events. Although we have begun to slowly re-open our offices on a staggered, region-by-region basis in accordance with local authority guidelines, we may deem it advisable to similarly alter, postpone or cancel entirely additional customer, employee or industry events in the future. All of these changes may disrupt the way we operate our business. In addition, our management team has, and will likely continue, to spend significant time, attention and resources monitoring the COVID-19 pandemic and seeking to minimize the risk of the virus and manage its effects on our business and workforce.</w:t>
      </w:r>
    </w:p>
    <w:p>
      <w:pPr>
        <w:spacing w:after="0" w:line="56" w:lineRule="exact"/>
        <w:rPr>
          <w:sz w:val="20"/>
          <w:szCs w:val="20"/>
          <w:color w:val="auto"/>
        </w:rPr>
      </w:pPr>
    </w:p>
    <w:p>
      <w:pPr>
        <w:ind w:right="80" w:firstLine="749"/>
        <w:spacing w:after="0" w:line="314" w:lineRule="auto"/>
        <w:rPr>
          <w:sz w:val="20"/>
          <w:szCs w:val="20"/>
          <w:color w:val="auto"/>
        </w:rPr>
      </w:pPr>
      <w:r>
        <w:rPr>
          <w:rFonts w:ascii="Arial" w:cs="Arial" w:eastAsia="Arial" w:hAnsi="Arial"/>
          <w:sz w:val="16"/>
          <w:szCs w:val="16"/>
          <w:color w:val="auto"/>
        </w:rPr>
        <w:t>Moreover, the conditions caused by the pandemic may affect the rate of spending on software products and may adversely affect our customers’ ability or willingness to purchase our offerings; the timing of our current or prospective customers’ purchasing decisions; pricing discounts or extended payment terms; reductions in the amount or duration of customers’ subscription contracts; or increase customer attrition rates, all of which could adversely affect our future sales, operating results and overall financial performance. If the pandemic and its residual effects have a substantial impact on the ability of our customers to purchase our offerings, our results of operations, and overall financial performance may be harmed.</w:t>
      </w:r>
    </w:p>
    <w:p>
      <w:pPr>
        <w:spacing w:after="0" w:line="52" w:lineRule="exact"/>
        <w:rPr>
          <w:sz w:val="20"/>
          <w:szCs w:val="20"/>
          <w:color w:val="auto"/>
        </w:rPr>
      </w:pPr>
    </w:p>
    <w:p>
      <w:pPr>
        <w:ind w:right="20" w:firstLine="749"/>
        <w:spacing w:after="0" w:line="296" w:lineRule="auto"/>
        <w:rPr>
          <w:sz w:val="20"/>
          <w:szCs w:val="20"/>
          <w:color w:val="auto"/>
        </w:rPr>
      </w:pPr>
      <w:r>
        <w:rPr>
          <w:rFonts w:ascii="Arial" w:cs="Arial" w:eastAsia="Arial" w:hAnsi="Arial"/>
          <w:sz w:val="17"/>
          <w:szCs w:val="17"/>
          <w:color w:val="auto"/>
        </w:rPr>
        <w:t>The duration and extent of the impact from the pandemic depends on future developments that cannot be accurately predicted at this time, such as the severity and transmission rate of the virus, future spikes of COVID-19 infections (including the spread of variants or mutant strains), the extent and effectiveness of containment actions, the disruption caused by such actions, and the impact of these and other factors on our employees, customers, partners and vendors. If we are not able to respond to and manage the impact of such events effectively, our business will be harmed.</w:t>
      </w:r>
    </w:p>
    <w:p>
      <w:pPr>
        <w:spacing w:after="0" w:line="62" w:lineRule="exact"/>
        <w:rPr>
          <w:sz w:val="20"/>
          <w:szCs w:val="20"/>
          <w:color w:val="auto"/>
        </w:rPr>
      </w:pPr>
    </w:p>
    <w:p>
      <w:pPr>
        <w:ind w:right="80" w:firstLine="749"/>
        <w:spacing w:after="0" w:line="319" w:lineRule="auto"/>
        <w:rPr>
          <w:sz w:val="20"/>
          <w:szCs w:val="20"/>
          <w:color w:val="auto"/>
        </w:rPr>
      </w:pPr>
      <w:r>
        <w:rPr>
          <w:rFonts w:ascii="Arial" w:cs="Arial" w:eastAsia="Arial" w:hAnsi="Arial"/>
          <w:sz w:val="16"/>
          <w:szCs w:val="16"/>
          <w:color w:val="auto"/>
        </w:rPr>
        <w:t>To the extent the pandemic adversely affects our business and financial results, it may also have the effect of heightening many of the other risks described in this “Risk Factors” section, including, in particular, risks related to our dependence on customer renewals, the addition of new customers and increased revenue from existing customer, risks that our operating results could be negatively affected by changes in the sizes or types of businesses that purchase our platform and the risk that weakened global economic conditions may harm our industry, business and results of operations.</w:t>
      </w:r>
    </w:p>
    <w:p>
      <w:pPr>
        <w:spacing w:after="0" w:line="264"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b w:val="1"/>
          <w:bCs w:val="1"/>
          <w:i w:val="1"/>
          <w:iCs w:val="1"/>
          <w:color w:val="auto"/>
        </w:rPr>
        <w:t>We are dependent upon customer renewals, the addition of new customers, increased revenue from existing customers and the continued growth of the market for a CRM Platform.</w:t>
      </w:r>
    </w:p>
    <w:p>
      <w:pPr>
        <w:spacing w:after="0" w:line="62"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We derive, and expect to continue to derive, a substantial portion of our revenue from the sale of subscriptions to our CRM Platform. The market for inbound marketing, sales and customer service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p>
      <w:pPr>
        <w:jc w:val="both"/>
        <w:ind w:right="140"/>
        <w:spacing w:after="0" w:line="279" w:lineRule="auto"/>
        <w:rPr>
          <w:sz w:val="20"/>
          <w:szCs w:val="20"/>
          <w:color w:val="auto"/>
        </w:rPr>
      </w:pPr>
      <w:r>
        <w:rPr>
          <w:rFonts w:ascii="Arial" w:cs="Arial" w:eastAsia="Arial" w:hAnsi="Arial"/>
          <w:sz w:val="18"/>
          <w:szCs w:val="18"/>
          <w:color w:val="auto"/>
        </w:rPr>
        <w:t>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subscription renewal rates may decrease, and any decrease could harm our future revenue and operating results.</w:t>
      </w:r>
    </w:p>
    <w:p>
      <w:pPr>
        <w:spacing w:after="0" w:line="131"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 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26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from both established and new companies offering marketing, sales and customer service software and other related applications, as well as internally developed software, which may harm our ability to add new customers, retain existing customers and grow our business.</w:t>
      </w:r>
    </w:p>
    <w:p>
      <w:pPr>
        <w:spacing w:after="0" w:line="89" w:lineRule="exact"/>
        <w:rPr>
          <w:sz w:val="20"/>
          <w:szCs w:val="20"/>
          <w:color w:val="auto"/>
        </w:rPr>
      </w:pPr>
    </w:p>
    <w:p>
      <w:pPr>
        <w:ind w:right="80" w:firstLine="509"/>
        <w:spacing w:after="0" w:line="279" w:lineRule="auto"/>
        <w:rPr>
          <w:sz w:val="20"/>
          <w:szCs w:val="20"/>
          <w:color w:val="auto"/>
        </w:rPr>
      </w:pPr>
      <w:r>
        <w:rPr>
          <w:rFonts w:ascii="Arial" w:cs="Arial" w:eastAsia="Arial" w:hAnsi="Arial"/>
          <w:sz w:val="18"/>
          <w:szCs w:val="18"/>
          <w:color w:val="auto"/>
        </w:rPr>
        <w:t>The marketing, sales, customer service,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83"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face intense competition from other software companies that develop marketing, sales, customer service, and content management software and from marketing services companies that provide interactive marketing services. Competition could significantly impede our ability to sell subscriptions to our CRM Platform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competitors include: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cloud-based marketing automation providers;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email marketing software vendors;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force automation and CRM software vendors;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large-scale enterprise suites;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customer service software providers;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content management systems.</w:t>
      </w:r>
    </w:p>
    <w:p>
      <w:pPr>
        <w:spacing w:after="0" w:line="239"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marketing software offerings. Some of these companies have acquired social media marketing and other marketing software providers to integrate with their broader offerings.</w:t>
      </w:r>
    </w:p>
    <w:p>
      <w:pPr>
        <w:spacing w:after="0" w:line="163" w:lineRule="exact"/>
        <w:rPr>
          <w:sz w:val="20"/>
          <w:szCs w:val="20"/>
          <w:color w:val="auto"/>
        </w:rPr>
      </w:pPr>
    </w:p>
    <w:p>
      <w:pPr>
        <w:ind w:right="420" w:firstLine="509"/>
        <w:spacing w:after="0" w:line="293" w:lineRule="auto"/>
        <w:rPr>
          <w:sz w:val="20"/>
          <w:szCs w:val="20"/>
          <w:color w:val="auto"/>
        </w:rPr>
      </w:pPr>
      <w:r>
        <w:rPr>
          <w:rFonts w:ascii="Arial" w:cs="Arial" w:eastAsia="Arial" w:hAnsi="Arial"/>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6" w:name="page37"/>
    <w:bookmarkEnd w:id="36"/>
    <w:p>
      <w:pPr>
        <w:ind w:right="20"/>
        <w:spacing w:after="0" w:line="311" w:lineRule="auto"/>
        <w:rPr>
          <w:sz w:val="20"/>
          <w:szCs w:val="20"/>
          <w:color w:val="auto"/>
        </w:rPr>
      </w:pPr>
      <w:r>
        <w:rPr>
          <w:rFonts w:ascii="Arial" w:cs="Arial" w:eastAsia="Arial" w:hAnsi="Arial"/>
          <w:sz w:val="16"/>
          <w:szCs w:val="16"/>
          <w:color w:val="auto"/>
        </w:rPr>
        <w:t>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CRM Platform could substantially decline.</w:t>
      </w:r>
    </w:p>
    <w:p>
      <w:pPr>
        <w:spacing w:after="0" w:line="163" w:lineRule="exact"/>
        <w:rPr>
          <w:sz w:val="20"/>
          <w:szCs w:val="20"/>
          <w:color w:val="auto"/>
        </w:rPr>
      </w:pPr>
    </w:p>
    <w:p>
      <w:pPr>
        <w:ind w:right="80" w:firstLine="509"/>
        <w:spacing w:after="0" w:line="272"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285"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We have experienced rapid growth and organizational change in recent periods and expect continued future growth. If we fail to manage our growth effectively, we may be unable to execute our business plan, maintain high levels of service or address competitive challenges adequately.</w:t>
      </w:r>
    </w:p>
    <w:p>
      <w:pPr>
        <w:spacing w:after="0" w:line="6"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Our headcount and operations have grown substantially. For example, we had 4,981 full-time employees as of June 30, 2021, compared with 4,225 as of December 31, 2020 and we have opened 8 international offices since 2012. We also plan to open additional offices in the future. This growth has placed, and will continue to place, a significant strain on our management, administrative, operational and financial infrastructure. We anticipate further growth will be required to address increases in our product offerings and continued expansion. Our success will depend in part upon our ability to recruit, hire, train, manage and integrate a significant number of qualified managers, technical personnel and employees in specialized roles within our company, including in technology, sales and marketing.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 long-term continuation of these restrictions could, among other things, negatively impact employee morale and productivity. Any failure to preserve our culture could harm our future success, including our ability to retain and recruit personnel, innovate and operate effectively and execute on our business strategy. Additionally, as our employees work remotely from geographic areas across the globe and more of our employees work remotely on a permanent basis due to the pandemic, and pursuant to our newly implemented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and we may experience unpredictability in our expenses and employee work culture. If we experience any of these effects in connection with future growth, if our new employees perform poorly, or if we are unsuccessful in recruiting, hiring, training, managing and integrating these new employees, or retaining these or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69"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In addition, to manage the expected continued growth of our headcount, operations and geographic expansion, we will need to continue to expand our information technology infrastructure, operational, financial and management systems and procedures. Our anticipated additional headcount and capital investments will increase our costs, which will make it more difficult for us to address any future revenue shortfalls by reducing expenses in the short term. If we fail to successfully manage our growth, we will be unable to successfully execute our business plan, which could have a negative impact on our business, results of operations or financial condition.</w:t>
      </w:r>
    </w:p>
    <w:p>
      <w:pPr>
        <w:spacing w:after="0" w:line="191" w:lineRule="exact"/>
        <w:rPr>
          <w:sz w:val="20"/>
          <w:szCs w:val="20"/>
          <w:color w:val="auto"/>
        </w:rPr>
      </w:pPr>
    </w:p>
    <w:p>
      <w:pPr>
        <w:ind w:right="520"/>
        <w:spacing w:after="0" w:line="293" w:lineRule="auto"/>
        <w:rPr>
          <w:sz w:val="20"/>
          <w:szCs w:val="20"/>
          <w:color w:val="auto"/>
        </w:rPr>
      </w:pPr>
      <w:r>
        <w:rPr>
          <w:rFonts w:ascii="Arial" w:cs="Arial" w:eastAsia="Arial" w:hAnsi="Arial"/>
          <w:sz w:val="18"/>
          <w:szCs w:val="18"/>
          <w:b w:val="1"/>
          <w:bCs w:val="1"/>
          <w:i w:val="1"/>
          <w:iCs w:val="1"/>
          <w:color w:val="auto"/>
        </w:rPr>
        <w:t>Failure to effectively develop and expand our marketing, sales, customer service, and content management capabilities could harm our ability to increase our customer base and achieve broader market acceptance of our platform.</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auto"/>
        </w:rPr>
        <w:t>To increase Total Customers and achieve broader market acceptance of our CRM Platform, we will need to continue to expand our marketing, sales, customer service and content management operations,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CRM Platform.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212529"/>
        </w:rPr>
        <w:t>The rate of growth of our business depends on the continued participation and level of service of our Solutions Partners.</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212529"/>
        </w:rPr>
        <w:t xml:space="preserve">We rely on our Solutions Partners to provide certain services to our customers, as well as pursue sales of our </w:t>
      </w:r>
      <w:r>
        <w:rPr>
          <w:rFonts w:ascii="Arial" w:cs="Arial" w:eastAsia="Arial" w:hAnsi="Arial"/>
          <w:sz w:val="16"/>
          <w:szCs w:val="16"/>
          <w:color w:val="000000"/>
        </w:rPr>
        <w:t>CRM</w:t>
      </w:r>
      <w:r>
        <w:rPr>
          <w:rFonts w:ascii="Arial" w:cs="Arial" w:eastAsia="Arial" w:hAnsi="Arial"/>
          <w:sz w:val="16"/>
          <w:szCs w:val="16"/>
          <w:color w:val="212529"/>
        </w:rPr>
        <w:t xml:space="preserve">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our inbound thought leadership position, our business may suffer.</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believe that maintaining our thought leadership position in inbound marketing, sales, services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CRM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286"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requirements, our CRM Platform may become less competitive.</w:t>
      </w:r>
    </w:p>
    <w:p>
      <w:pPr>
        <w:spacing w:after="0" w:line="62" w:lineRule="exact"/>
        <w:rPr>
          <w:sz w:val="20"/>
          <w:szCs w:val="20"/>
          <w:color w:val="auto"/>
        </w:rPr>
      </w:pPr>
    </w:p>
    <w:p>
      <w:pPr>
        <w:ind w:right="140" w:firstLine="509"/>
        <w:spacing w:after="0" w:line="287" w:lineRule="auto"/>
        <w:rPr>
          <w:sz w:val="20"/>
          <w:szCs w:val="20"/>
          <w:color w:val="auto"/>
        </w:rPr>
      </w:pPr>
      <w:r>
        <w:rPr>
          <w:rFonts w:ascii="Arial" w:cs="Arial" w:eastAsia="Arial" w:hAnsi="Arial"/>
          <w:sz w:val="17"/>
          <w:szCs w:val="17"/>
          <w:color w:val="auto"/>
        </w:rPr>
        <w:t>Our future success depends on our ability to adapt and innovate our CRM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CRM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may suffer.</w:t>
      </w:r>
    </w:p>
    <w:p>
      <w:pPr>
        <w:spacing w:after="0" w:line="239" w:lineRule="exact"/>
        <w:rPr>
          <w:sz w:val="20"/>
          <w:szCs w:val="20"/>
          <w:color w:val="auto"/>
        </w:rPr>
      </w:pPr>
    </w:p>
    <w:p>
      <w:pPr>
        <w:ind w:right="60" w:firstLine="509"/>
        <w:spacing w:after="0" w:line="270" w:lineRule="auto"/>
        <w:rPr>
          <w:sz w:val="20"/>
          <w:szCs w:val="20"/>
          <w:color w:val="auto"/>
        </w:rPr>
      </w:pPr>
      <w:r>
        <w:rPr>
          <w:rFonts w:ascii="Arial" w:cs="Arial" w:eastAsia="Arial" w:hAnsi="Arial"/>
          <w:sz w:val="18"/>
          <w:szCs w:val="18"/>
          <w:color w:val="auto"/>
        </w:rPr>
        <w:t>High-quality education, training and customer support are important for the successful marketing, sale and use of our CRM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CRM Platform and provide effective ongoing support, our ability to sell additional functionality and services to, or to retain, existing customers may suffer and our reputation with existing or potential customers may be harmed.</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70"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As usage of our CRM Platform grows and as customers use our platform for additional inbound applications, such as sales and services, we will need to devote additional resources to improving our application architecture, integrating with third-party systems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38" w:name="page39"/>
    <w:bookmarkEnd w:id="38"/>
    <w:p>
      <w:pPr>
        <w:ind w:right="20"/>
        <w:spacing w:after="0" w:line="306" w:lineRule="auto"/>
        <w:rPr>
          <w:sz w:val="20"/>
          <w:szCs w:val="20"/>
          <w:color w:val="auto"/>
        </w:rPr>
      </w:pPr>
      <w:r>
        <w:rPr>
          <w:rFonts w:ascii="Arial" w:cs="Arial" w:eastAsia="Arial" w:hAnsi="Arial"/>
          <w:sz w:val="16"/>
          <w:szCs w:val="16"/>
          <w:color w:val="auto"/>
        </w:rPr>
        <w:t>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CRM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affect our financial results.</w:t>
      </w:r>
    </w:p>
    <w:p>
      <w:pPr>
        <w:spacing w:after="0" w:line="278"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To remain competitive, we must continue to develop new product offerings, applications, features and enhancements to our existing CRM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289"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84"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b w:val="1"/>
          <w:bCs w:val="1"/>
          <w:i w:val="1"/>
          <w:iCs w:val="1"/>
          <w:color w:val="auto"/>
        </w:rPr>
        <w:t>Changes in the sizes or types of businesses that purchase our platform or in the applications within our CRM Platform purchased or used by our customers could negatively affect our operating results.</w:t>
      </w:r>
    </w:p>
    <w:p>
      <w:pPr>
        <w:spacing w:after="0" w:line="62" w:lineRule="exact"/>
        <w:rPr>
          <w:sz w:val="20"/>
          <w:szCs w:val="20"/>
          <w:color w:val="auto"/>
        </w:rPr>
      </w:pPr>
    </w:p>
    <w:p>
      <w:pPr>
        <w:ind w:firstLine="509"/>
        <w:spacing w:after="0" w:line="281" w:lineRule="auto"/>
        <w:rPr>
          <w:sz w:val="20"/>
          <w:szCs w:val="20"/>
          <w:color w:val="auto"/>
        </w:rPr>
      </w:pPr>
      <w:r>
        <w:rPr>
          <w:rFonts w:ascii="Arial" w:cs="Arial" w:eastAsia="Arial" w:hAnsi="Arial"/>
          <w:sz w:val="17"/>
          <w:szCs w:val="17"/>
          <w:color w:val="auto"/>
        </w:rPr>
        <w:t>Our strategy is to sell subscriptions to our CRM Platform to mid-sized businesses, but we have sold and will continue to sell to organizations ranging from small businesses to enterprises. Our gross margins can vary depending on numerous factors related to the implementation and use of our CRM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5"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74"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the acquisition of PieSync in 2019 and the Hustle in 2021. We may not be able to fully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9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9" w:name="page40"/>
    <w:bookmarkEnd w:id="39"/>
    <w:p>
      <w:pPr>
        <w:ind w:right="20"/>
        <w:spacing w:after="0" w:line="285" w:lineRule="auto"/>
        <w:rPr>
          <w:sz w:val="20"/>
          <w:szCs w:val="20"/>
          <w:color w:val="auto"/>
        </w:rPr>
      </w:pPr>
      <w:r>
        <w:rPr>
          <w:rFonts w:ascii="Arial" w:cs="Arial" w:eastAsia="Arial" w:hAnsi="Arial"/>
          <w:sz w:val="17"/>
          <w:szCs w:val="17"/>
          <w:color w:val="auto"/>
        </w:rPr>
        <w:t>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the inability to recognize acquired deferred revenue in accordance with our revenue recognition policies; and use of substantial portions of our available cash or the incurrence of debt to consummate the acquisition. 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82" w:lineRule="exact"/>
        <w:rPr>
          <w:sz w:val="20"/>
          <w:szCs w:val="20"/>
          <w:color w:val="auto"/>
        </w:rPr>
      </w:pPr>
    </w:p>
    <w:p>
      <w:pPr>
        <w:ind w:firstLine="509"/>
        <w:spacing w:after="0" w:line="27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2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420" w:firstLine="509"/>
        <w:spacing w:after="0" w:line="286" w:lineRule="auto"/>
        <w:rPr>
          <w:sz w:val="20"/>
          <w:szCs w:val="20"/>
          <w:color w:val="auto"/>
        </w:rPr>
      </w:pPr>
      <w:r>
        <w:rPr>
          <w:rFonts w:ascii="Arial" w:cs="Arial" w:eastAsia="Arial" w:hAnsi="Arial"/>
          <w:sz w:val="17"/>
          <w:szCs w:val="17"/>
          <w:color w:val="auto"/>
        </w:rPr>
        <w:t>A component of our growth strategy involves the further expansion of our operations and customer base internationally. We have opened 8 international offices since 2012. We also plan to open additional offices in the future. These international offices focus primarily on sales, professional services and support. Our current international operations and future initiatives will involve a variety of risks, including:</w:t>
      </w:r>
    </w:p>
    <w:p>
      <w:pPr>
        <w:spacing w:after="0" w:line="5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difficulties in maintaining our company culture with a dispersed and distant workforce;</w:t>
      </w:r>
    </w:p>
    <w:p>
      <w:pPr>
        <w:spacing w:after="0" w:line="117" w:lineRule="exact"/>
        <w:rPr>
          <w:sz w:val="20"/>
          <w:szCs w:val="20"/>
          <w:color w:val="auto"/>
        </w:rPr>
      </w:pPr>
    </w:p>
    <w:p>
      <w:pPr>
        <w:ind w:left="960" w:right="860"/>
        <w:spacing w:after="0" w:line="277" w:lineRule="auto"/>
        <w:rPr>
          <w:sz w:val="20"/>
          <w:szCs w:val="20"/>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unexpected changes in regulatory requirements, taxes or trade laws;</w:t>
      </w:r>
    </w:p>
    <w:p>
      <w:pPr>
        <w:spacing w:after="0" w:line="117" w:lineRule="exact"/>
        <w:rPr>
          <w:sz w:val="20"/>
          <w:szCs w:val="20"/>
          <w:color w:val="auto"/>
        </w:rPr>
      </w:pPr>
    </w:p>
    <w:p>
      <w:pPr>
        <w:ind w:left="960" w:right="40"/>
        <w:spacing w:after="0" w:line="277" w:lineRule="auto"/>
        <w:rPr>
          <w:sz w:val="20"/>
          <w:szCs w:val="20"/>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2" w:lineRule="exact"/>
        <w:rPr>
          <w:sz w:val="20"/>
          <w:szCs w:val="20"/>
          <w:color w:val="auto"/>
        </w:rPr>
      </w:pPr>
    </w:p>
    <w:p>
      <w:pPr>
        <w:ind w:left="960" w:right="80"/>
        <w:spacing w:after="0" w:line="277" w:lineRule="auto"/>
        <w:rPr>
          <w:sz w:val="20"/>
          <w:szCs w:val="20"/>
          <w:color w:val="auto"/>
        </w:rPr>
      </w:pPr>
      <w:r>
        <w:rPr>
          <w:rFonts w:ascii="Arial" w:cs="Arial" w:eastAsia="Arial" w:hAnsi="Arial"/>
          <w:sz w:val="18"/>
          <w:szCs w:val="18"/>
          <w:color w:val="auto"/>
        </w:rPr>
        <w:t>challenges inherent in efficiently managing an increased number of employees, including remote employees, over large geographic distances, including the need to implement appropriate systems, policies, benefits and compliance programs;</w:t>
      </w:r>
    </w:p>
    <w:p>
      <w:pPr>
        <w:spacing w:after="0" w:line="62"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global economic uncertainty caused by global political events, including the United Kingdom's exit from the European Union, on January 31, 2020, or "Brexit", and similar geopolitical developments;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limited or insufficient intellectual property protection;</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political instability or terrorist activities;</w:t>
      </w:r>
    </w:p>
    <w:p>
      <w:pPr>
        <w:spacing w:after="0" w:line="117"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960" w:right="680"/>
        <w:spacing w:after="0" w:line="440" w:lineRule="auto"/>
        <w:rPr>
          <w:sz w:val="20"/>
          <w:szCs w:val="20"/>
          <w:color w:val="auto"/>
        </w:rPr>
      </w:pPr>
      <w:r>
        <w:rPr>
          <w:rFonts w:ascii="Arial" w:cs="Arial" w:eastAsia="Arial" w:hAnsi="Arial"/>
          <w:sz w:val="17"/>
          <w:szCs w:val="17"/>
          <w:color w:val="auto"/>
        </w:rPr>
        <w:t>which likelihood may increase with an increase of sales or operations in foreign jurisdictions and operations in certain industries; and adverse tax burdens and foreign exchange controls that could make it difficult to repatriate earnings and cash.</w:t>
      </w:r>
    </w:p>
    <w:p>
      <w:pPr>
        <w:spacing w:after="0" w:line="3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w:t>
      </w:r>
    </w:p>
    <w:p>
      <w:pPr>
        <w:spacing w:after="0" w:line="3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We believe that a critical component to our success has been our company culture, which is based on transparency and personal autonomy. We have invested substantial time and resources in building our team within this company culture. In the third quarter of 2020, we made the decision to permanently move to a hybrid workplace model, which means that as of January 1, 2021, our employees will have the option to be fully remote, work full-time from one of our offices, or have the flexibility to work both in the office and remotely. Furthermore, while we have begun to slowly re-open our offices on a staggered, region-by-region basis in accordance with local authority guidelines, preservation of our corporate culture has been made more difficult as our work force has been working from home in connection with restrictions placed upon businesses due to the pandemic. Any failure to preserve our culture could negatively affect our ability to retain and recruit personnel and to effectively focus on and pursue our corporate objectives. As we grow and continue to develop our company infrastructure, we may find it difficult to maintain these important aspects of our company culture and our business may be adversely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management team and other key employees, and the loss of one or more key employees could harm our business.</w:t>
      </w:r>
    </w:p>
    <w:p>
      <w:pPr>
        <w:spacing w:after="0" w:line="131" w:lineRule="exact"/>
        <w:rPr>
          <w:sz w:val="20"/>
          <w:szCs w:val="20"/>
          <w:color w:val="auto"/>
        </w:rPr>
      </w:pPr>
    </w:p>
    <w:p>
      <w:pPr>
        <w:ind w:right="40" w:firstLine="509"/>
        <w:spacing w:after="0" w:line="288" w:lineRule="auto"/>
        <w:rPr>
          <w:sz w:val="20"/>
          <w:szCs w:val="20"/>
          <w:color w:val="auto"/>
        </w:rPr>
      </w:pPr>
      <w:r>
        <w:rPr>
          <w:rFonts w:ascii="Arial" w:cs="Arial" w:eastAsia="Arial" w:hAnsi="Arial"/>
          <w:sz w:val="17"/>
          <w:szCs w:val="17"/>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131" w:lineRule="exact"/>
        <w:rPr>
          <w:sz w:val="20"/>
          <w:szCs w:val="20"/>
          <w:color w:val="auto"/>
        </w:rPr>
      </w:pPr>
    </w:p>
    <w:p>
      <w:pPr>
        <w:ind w:right="100" w:firstLine="509"/>
        <w:spacing w:after="0" w:line="305" w:lineRule="auto"/>
        <w:rPr>
          <w:sz w:val="20"/>
          <w:szCs w:val="20"/>
          <w:color w:val="auto"/>
        </w:rPr>
      </w:pPr>
      <w:r>
        <w:rPr>
          <w:rFonts w:ascii="Arial" w:cs="Arial" w:eastAsia="Arial" w:hAnsi="Arial"/>
          <w:sz w:val="16"/>
          <w:szCs w:val="16"/>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In addition, in making employment decisions, particularly in the software industry, job candidates often consider the value of the stock options or other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Technical Operations Infrastructure and Dependence on Third Parties</w:t>
      </w:r>
    </w:p>
    <w:p>
      <w:pPr>
        <w:spacing w:after="0" w:line="324"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52" w:lineRule="exact"/>
        <w:rPr>
          <w:sz w:val="20"/>
          <w:szCs w:val="20"/>
          <w:color w:val="auto"/>
        </w:rPr>
      </w:pPr>
    </w:p>
    <w:p>
      <w:pPr>
        <w:ind w:right="40" w:firstLine="578"/>
        <w:spacing w:after="0" w:line="309" w:lineRule="auto"/>
        <w:rPr>
          <w:sz w:val="20"/>
          <w:szCs w:val="20"/>
          <w:color w:val="auto"/>
        </w:rPr>
      </w:pPr>
      <w:r>
        <w:rPr>
          <w:rFonts w:ascii="Arial" w:cs="Arial" w:eastAsia="Arial" w:hAnsi="Arial"/>
          <w:sz w:val="16"/>
          <w:szCs w:val="16"/>
          <w:color w:val="auto"/>
        </w:rPr>
        <w:t>We currently serve the majority of our platform functions from third-party data center hosting facilities operated by Amazon Web Services located in northern Virginia and Google Cloud Platform located in Frankfurt, Germany. In addition, we serve ancillary functions for our customers from third-party data center hosting facilities operated by Rackspace located in Dallas, Texas, with a backup facility in Chicago, Illinois. Our operations depend, in part, on our third-party facility providers’ abilities to protect these facilities against damage or interruption from natural disasters, such as earthquakes and hurricanes, actual or threatened public health emergency (e.g., COVID-19), power or telecommunications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164" w:lineRule="exact"/>
        <w:rPr>
          <w:sz w:val="20"/>
          <w:szCs w:val="20"/>
          <w:color w:val="auto"/>
        </w:rPr>
      </w:pPr>
    </w:p>
    <w:p>
      <w:pPr>
        <w:ind w:right="80" w:firstLine="578"/>
        <w:spacing w:after="0" w:line="270"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on-demand software.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8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our CRM Platform has outages or fails due to defects or similar problems, and if we fail to correct any defect or other software problems, we could lose customers, become subject to service performance or warranty claims or incur significant costs.</w:t>
      </w:r>
    </w:p>
    <w:p>
      <w:pPr>
        <w:spacing w:after="0" w:line="76" w:lineRule="exact"/>
        <w:rPr>
          <w:sz w:val="20"/>
          <w:szCs w:val="20"/>
          <w:color w:val="auto"/>
        </w:rPr>
      </w:pPr>
    </w:p>
    <w:p>
      <w:pPr>
        <w:ind w:right="20" w:firstLine="578"/>
        <w:spacing w:after="0" w:line="304" w:lineRule="auto"/>
        <w:rPr>
          <w:sz w:val="20"/>
          <w:szCs w:val="20"/>
          <w:color w:val="auto"/>
        </w:rPr>
      </w:pPr>
      <w:r>
        <w:rPr>
          <w:rFonts w:ascii="Arial" w:cs="Arial" w:eastAsia="Arial" w:hAnsi="Arial"/>
          <w:sz w:val="16"/>
          <w:szCs w:val="16"/>
          <w:color w:val="auto"/>
        </w:rPr>
        <w:t>Our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Although no data from prior to the outage was lost, our customers experienced disruptions in using our platform during the outage.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73" w:lineRule="exact"/>
        <w:rPr>
          <w:sz w:val="20"/>
          <w:szCs w:val="20"/>
          <w:color w:val="auto"/>
        </w:rPr>
      </w:pPr>
    </w:p>
    <w:p>
      <w:pPr>
        <w:ind w:firstLine="578"/>
        <w:spacing w:after="0" w:line="275" w:lineRule="auto"/>
        <w:rPr>
          <w:sz w:val="20"/>
          <w:szCs w:val="20"/>
          <w:color w:val="auto"/>
        </w:rPr>
      </w:pPr>
      <w:r>
        <w:rPr>
          <w:rFonts w:ascii="Arial" w:cs="Arial" w:eastAsia="Arial" w:hAnsi="Arial"/>
          <w:sz w:val="18"/>
          <w:szCs w:val="18"/>
          <w:color w:val="auto"/>
        </w:rPr>
        <w:t>In addition, third-party apps and features on our CRM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continued availability of third-party data hosting and transmission services.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CRM Platform or services to cover the changes. As a result, our operating results may be significantly worse than forecasted.</w:t>
      </w:r>
    </w:p>
    <w:p>
      <w:pPr>
        <w:spacing w:after="0" w:line="29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If we do not or cannot maintain the compatibility of our CRM Platform with third-party applications that our customers use in their businesses, our revenue will decline.</w:t>
      </w:r>
    </w:p>
    <w:p>
      <w:pPr>
        <w:spacing w:after="0" w:line="7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CRM Platform depends, in part, on our ability to integrate our platform with third-party applications and platforms, including CRM, CMS, e-commerce, call center, analytics and social media sites that our customers use and from which they obtain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2" w:name="page43"/>
    <w:bookmarkEnd w:id="42"/>
    <w:p>
      <w:pPr>
        <w:spacing w:after="0" w:line="270" w:lineRule="auto"/>
        <w:rPr>
          <w:sz w:val="20"/>
          <w:szCs w:val="20"/>
          <w:color w:val="auto"/>
        </w:rPr>
      </w:pPr>
      <w:r>
        <w:rPr>
          <w:rFonts w:ascii="Arial" w:cs="Arial" w:eastAsia="Arial" w:hAnsi="Arial"/>
          <w:sz w:val="18"/>
          <w:szCs w:val="18"/>
          <w:color w:val="auto"/>
        </w:rPr>
        <w:t>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data provided by third parties, the loss of which could limit the functionality of our platform and disrupt our business.</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Select functionality of our CRM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Privacy concerns and end users’ acceptance of Internet behavior tracking may limit the applicability, use and adoption of our CRM Platform.</w:t>
      </w:r>
    </w:p>
    <w:p>
      <w:pPr>
        <w:spacing w:after="0" w:line="127"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especially in certain industries that rely on sensitive personal information.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CRM Platform and reduce overall demand for it, or lead to significant fines, penalties or liabilities for any noncompliance or loss of any such action.</w:t>
      </w:r>
    </w:p>
    <w:p>
      <w:pPr>
        <w:spacing w:after="0" w:line="28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If our or our customers’ security measures are compromised or unauthorized access to data of our customers or their customers is otherwise obtained, our CRM Platform may be perceived as not being secure, our customers may be harmed and may curtail or cease their use of our platform, our reputation may be damaged and we may incur significant liabilities.</w:t>
      </w:r>
    </w:p>
    <w:p>
      <w:pPr>
        <w:spacing w:after="0" w:line="195"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Our operations involve the storage and transmission of data of our customers and their customers, including personally identifiable information.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are compromised as a result of third-party action, employee or customer error, malfeasance, stolen or fraudulently obtained log-in credentials or otherwise, our reputation could be damaged, our business may be harmed and we could incur significant liability.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extensive access to our database, which stores our customer data, to our development team to facilitate our rapid pace of product development. If such access or our own operations cause the loss, damage or destruction of our customers’ business data, their sales, lead generation, support and other business operations may be permanently harmed. As a result, our customers may bring claims against us for lost profits and other damages.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ind w:firstLine="509"/>
        <w:spacing w:after="0" w:line="303"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our industry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war and telecommunication and electrical failures.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computer programmers who may attempt to penetrate and sabotage our network security or our website change frequently and may not be recognized until launched against a target, we may be unable to anticipate these techniques. Additionally, during the ongoing pandemic, and potentially beyond as remote work and resource access expand, there is an increased risk that we may experience cybersecurity-related events such as COVID-19 themed phishing attacks, exploitation of any cybersecurity flaws that may exist, an increase in the number cybersecurity threats or attacks, and other security challenges as a result of most of our employees and our service providers continuing to work remotely from non-corporate managed networks. We have previously been, and may in the future become, the target of cyber-attacks by third parties seeking unauthorized access to our or our customers' data or to disrupt our operations or ability to provide our services.</w:t>
      </w:r>
    </w:p>
    <w:p>
      <w:pPr>
        <w:spacing w:after="0" w:line="174" w:lineRule="exact"/>
        <w:rPr>
          <w:sz w:val="20"/>
          <w:szCs w:val="20"/>
          <w:color w:val="auto"/>
        </w:rPr>
      </w:pPr>
    </w:p>
    <w:p>
      <w:pPr>
        <w:ind w:right="80" w:firstLine="509"/>
        <w:spacing w:after="0" w:line="275"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new information on the scope of the attack is continuing to emerge and there is a residual risk that we may experience a security breach arising from the SolarWinds supply chain attack or a similar attack in the future.</w:t>
      </w:r>
    </w:p>
    <w:p>
      <w:pPr>
        <w:spacing w:after="0" w:line="185" w:lineRule="exact"/>
        <w:rPr>
          <w:sz w:val="20"/>
          <w:szCs w:val="20"/>
          <w:color w:val="auto"/>
        </w:rPr>
      </w:pPr>
    </w:p>
    <w:p>
      <w:pPr>
        <w:ind w:right="60" w:firstLine="509"/>
        <w:spacing w:after="0" w:line="308" w:lineRule="auto"/>
        <w:rPr>
          <w:sz w:val="20"/>
          <w:szCs w:val="20"/>
          <w:color w:val="auto"/>
        </w:rPr>
      </w:pPr>
      <w:r>
        <w:rPr>
          <w:rFonts w:ascii="Arial" w:cs="Arial" w:eastAsia="Arial" w:hAnsi="Arial"/>
          <w:sz w:val="16"/>
          <w:szCs w:val="16"/>
          <w:color w:val="auto"/>
        </w:rPr>
        <w:t>If we were to experience a cyberattack and suffer interruptions in our operations, it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and our competitive position could be harmed. Any breach, loss, or compromise of personal data may also subject us to civil fines and penalties, or claims for damages either under the General Data Protection Regulation (the “GDPR”) and relevant member state law in the European Union, other foreign laws, and other relevant state and federal privacy laws in the United States.</w:t>
      </w:r>
    </w:p>
    <w:p>
      <w:pPr>
        <w:spacing w:after="0" w:line="16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Many governments have enacted laws requiring companies to notify individuals of data security incidents or unauthorized transfers involving certain types of personal data. In addition, some of our customers contractually require notification of any data security compromise.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spacing w:after="0" w:line="16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technology infringes the intellectual property rights of others.</w:t>
      </w:r>
    </w:p>
    <w:p>
      <w:pPr>
        <w:spacing w:after="0" w:line="131" w:lineRule="exact"/>
        <w:rPr>
          <w:sz w:val="20"/>
          <w:szCs w:val="20"/>
          <w:color w:val="auto"/>
        </w:rPr>
      </w:pPr>
    </w:p>
    <w:p>
      <w:pPr>
        <w:ind w:right="40" w:firstLine="578"/>
        <w:spacing w:after="0" w:line="272" w:lineRule="auto"/>
        <w:rPr>
          <w:sz w:val="20"/>
          <w:szCs w:val="20"/>
          <w:color w:val="auto"/>
        </w:rPr>
      </w:pPr>
      <w:r>
        <w:rPr>
          <w:rFonts w:ascii="Arial" w:cs="Arial" w:eastAsia="Arial" w:hAnsi="Arial"/>
          <w:sz w:val="18"/>
          <w:szCs w:val="18"/>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7"/>
          <w:szCs w:val="17"/>
          <w:color w:val="auto"/>
        </w:rPr>
        <w:t>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CRM Platform if they are concerned that they may infringe third-party intellectual property rights. The occurrence of any of these events may have a material adverse effect on our business.</w:t>
      </w:r>
    </w:p>
    <w:p>
      <w:pPr>
        <w:spacing w:after="0" w:line="182" w:lineRule="exact"/>
        <w:rPr>
          <w:sz w:val="20"/>
          <w:szCs w:val="20"/>
          <w:color w:val="auto"/>
        </w:rPr>
      </w:pPr>
    </w:p>
    <w:p>
      <w:pPr>
        <w:ind w:right="80" w:firstLine="578"/>
        <w:spacing w:after="0" w:line="309" w:lineRule="auto"/>
        <w:rPr>
          <w:sz w:val="20"/>
          <w:szCs w:val="20"/>
          <w:color w:val="auto"/>
        </w:rPr>
      </w:pPr>
      <w:r>
        <w:rPr>
          <w:rFonts w:ascii="Arial" w:cs="Arial" w:eastAsia="Arial" w:hAnsi="Arial"/>
          <w:sz w:val="16"/>
          <w:szCs w:val="16"/>
          <w:color w:val="auto"/>
        </w:rPr>
        <w:t>In our subscription agreements with our customers, we generally do not agree to indemnify our customers against any losses or costs incurred in connection with claims by a third party alleging that a customer’s use of our services or platform infringes the intellectual property rights of the third party. There can be no assurance, however,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25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76" w:lineRule="exact"/>
        <w:rPr>
          <w:sz w:val="20"/>
          <w:szCs w:val="20"/>
          <w:color w:val="auto"/>
        </w:rPr>
      </w:pPr>
    </w:p>
    <w:p>
      <w:pPr>
        <w:ind w:right="20" w:firstLine="509"/>
        <w:spacing w:after="0" w:line="306"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spacing w:after="0" w:line="165" w:lineRule="exact"/>
        <w:rPr>
          <w:sz w:val="20"/>
          <w:szCs w:val="20"/>
          <w:color w:val="auto"/>
        </w:rPr>
      </w:pPr>
    </w:p>
    <w:p>
      <w:pPr>
        <w:ind w:right="240" w:firstLine="578"/>
        <w:spacing w:after="0" w:line="296"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70" w:lineRule="exact"/>
        <w:rPr>
          <w:sz w:val="20"/>
          <w:szCs w:val="20"/>
          <w:color w:val="auto"/>
        </w:rPr>
      </w:pPr>
    </w:p>
    <w:p>
      <w:pPr>
        <w:ind w:right="40" w:firstLine="578"/>
        <w:spacing w:after="0" w:line="288" w:lineRule="auto"/>
        <w:rPr>
          <w:sz w:val="20"/>
          <w:szCs w:val="20"/>
          <w:color w:val="auto"/>
        </w:rPr>
      </w:pPr>
      <w:r>
        <w:rPr>
          <w:rFonts w:ascii="Arial" w:cs="Arial" w:eastAsia="Arial" w:hAnsi="Arial"/>
          <w:sz w:val="17"/>
          <w:szCs w:val="17"/>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spacing w:after="0" w:line="271" w:lineRule="auto"/>
        <w:rPr>
          <w:sz w:val="20"/>
          <w:szCs w:val="20"/>
          <w:color w:val="auto"/>
        </w:rPr>
      </w:pPr>
      <w:r>
        <w:rPr>
          <w:rFonts w:ascii="Arial" w:cs="Arial" w:eastAsia="Arial" w:hAnsi="Arial"/>
          <w:sz w:val="17"/>
          <w:szCs w:val="17"/>
          <w:color w:val="auto"/>
        </w:rPr>
        <w:t>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33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spacing w:after="0" w:line="87" w:lineRule="exact"/>
        <w:rPr>
          <w:sz w:val="20"/>
          <w:szCs w:val="20"/>
          <w:color w:val="auto"/>
        </w:rPr>
      </w:pPr>
    </w:p>
    <w:p>
      <w:pPr>
        <w:ind w:right="40" w:firstLine="509"/>
        <w:spacing w:after="0" w:line="272"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or FTC, and various state, local and foreign agencies. We collect personally identifiable information and other data from our customers and leads. We also handle personally identifiable information about our customers’ customers. We use this information to provide services to our customers, to support, expand and improve our business. We may also share customers’ personally identifiable information with third parties as authorized by the customer or as described in our privacy policy.</w:t>
      </w:r>
    </w:p>
    <w:p>
      <w:pPr>
        <w:spacing w:after="0" w:line="191" w:lineRule="exact"/>
        <w:rPr>
          <w:sz w:val="20"/>
          <w:szCs w:val="20"/>
          <w:color w:val="auto"/>
        </w:rPr>
      </w:pPr>
    </w:p>
    <w:p>
      <w:pPr>
        <w:ind w:right="20" w:firstLine="509"/>
        <w:spacing w:after="0" w:line="309" w:lineRule="auto"/>
        <w:rPr>
          <w:sz w:val="20"/>
          <w:szCs w:val="20"/>
          <w:color w:val="auto"/>
        </w:rPr>
      </w:pPr>
      <w:r>
        <w:rPr>
          <w:rFonts w:ascii="Arial" w:cs="Arial" w:eastAsia="Arial" w:hAnsi="Arial"/>
          <w:sz w:val="16"/>
          <w:szCs w:val="16"/>
          <w:color w:val="auto"/>
        </w:rPr>
        <w:t>The U.S. federal and various state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Any failure or perceived failure by us to comply with privacy or security laws, policies, legal obligations or industry standards or any security incident that results in the unauthorized release or transfer of personally identifiable information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64" w:lineRule="exact"/>
        <w:rPr>
          <w:sz w:val="20"/>
          <w:szCs w:val="20"/>
          <w:color w:val="auto"/>
        </w:rPr>
      </w:pPr>
    </w:p>
    <w:p>
      <w:pPr>
        <w:ind w:right="20" w:firstLine="509"/>
        <w:spacing w:after="0" w:line="308" w:lineRule="auto"/>
        <w:rPr>
          <w:sz w:val="20"/>
          <w:szCs w:val="20"/>
          <w:color w:val="auto"/>
        </w:rPr>
      </w:pPr>
      <w:r>
        <w:rPr>
          <w:rFonts w:ascii="Arial" w:cs="Arial" w:eastAsia="Arial" w:hAnsi="Arial"/>
          <w:sz w:val="16"/>
          <w:szCs w:val="16"/>
          <w:color w:val="auto"/>
        </w:rPr>
        <w:t>Laws and regulations concerning privacy, data protection and information security are evolving, and changes to such laws and regulations could require us to change features of our platform or restrict our customers’ ability to collect and use email addresses, page viewing data and personal information, which may reduce demand for our platform. Our failure to comply with federal, state and international data privacy laws and regulations could harm our ability to successfully operate our business and pursue our business goals. For example, California recently enacted the California Consumer Privacy Act (the “CCPA”), that, among other things, require covered companies to provide new disclosures to California consumers and afford such consumers new abilities to opt-out of certain sales of personal information. The CCPA recently was amended and it is not yet fully clear how the CCPA will be enforced and how certain of its requirements will be interpreted. We cannot yet predict the impact of the CCPA on our business or operations, but it may require us to modify our data processing practices and policies and to incur substantial costs and expenses in an effort to comply.</w:t>
      </w:r>
    </w:p>
    <w:p>
      <w:pPr>
        <w:spacing w:after="0" w:line="163"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91"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Certain other state laws impose similar privacy obligations and we also expect anticipate that more states to may enact legislation similar to the CCPA, which provides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9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In addition, on March 2, 2021, Virginia enacted the Consumer Data Protection Act (the “CDPA”). The CDPA will become effective January 1, 2023. The CDPA will regulate how businesses (which the CDPA refers to as “controllers”) collect and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6" w:name="page47"/>
    <w:bookmarkEnd w:id="46"/>
    <w:p>
      <w:pPr>
        <w:ind w:right="360"/>
        <w:spacing w:after="0" w:line="329" w:lineRule="auto"/>
        <w:rPr>
          <w:sz w:val="20"/>
          <w:szCs w:val="20"/>
          <w:color w:val="auto"/>
        </w:rPr>
      </w:pPr>
      <w:r>
        <w:rPr>
          <w:rFonts w:ascii="Arial" w:cs="Arial" w:eastAsia="Arial" w:hAnsi="Arial"/>
          <w:sz w:val="16"/>
          <w:szCs w:val="16"/>
          <w:color w:val="auto"/>
        </w:rPr>
        <w:t>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w:t>
      </w:r>
    </w:p>
    <w:p>
      <w:pPr>
        <w:spacing w:after="0" w:line="148" w:lineRule="exact"/>
        <w:rPr>
          <w:sz w:val="20"/>
          <w:szCs w:val="20"/>
          <w:color w:val="auto"/>
        </w:rPr>
      </w:pPr>
    </w:p>
    <w:p>
      <w:pPr>
        <w:ind w:right="100" w:firstLine="509"/>
        <w:spacing w:after="0" w:line="292" w:lineRule="auto"/>
        <w:rPr>
          <w:sz w:val="20"/>
          <w:szCs w:val="20"/>
          <w:color w:val="auto"/>
        </w:rPr>
      </w:pPr>
      <w:r>
        <w:rPr>
          <w:rFonts w:ascii="Arial" w:cs="Arial" w:eastAsia="Arial" w:hAnsi="Arial"/>
          <w:sz w:val="17"/>
          <w:szCs w:val="17"/>
          <w:color w:val="auto"/>
        </w:rPr>
        <w:t>Also, on July 8, 2021, Colorado’s governor signed the Colorado Privacy Act (“CPA”), into law. The CPA will become effective July 1, 2023. The CPA is rather similar to the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 year; or (2) derive revenue or receive a discount on the price of goods or services from the sale of personal data and process or control the personal data of at least 25,000 consumers.</w:t>
      </w:r>
    </w:p>
    <w:p>
      <w:pPr>
        <w:spacing w:after="0" w:line="174" w:lineRule="exact"/>
        <w:rPr>
          <w:sz w:val="20"/>
          <w:szCs w:val="20"/>
          <w:color w:val="auto"/>
        </w:rPr>
      </w:pPr>
    </w:p>
    <w:p>
      <w:pPr>
        <w:ind w:right="20" w:firstLine="509"/>
        <w:spacing w:after="0" w:line="279" w:lineRule="auto"/>
        <w:rPr>
          <w:sz w:val="20"/>
          <w:szCs w:val="20"/>
          <w:color w:val="auto"/>
        </w:rPr>
      </w:pPr>
      <w:r>
        <w:rPr>
          <w:rFonts w:ascii="Arial" w:cs="Arial" w:eastAsia="Arial" w:hAnsi="Arial"/>
          <w:sz w:val="18"/>
          <w:szCs w:val="18"/>
          <w:color w:val="auto"/>
        </w:rPr>
        <w:t>With the CPA, Colorado became the third state to enact a comprehensive privacy law but it is quite possible that other states will follow suit.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83"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In addition, several foreign jurisdictions, including the European Union and Canada, have regulations dealing with the collection and use of personal information obtained from their residents, which are often more restrictive than those in the U.S. Laws and regulations in these jurisdictions apply broadly to the collection, use, storage, disclosure and security of personal information that identifies or may be used to identify an individual. In relevant part, these laws and regulations may affect our ability to engage in lead generation activities by imposing heightened requirements, such as affirmative opt-ins or consent prior to sending commercial correspondence or engaging in electronic tracking activities. For example, a recent ruling of the European Court of Justice in Case C-673/17 provides that a pre-checked opt-in is insufficient to constitute a valid active consumer consent to cookie storage.</w:t>
      </w:r>
    </w:p>
    <w:p>
      <w:pPr>
        <w:spacing w:after="0" w:line="163" w:lineRule="exact"/>
        <w:rPr>
          <w:sz w:val="20"/>
          <w:szCs w:val="20"/>
          <w:color w:val="auto"/>
        </w:rPr>
      </w:pPr>
    </w:p>
    <w:p>
      <w:pPr>
        <w:ind w:firstLine="509"/>
        <w:spacing w:after="0" w:line="304" w:lineRule="auto"/>
        <w:rPr>
          <w:sz w:val="20"/>
          <w:szCs w:val="20"/>
          <w:color w:val="auto"/>
        </w:rPr>
      </w:pPr>
      <w:r>
        <w:rPr>
          <w:rFonts w:ascii="Arial" w:cs="Arial" w:eastAsia="Arial" w:hAnsi="Arial"/>
          <w:sz w:val="16"/>
          <w:szCs w:val="16"/>
          <w:color w:val="auto"/>
        </w:rPr>
        <w:t>Within the European Union, legislators have adopted the GDPR and which became effective in May 2018 which may impose additional obligations and risk upon our business and which may increase substantially the penalties to which we could be subject in the event of any non-compliance.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United Kingdom specific amendments) into United Kingdom law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The United Kingdom, however, is now regarded as a third country under the European Union’s GDPR which means that transfers of personal data from the European Economic Area to the United Kingdom will be restricted unless an appropriate safeguard, as recognized by the European Union’s GDPR, has been put in place. However, under the EU-UK Trade Cooperation Agreement it is lawful to transfer personal data between the United Kingdom and the European Economic Area for a 6 month period following the end of the transition period, with a view to achieving an adequacy decision from the European Commission during that period. Like the European Union GDPR, the UK GDPR restricts personal data transfers outside the United Kingdom to countries not regarded by the United Kingdom as providing adequate protection (this means that personal data transfers from the United Kingdom to the European Economic Area remain free flowing).</w:t>
      </w:r>
    </w:p>
    <w:p>
      <w:pPr>
        <w:spacing w:after="0" w:line="166" w:lineRule="exact"/>
        <w:rPr>
          <w:sz w:val="20"/>
          <w:szCs w:val="20"/>
          <w:color w:val="auto"/>
        </w:rPr>
      </w:pPr>
    </w:p>
    <w:p>
      <w:pPr>
        <w:ind w:right="60" w:firstLine="509"/>
        <w:spacing w:after="0" w:line="303" w:lineRule="auto"/>
        <w:rPr>
          <w:sz w:val="20"/>
          <w:szCs w:val="20"/>
          <w:color w:val="auto"/>
        </w:rPr>
      </w:pPr>
      <w:r>
        <w:rPr>
          <w:rFonts w:ascii="Arial" w:cs="Arial" w:eastAsia="Arial" w:hAnsi="Arial"/>
          <w:sz w:val="16"/>
          <w:szCs w:val="16"/>
          <w:color w:val="auto"/>
        </w:rPr>
        <w:t>On July 12, 2016, the European Commission adopted the EU-US Privacy Shield, a framework for the transfer of personal data from the European Union to the United States, as a successor to the Safe Harbor framework that was invalidated by the European Court of Justice in October 2015. We certified to the EU-US Privacy Shield. On July 16, 2020, the European Court of Justice invalidated the EU–US Privacy Shield ruling that it failed to offer adequate protections for European Union personal data transferred to the United States. The European Court of Justice, in the same decision, deemed that the Standard Contractual Clauses, or SCCs, approved by the European Commission for transfers of personal data between European Union controllers and non-European Union processors are valid, however the European Court of Justice deemed that transfers made pursuant to the SCCs need to be analyzed on a case-by-case basis to ensure the European Union’s standards of data protection are met. Our customer agreements include SCCs. However, as a result of this decision, companies may be required to adopt additional measures to accomplish transfers of personal data to the United States and other third countries in compliance with the GDPR, and there continue to be concerns about whether the SCCs will face additional challenges. Until the remaining legal uncertainties regarding how to legally continue these transfers are settled, we will continue to face uncertainty as to whether our customers will be permitted to transfer personal data to the United States for processing by us as part of our platform services. If such data transfer to the United States is not permitted, it could have a negative effect on our existing business and on our ability to attract and retain new customers. Our customers may view alternative data transfer mechanisms as being too costly, too burdensome, too legally uncertain or otherwise objectionable and therefore decide not to do business with us. For example, some of our customers or potential customers who do business in the European Union may require their vendors to host all personal data within the European Union and may decide to do business with one of our competitors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ind w:right="80"/>
        <w:spacing w:after="0" w:line="309" w:lineRule="auto"/>
        <w:rPr>
          <w:sz w:val="20"/>
          <w:szCs w:val="20"/>
          <w:color w:val="auto"/>
        </w:rPr>
      </w:pPr>
      <w:r>
        <w:rPr>
          <w:rFonts w:ascii="Arial" w:cs="Arial" w:eastAsia="Arial" w:hAnsi="Arial"/>
          <w:sz w:val="16"/>
          <w:szCs w:val="16"/>
          <w:color w:val="auto"/>
        </w:rPr>
        <w:t>who hosts personal data within the European Union instead of doing business with us. In addition, on June 4, 2021, the European Commission issued new forms of standard contractual clauses for data transfers from controllers or processors in the EU/EEA (or otherwise subject to the GDPR) to controllers or processors established outside the EU/EEA (and not subject to the GDPR): The new forms of standard contractual clauses will replace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w:t>
      </w:r>
    </w:p>
    <w:p>
      <w:pPr>
        <w:spacing w:after="0" w:line="164" w:lineRule="exact"/>
        <w:rPr>
          <w:sz w:val="20"/>
          <w:szCs w:val="20"/>
          <w:color w:val="auto"/>
        </w:rPr>
      </w:pPr>
    </w:p>
    <w:p>
      <w:pPr>
        <w:ind w:right="60" w:firstLine="509"/>
        <w:spacing w:after="0" w:line="269" w:lineRule="auto"/>
        <w:rPr>
          <w:sz w:val="20"/>
          <w:szCs w:val="20"/>
          <w:color w:val="auto"/>
        </w:rPr>
      </w:pPr>
      <w:r>
        <w:rPr>
          <w:rFonts w:ascii="Arial" w:cs="Arial" w:eastAsia="Arial" w:hAnsi="Arial"/>
          <w:sz w:val="18"/>
          <w:szCs w:val="18"/>
          <w:color w:val="auto"/>
        </w:rPr>
        <w:t>The regulatory framework governing the collection, processing, storage, use and sharing of certain information, particularly financial and other personal information, is rapidly evolving and is likely to continue to be subject to uncertainty and varying interpretations. It is possible that these laws may be interpreted and applied in a manner that is inconsistent with our existing data management practices or the features of our services and platform capabilities. Any failure or perceived failure by us, or any third parties with which we do business, to comply with our posted privacy policies, changing consumer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94" w:lineRule="exact"/>
        <w:rPr>
          <w:sz w:val="20"/>
          <w:szCs w:val="20"/>
          <w:color w:val="auto"/>
        </w:rPr>
      </w:pPr>
    </w:p>
    <w:p>
      <w:pPr>
        <w:ind w:right="60" w:firstLine="509"/>
        <w:spacing w:after="0" w:line="287" w:lineRule="auto"/>
        <w:rPr>
          <w:sz w:val="20"/>
          <w:szCs w:val="20"/>
          <w:color w:val="auto"/>
        </w:rPr>
      </w:pPr>
      <w:r>
        <w:rPr>
          <w:rFonts w:ascii="Arial" w:cs="Arial" w:eastAsia="Arial" w:hAnsi="Arial"/>
          <w:sz w:val="17"/>
          <w:szCs w:val="17"/>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62"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CRM Platform that may violate our policy on acceptable use which prohibits content that is threatening, abusive, harassing, deceptive, false, misleading, vulgar, obscene, or indecent. While such content may not be illegal, use of our CRM Platform for such content could harm our reputation resulting in a loss of business.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U.S. federal statutes may apply to us with respect to various customer activities:</w:t>
      </w:r>
    </w:p>
    <w:p>
      <w:pPr>
        <w:spacing w:after="0" w:line="131" w:lineRule="exact"/>
        <w:rPr>
          <w:sz w:val="20"/>
          <w:szCs w:val="20"/>
          <w:color w:val="auto"/>
        </w:rPr>
      </w:pPr>
    </w:p>
    <w:p>
      <w:pPr>
        <w:ind w:left="960"/>
        <w:spacing w:after="0" w:line="309" w:lineRule="auto"/>
        <w:rPr>
          <w:sz w:val="20"/>
          <w:szCs w:val="20"/>
          <w:color w:val="auto"/>
        </w:rPr>
      </w:pPr>
      <w:r>
        <w:rPr>
          <w:rFonts w:ascii="Arial" w:cs="Arial" w:eastAsia="Arial" w:hAnsi="Arial"/>
          <w:sz w:val="16"/>
          <w:szCs w:val="16"/>
          <w:color w:val="auto"/>
        </w:rPr>
        <w:t>The Digital Millennium Copyright Act of 1998, or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8" w:name="page49"/>
    <w:bookmarkEnd w:id="48"/>
    <w:p>
      <w:pPr>
        <w:ind w:left="960"/>
        <w:spacing w:after="0"/>
        <w:rPr>
          <w:sz w:val="20"/>
          <w:szCs w:val="20"/>
          <w:color w:val="auto"/>
        </w:rPr>
      </w:pPr>
      <w:r>
        <w:rPr>
          <w:rFonts w:ascii="Arial" w:cs="Arial" w:eastAsia="Arial" w:hAnsi="Arial"/>
          <w:sz w:val="17"/>
          <w:szCs w:val="17"/>
          <w:color w:val="auto"/>
        </w:rPr>
        <w:t>Technical mistakes in complying with the detailed DMCA take-down procedures could subject us to liability for copyright infringement.</w:t>
      </w:r>
    </w:p>
    <w:p>
      <w:pPr>
        <w:spacing w:after="0" w:line="142" w:lineRule="exact"/>
        <w:rPr>
          <w:sz w:val="20"/>
          <w:szCs w:val="20"/>
          <w:color w:val="auto"/>
        </w:rPr>
      </w:pPr>
    </w:p>
    <w:p>
      <w:pPr>
        <w:ind w:left="960" w:right="40"/>
        <w:spacing w:after="0" w:line="270" w:lineRule="auto"/>
        <w:rPr>
          <w:sz w:val="20"/>
          <w:szCs w:val="20"/>
          <w:color w:val="auto"/>
        </w:rPr>
      </w:pPr>
      <w:r>
        <w:rPr>
          <w:rFonts w:ascii="Arial" w:cs="Arial" w:eastAsia="Arial" w:hAnsi="Arial"/>
          <w:sz w:val="18"/>
          <w:szCs w:val="18"/>
          <w:color w:val="auto"/>
        </w:rPr>
        <w:t>The Communications Decency Act of 1996, or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84" w:lineRule="exact"/>
        <w:rPr>
          <w:sz w:val="20"/>
          <w:szCs w:val="20"/>
          <w:color w:val="auto"/>
        </w:rPr>
      </w:pPr>
    </w:p>
    <w:p>
      <w:pPr>
        <w:ind w:left="960"/>
        <w:spacing w:after="0" w:line="287" w:lineRule="auto"/>
        <w:rPr>
          <w:sz w:val="20"/>
          <w:szCs w:val="20"/>
          <w:color w:val="auto"/>
        </w:rPr>
      </w:pPr>
      <w:r>
        <w:rPr>
          <w:rFonts w:ascii="Arial" w:cs="Arial" w:eastAsia="Arial" w:hAnsi="Arial"/>
          <w:sz w:val="17"/>
          <w:szCs w:val="17"/>
          <w:color w:val="auto"/>
        </w:rPr>
        <w:t>In addition to the CDA, the Securing the Protection of our Enduring and Established Constitutional Heritage Act, or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6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30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The standards that private entities use to regulate the use of email have in the past interfered with, and may in the future interfere with, the effectiveness of our CRM Platform and our ability to conduct business.</w:t>
      </w:r>
    </w:p>
    <w:p>
      <w:pPr>
        <w:spacing w:after="0" w:line="62"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7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CRM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296"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Existing federal, state and foreign laws regulate Internet tracking software, the senders of commercial emails and text messages, website owners and other activities, and could impact the use of our CRM Platform and potentially subject us to regulatory enforcement or private litigation.</w:t>
      </w:r>
    </w:p>
    <w:p>
      <w:pPr>
        <w:spacing w:after="0" w:line="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9" w:name="page50"/>
    <w:bookmarkEnd w:id="49"/>
    <w:p>
      <w:pPr>
        <w:ind w:right="180"/>
        <w:spacing w:after="0" w:line="311" w:lineRule="auto"/>
        <w:rPr>
          <w:sz w:val="20"/>
          <w:szCs w:val="20"/>
          <w:color w:val="auto"/>
        </w:rPr>
      </w:pPr>
      <w:r>
        <w:rPr>
          <w:rFonts w:ascii="Arial" w:cs="Arial" w:eastAsia="Arial" w:hAnsi="Arial"/>
          <w:sz w:val="16"/>
          <w:szCs w:val="16"/>
          <w:color w:val="auto"/>
        </w:rPr>
        <w:t>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 party websites. These policies could have a significant impact on the operation of our CRM Platform and could impair our attractiveness to customers, which would harm our business.</w:t>
      </w:r>
    </w:p>
    <w:p>
      <w:pPr>
        <w:spacing w:after="0" w:line="149"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CRM Platform to decrease and adversely impact our financial results.</w:t>
      </w:r>
    </w:p>
    <w:p>
      <w:pPr>
        <w:spacing w:after="0" w:line="17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In addition, the Controlling the Assault of Non-Solicited Pornography and Marketing Act of 2003, or the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CRM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8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While these laws and regulations generally govern our customers’ use of our platform, we may be subject to certain laws as a data processor on behalf of, or as a business associate of, our customers. For example, laws and regulations governing the collection, use and disclosure of personal information include, in the United States, rules and regulations promulgated under the authority of the Federal Trade Commission, the Health Insurance Portability and Accountability Act of 1996, the Gramm-Leach-Bliley Act of 1999 and state breach notification laws, and internationally, the Data Protection Directive in the European Union and the Federal Data Protection Act in Germany.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Taxation</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State, local, and non-U.S. jurisdictions have differing rules and regulations governing sales, use, value added, Digital Services Tax, and other taxes, and these rules and regulations are subject to varying interpretations that may change over time. In particular, the applicability of such taxes to our CRM Platform in various jurisdictions is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0" w:name="page51"/>
    <w:bookmarkEnd w:id="50"/>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could increase the costs of our CRM Platform and adversely impact our business.</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potential future customers may elect not to continue or purchase our CRM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 Furthermore, as our employees continue to work remotely from geographic locations across the United States and internationally due to the pandemic and other reasons, we may become subject to additional taxes and our compliance burdens with respect to the tax laws of additional jurisdictions may be increased.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firstLine="509"/>
        <w:spacing w:after="0" w:line="280" w:lineRule="auto"/>
        <w:rPr>
          <w:sz w:val="20"/>
          <w:szCs w:val="20"/>
          <w:color w:val="auto"/>
        </w:rPr>
      </w:pPr>
      <w:r>
        <w:rPr>
          <w:rFonts w:ascii="Arial" w:cs="Arial" w:eastAsia="Arial" w:hAnsi="Arial"/>
          <w:sz w:val="17"/>
          <w:szCs w:val="17"/>
          <w:color w:val="auto"/>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t>
      </w:r>
      <w:r>
        <w:rPr>
          <w:rFonts w:ascii="Arial" w:cs="Arial" w:eastAsia="Arial" w:hAnsi="Arial"/>
          <w:sz w:val="15"/>
          <w:szCs w:val="15"/>
          <w:color w:val="auto"/>
        </w:rPr>
        <w:t>or challenges to our tax positions by</w:t>
      </w:r>
      <w:r>
        <w:rPr>
          <w:rFonts w:ascii="Arial" w:cs="Arial" w:eastAsia="Arial" w:hAnsi="Arial"/>
          <w:sz w:val="17"/>
          <w:szCs w:val="17"/>
          <w:color w:val="auto"/>
        </w:rPr>
        <w:t xml:space="preserve"> </w:t>
      </w:r>
      <w:r>
        <w:rPr>
          <w:rFonts w:ascii="Arial" w:cs="Arial" w:eastAsia="Arial" w:hAnsi="Arial"/>
          <w:sz w:val="15"/>
          <w:szCs w:val="15"/>
          <w:color w:val="auto"/>
        </w:rPr>
        <w:t xml:space="preserve">tax authorities, any of </w:t>
      </w:r>
      <w:r>
        <w:rPr>
          <w:rFonts w:ascii="Arial" w:cs="Arial" w:eastAsia="Arial" w:hAnsi="Arial"/>
          <w:sz w:val="16"/>
          <w:szCs w:val="16"/>
          <w:color w:val="auto"/>
        </w:rPr>
        <w:t>which could have a material adverse effect on our liquidity, financial condition or operating results. In addition, the authorities in these</w:t>
      </w:r>
      <w:r>
        <w:rPr>
          <w:rFonts w:ascii="Arial" w:cs="Arial" w:eastAsia="Arial" w:hAnsi="Arial"/>
          <w:sz w:val="15"/>
          <w:szCs w:val="15"/>
          <w:color w:val="auto"/>
        </w:rPr>
        <w:t xml:space="preserve"> </w:t>
      </w:r>
      <w:r>
        <w:rPr>
          <w:rFonts w:ascii="Arial" w:cs="Arial" w:eastAsia="Arial" w:hAnsi="Arial"/>
          <w:sz w:val="16"/>
          <w:szCs w:val="16"/>
          <w:color w:val="auto"/>
        </w:rPr>
        <w:t xml:space="preserve">jurisdictions could review our tax returns and impose additional tax, interest and penalties, and the authorities could claim that various withholding requirements apply to us or our subsidiaries or assert that benefits of tax treaties are not available to us or our subsidiaries, </w:t>
      </w:r>
      <w:r>
        <w:rPr>
          <w:rFonts w:ascii="Arial" w:cs="Arial" w:eastAsia="Arial" w:hAnsi="Arial"/>
          <w:sz w:val="15"/>
          <w:szCs w:val="15"/>
          <w:color w:val="auto"/>
        </w:rPr>
        <w:t>or assert that we are subject to tax in</w:t>
      </w:r>
      <w:r>
        <w:rPr>
          <w:rFonts w:ascii="Arial" w:cs="Arial" w:eastAsia="Arial" w:hAnsi="Arial"/>
          <w:sz w:val="16"/>
          <w:szCs w:val="16"/>
          <w:color w:val="auto"/>
        </w:rPr>
        <w:t xml:space="preserve"> </w:t>
      </w:r>
      <w:r>
        <w:rPr>
          <w:rFonts w:ascii="Arial" w:cs="Arial" w:eastAsia="Arial" w:hAnsi="Arial"/>
          <w:sz w:val="15"/>
          <w:szCs w:val="15"/>
          <w:color w:val="auto"/>
        </w:rPr>
        <w:t xml:space="preserve">a jurisdiction where we believe we have not established a taxable nexus, often referred to as a “permanent establishment” under international tax treaties, </w:t>
      </w:r>
      <w:r>
        <w:rPr>
          <w:rFonts w:ascii="Arial" w:cs="Arial" w:eastAsia="Arial" w:hAnsi="Arial"/>
          <w:sz w:val="16"/>
          <w:szCs w:val="16"/>
          <w:color w:val="auto"/>
        </w:rPr>
        <w:t>any of which</w:t>
      </w:r>
      <w:r>
        <w:rPr>
          <w:rFonts w:ascii="Arial" w:cs="Arial" w:eastAsia="Arial" w:hAnsi="Arial"/>
          <w:sz w:val="15"/>
          <w:szCs w:val="15"/>
          <w:color w:val="auto"/>
        </w:rPr>
        <w:t xml:space="preserve"> </w:t>
      </w:r>
      <w:r>
        <w:rPr>
          <w:rFonts w:ascii="Arial" w:cs="Arial" w:eastAsia="Arial" w:hAnsi="Arial"/>
          <w:sz w:val="16"/>
          <w:szCs w:val="16"/>
          <w:color w:val="auto"/>
        </w:rPr>
        <w:t>could have a material impact us, our financial condition or our results of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utilize a significant portion of our net operating loss carryforwards, which could adversely affect our profitability.</w:t>
      </w:r>
    </w:p>
    <w:p>
      <w:pPr>
        <w:spacing w:after="0" w:line="129"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We have incurred losses during our history and do not expect to become profitable in the near future, and we may never achieve profitability. As of December 31, 2020, we had $760 million of U.S. federal and $508 million state net operating loss carryforwards due to prior period losses, which, if not utilized, some of which will begin to expire in 2027 for federal purposes and begin to expire in 2023 for state purposes. These net operating loss carryforwards could expire unused and be unavailable to offset future income tax liabilities, which could adversely affect our profitability. Our U.S federal and certain state net operating loss carryforwards incurred for periods beginning on or after January 1, 2018 would not expire unused because they can be carried forward indefinitely.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Operating Results and 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achieve profitability in the future.</w:t>
      </w:r>
    </w:p>
    <w:p>
      <w:pPr>
        <w:spacing w:after="0" w:line="131" w:lineRule="exact"/>
        <w:rPr>
          <w:sz w:val="20"/>
          <w:szCs w:val="20"/>
          <w:color w:val="auto"/>
        </w:rPr>
      </w:pPr>
    </w:p>
    <w:p>
      <w:pPr>
        <w:ind w:firstLine="509"/>
        <w:spacing w:after="0" w:line="308" w:lineRule="auto"/>
        <w:rPr>
          <w:sz w:val="20"/>
          <w:szCs w:val="20"/>
          <w:color w:val="auto"/>
        </w:rPr>
      </w:pPr>
      <w:r>
        <w:rPr>
          <w:rFonts w:ascii="Arial" w:cs="Arial" w:eastAsia="Arial" w:hAnsi="Arial"/>
          <w:sz w:val="16"/>
          <w:szCs w:val="16"/>
          <w:color w:val="auto"/>
        </w:rPr>
        <w:t>We generated net losses of $47.7 million and $47.1 million for the six months ended June 30, 2021 and 2020, respectively. As of June 30, 2021, we had an accumulated deficit of $530.9 million. We will need to generate and sustain increased revenue levels in future periods to become profitable, and, even if we do, we may not be able to maintain or increase our level of profitability. We intend to continue to expend significant funds to grow our marketing, sales, customer service, and content management operations, develop and enhance our CRM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the market price of our common stock may significantly decrease.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i w:val="1"/>
          <w:iCs w:val="1"/>
          <w:color w:val="auto"/>
        </w:rPr>
        <w:t>From time to time, we may invest funds in social impact investment funds, and may receive no return on our investment or lose our entire investment.</w:t>
      </w:r>
    </w:p>
    <w:p>
      <w:pPr>
        <w:spacing w:after="0" w:line="260"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From time to time, we may invest in social impact investment funds. For example, in December 2020, we committed $20 million to social impact investing. Our first allocation of those funds was a commitment to invest $12.5 million in the Black Economic Development Fund (“BEDF”) over the fall. On March 9, 2021, we made a contribution of $2.3 million in cash in the BEDF. On June 22, 2021, we made an additional contribution of $0.8 million in cash for an aggregate of 5.0% ownership interest and income share in the BEDF. The BEDF is managed by the Local Initiatives Support Corporation (“LISC”), which expects to make investments from the BEDF in the form of bank deposits, bridge financing, and other financing to Black-led businesses, financial institutions, and anchor institutions.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6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Quarterly Report on Form 10-Q, factors that may affect our quarterly operating results include the following:</w:t>
      </w:r>
    </w:p>
    <w:p>
      <w:pPr>
        <w:spacing w:after="0" w:line="7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spending on marketing, sales and customer service software by our current or prospective customers;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pricing our CRM Platform subscriptions effectively so that we are able to attract and retain customers without compromising our profitability;</w:t>
      </w:r>
    </w:p>
    <w:p>
      <w:pPr>
        <w:spacing w:after="0" w:line="14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attracting new customers for our marketing, sales, customer service, and content management software, increasing our existing customers’ use of our platform and providing our customers with excellent customer support;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customer renewal rates and the amounts for which agreements are renewed;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global awareness of our thought leadership and brand;</w:t>
      </w:r>
    </w:p>
    <w:p>
      <w:pPr>
        <w:spacing w:after="0" w:line="117"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changes in the competitive dynamics of our market, including consolidation among competitors or customers and the introduction of new products or product enhancements;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the commission plans, quotas and other compensation-related metrics for our sales representatives;</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amount and timing of payment for operating expenses, particularly research and development, sales and marketing expenses and employee benefit expenses;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amount and timing of costs associated with recruiting, training and integrating new employees while maintaining our company culture;</w:t>
      </w:r>
    </w:p>
    <w:p>
      <w:pPr>
        <w:spacing w:after="0" w:line="140" w:lineRule="exact"/>
        <w:rPr>
          <w:sz w:val="20"/>
          <w:szCs w:val="20"/>
          <w:color w:val="auto"/>
        </w:rPr>
      </w:pPr>
    </w:p>
    <w:p>
      <w:pPr>
        <w:ind w:left="960" w:right="600"/>
        <w:spacing w:after="0" w:line="277" w:lineRule="auto"/>
        <w:rPr>
          <w:sz w:val="20"/>
          <w:szCs w:val="20"/>
          <w:color w:val="auto"/>
        </w:rPr>
      </w:pPr>
      <w:r>
        <w:rPr>
          <w:rFonts w:ascii="Arial" w:cs="Arial" w:eastAsia="Arial" w:hAnsi="Arial"/>
          <w:sz w:val="18"/>
          <w:szCs w:val="18"/>
          <w:color w:val="auto"/>
        </w:rPr>
        <w:t>our ability to manage our existing business and future growth, including increases in the number of customers on our platform and the introduction and adoption of our CRM Platform in new markets outside of the United States;</w:t>
      </w:r>
    </w:p>
    <w:p>
      <w:pPr>
        <w:spacing w:after="0" w:line="62"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unforeseen costs and expenses related to the expansion of our business, operations and infrastructure, including disruptions in our hosting network infrastructure and privacy and data security;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foreign currency exchange rate fluctuations;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inflation or deflation in the economies in which we operate;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and political conditions in our domestic and international markets.</w:t>
      </w:r>
    </w:p>
    <w:p>
      <w:pPr>
        <w:spacing w:after="0" w:line="225"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62" w:lineRule="exact"/>
        <w:rPr>
          <w:sz w:val="20"/>
          <w:szCs w:val="20"/>
          <w:color w:val="auto"/>
        </w:rPr>
      </w:pPr>
    </w:p>
    <w:p>
      <w:pPr>
        <w:ind w:right="560" w:firstLine="509"/>
        <w:spacing w:after="0" w:line="308" w:lineRule="auto"/>
        <w:rPr>
          <w:sz w:val="20"/>
          <w:szCs w:val="20"/>
          <w:color w:val="auto"/>
        </w:rPr>
      </w:pPr>
      <w:r>
        <w:rPr>
          <w:rFonts w:ascii="Arial" w:cs="Arial" w:eastAsia="Arial" w:hAnsi="Arial"/>
          <w:sz w:val="17"/>
          <w:szCs w:val="17"/>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be significantly below the expectations of the public market, equity research analysts or investors, which could harm the price of our common stock.</w:t>
      </w:r>
    </w:p>
    <w:p>
      <w:pPr>
        <w:spacing w:after="0" w:line="3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the agreement, near term changes in sales may not be reflected immediately in our operating results.</w:t>
      </w:r>
    </w:p>
    <w:p>
      <w:pPr>
        <w:spacing w:after="0" w:line="62"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We offer our CRM Platform primarily through a mix of monthly, quarterly and single-year subscription agreements and generally recognize revenue ratably over the related subscription period. As a result, much of the revenue we report in each quarter is derived from agreements entered into during prior months, quarters or years. In addition, we do not record deferred revenue beyond amounts invoiced as a liability on our balance sheet. A decline in new or renewed subscriptions or marketing solutions agreements in any one quarter is not likely to be reflected immediately in our revenue results for that quarter. Such declines, however, would negatively affect our revenue and deferred revenue balances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89" w:lineRule="exact"/>
        <w:rPr>
          <w:sz w:val="20"/>
          <w:szCs w:val="20"/>
          <w:color w:val="auto"/>
        </w:rPr>
      </w:pPr>
    </w:p>
    <w:p>
      <w:pPr>
        <w:ind w:right="20" w:firstLine="509"/>
        <w:spacing w:after="0" w:line="304" w:lineRule="auto"/>
        <w:rPr>
          <w:sz w:val="20"/>
          <w:szCs w:val="20"/>
          <w:color w:val="auto"/>
        </w:rPr>
      </w:pPr>
      <w:r>
        <w:rPr>
          <w:rFonts w:ascii="Arial" w:cs="Arial" w:eastAsia="Arial" w:hAnsi="Arial"/>
          <w:sz w:val="16"/>
          <w:szCs w:val="16"/>
          <w:color w:val="auto"/>
        </w:rPr>
        <w:t>We incurred indebtedness in the aggregate principal amount of $400.0 million in connection with the issuance of our 0.25% convertible senior notes due June 1, 2022 (the “2022 Notes”). In June 2020, the Company exchanged approximately $272.1 million in aggregate principal amount of the 2022 Notes in privately-negotiated transactions for an aggregate of approximately $283.0 million in cash and 1.6 million shares of common stock. As of June 30, 2021, $68.7 million of principal remains outstanding on the 2022 Notes. In June 2020, concurrent with the partial repurchase of the 2022 Notes, we incurred indebtedness in the aggregate principal amount of $460.0 million in connection with the issuance of our 0.375% convertible senior notes due June 1, 2025 (the “2025 Notes”) and together with the 2022 Notes (the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5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78" w:lineRule="exact"/>
        <w:rPr>
          <w:sz w:val="20"/>
          <w:szCs w:val="20"/>
          <w:color w:val="auto"/>
        </w:rPr>
      </w:pPr>
    </w:p>
    <w:p>
      <w:pPr>
        <w:ind w:right="1040" w:firstLine="509"/>
        <w:spacing w:after="0" w:line="293"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48" w:lineRule="exact"/>
        <w:rPr>
          <w:sz w:val="20"/>
          <w:szCs w:val="20"/>
          <w:color w:val="auto"/>
        </w:rPr>
      </w:pPr>
    </w:p>
    <w:p>
      <w:pPr>
        <w:ind w:left="960" w:right="500"/>
        <w:spacing w:after="0" w:line="277" w:lineRule="auto"/>
        <w:rPr>
          <w:sz w:val="20"/>
          <w:szCs w:val="20"/>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 our flexibility in planning for, or reacting to, changes in our business and our industry;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3" w:name="page54"/>
    <w:bookmarkEnd w:id="53"/>
    <w:p>
      <w:pPr>
        <w:ind w:left="960"/>
        <w:spacing w:after="0"/>
        <w:rPr>
          <w:sz w:val="20"/>
          <w:szCs w:val="20"/>
          <w:color w:val="auto"/>
        </w:rPr>
      </w:pPr>
      <w:r>
        <w:rPr>
          <w:rFonts w:ascii="Arial" w:cs="Arial" w:eastAsia="Arial" w:hAnsi="Arial"/>
          <w:sz w:val="18"/>
          <w:szCs w:val="18"/>
          <w:color w:val="auto"/>
        </w:rPr>
        <w:t>place us at a disadvantage compared to our competitors who have less debt;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 our ability to borrow additional amounts to fund acquisitions, for working capital and for other general corporate purposes.</w:t>
      </w:r>
    </w:p>
    <w:p>
      <w:pPr>
        <w:spacing w:after="0" w:line="225" w:lineRule="exact"/>
        <w:rPr>
          <w:sz w:val="20"/>
          <w:szCs w:val="20"/>
          <w:color w:val="auto"/>
        </w:rPr>
      </w:pPr>
    </w:p>
    <w:p>
      <w:pPr>
        <w:ind w:right="620" w:firstLine="509"/>
        <w:spacing w:after="0" w:line="308" w:lineRule="auto"/>
        <w:rPr>
          <w:sz w:val="20"/>
          <w:szCs w:val="20"/>
          <w:color w:val="auto"/>
        </w:rPr>
      </w:pPr>
      <w:r>
        <w:rPr>
          <w:rFonts w:ascii="Arial" w:cs="Arial" w:eastAsia="Arial" w:hAnsi="Arial"/>
          <w:sz w:val="17"/>
          <w:szCs w:val="17"/>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Notes, if triggered, may adversely affect our financial condition and operating results.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In the event the conditional conversion feature of the 2022 Notes or the 2025 Notes is triggered, the holders thereof will be entitled to convert the 2022 Notes or the 2025 Notes respectively, at any time during specified periods at their option.</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Because the last reported sale price of our common stock for at least 20 trading days during the period of 30 consecutive trading days ending on the last trading day of the calendar quarter ended June 30, 2021 was equal to or greater than 130% of the applicable conversion price on each applicable trading day, the 2022 Notes are convertible at the option of the holders thereof during the calendar quarter ending September 30, 2021. In the three months ended June 30, 2021, the Company settled $12.7 million of principal balance of the 2022 Notes in cash. As of July 30, 2021, the Company has received conversion notices for approximately $46.4 million of the principal balance of the 2022 Notes, which will be settled in cash during the quarter ended September 30, 2021. Because the last reported sale price of the Company’s common stock for at least 20 trading days during the period of 30 consecutive trading days ending on the last trading day of the calendar quarter ended June 30, 2021 was equal to or greater than 130% of the applicable conversion price on each applicable trading day, the 2025 Notes are convertible at the option of the holders thereof during the calendar quarter ending September 30, 2021. As of July 30, 2021, no holders have converted or indicated their intention to convert the 2025 Notes. Whether the Notes that remain outstanding will be convertible following the calendar quarter ending June 30, 2021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89" w:lineRule="exact"/>
        <w:rPr>
          <w:sz w:val="20"/>
          <w:szCs w:val="20"/>
          <w:color w:val="auto"/>
        </w:rPr>
      </w:pPr>
    </w:p>
    <w:p>
      <w:pPr>
        <w:ind w:right="500"/>
        <w:spacing w:after="0" w:line="293"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62" w:lineRule="exact"/>
        <w:rPr>
          <w:sz w:val="20"/>
          <w:szCs w:val="20"/>
          <w:color w:val="auto"/>
        </w:rPr>
      </w:pPr>
    </w:p>
    <w:p>
      <w:pPr>
        <w:ind w:right="100" w:firstLine="509"/>
        <w:spacing w:after="0" w:line="306" w:lineRule="auto"/>
        <w:rPr>
          <w:sz w:val="20"/>
          <w:szCs w:val="20"/>
          <w:color w:val="auto"/>
        </w:rPr>
      </w:pPr>
      <w:r>
        <w:rPr>
          <w:rFonts w:ascii="Arial" w:cs="Arial" w:eastAsia="Arial" w:hAnsi="Arial"/>
          <w:sz w:val="16"/>
          <w:szCs w:val="16"/>
          <w:color w:val="auto"/>
        </w:rPr>
        <w:t>Under Financial Accounting Standards Board (“FASB”) Accounting Standards Codification 470-20, Debt with Conversion and Other Options, which we refer to as ASC 470-20, an entity must separately account for the liability and equity components of convertible debt instruments (such as the Notes) that may be settled entirely or partially in cash upon conversion in a manner that reflects the issuer’s economic interest cost. ASC 470-20 requires the value of the conversion option of the Notes, representing the equity component, to be recorded as additional paid-in capital within stockholders’ equity in our consolidated balance sheet and as a discount to the Notes, which reduces their initial carrying value. The carrying value of the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Notes.</w:t>
      </w:r>
    </w:p>
    <w:p>
      <w:pPr>
        <w:spacing w:after="0" w:line="170" w:lineRule="exact"/>
        <w:rPr>
          <w:sz w:val="20"/>
          <w:szCs w:val="20"/>
          <w:color w:val="auto"/>
        </w:rPr>
      </w:pPr>
    </w:p>
    <w:p>
      <w:pPr>
        <w:ind w:right="20" w:firstLine="578"/>
        <w:spacing w:after="0" w:line="272" w:lineRule="auto"/>
        <w:rPr>
          <w:sz w:val="20"/>
          <w:szCs w:val="20"/>
          <w:color w:val="auto"/>
        </w:rPr>
      </w:pPr>
      <w:r>
        <w:rPr>
          <w:rFonts w:ascii="Arial" w:cs="Arial" w:eastAsia="Arial" w:hAnsi="Arial"/>
          <w:sz w:val="18"/>
          <w:szCs w:val="18"/>
          <w:color w:val="auto"/>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per share except to the extent that the conversion value of the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191" w:lineRule="exact"/>
        <w:rPr>
          <w:sz w:val="20"/>
          <w:szCs w:val="20"/>
          <w:color w:val="auto"/>
        </w:rPr>
      </w:pPr>
    </w:p>
    <w:p>
      <w:pPr>
        <w:ind w:right="20" w:firstLine="578"/>
        <w:spacing w:after="0" w:line="311" w:lineRule="auto"/>
        <w:rPr>
          <w:sz w:val="20"/>
          <w:szCs w:val="20"/>
          <w:color w:val="auto"/>
        </w:rPr>
      </w:pPr>
      <w:r>
        <w:rPr>
          <w:rFonts w:ascii="Arial" w:cs="Arial" w:eastAsia="Arial" w:hAnsi="Arial"/>
          <w:sz w:val="16"/>
          <w:szCs w:val="16"/>
          <w:color w:val="auto"/>
        </w:rPr>
        <w:t>In August 2020, the FASB issued guidance simplifying ASC 470-20 by reducing the number of accounting models for convertible debt instruments and convertible preferred stock. Under the new guidance, we will no longer be required to separately account for the liability and equity components of convertible debt instruments. This will have the impact of reducing non-cash interest expense, and thereby increasing net income (or decreasing net losses). Additionally, the new guidance eliminates the treasury stock method for calculating diluted earnings per share for convertible instruments and requires use of the “if-converted” method, which would decrease (increase) our diluted net income (loss) per share. The new standard is effective beginning in January 2022, with early adoption permitted. We are currently evaluating the impact of the new guidance on our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be unable to sell your shares at or above the price you purchased them.</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$605.73, through June 30, 2021. The market price of our common stock may fluctuate significantly in response to numerous factors, many of which are beyond our control, including:</w:t>
      </w:r>
    </w:p>
    <w:p>
      <w:pPr>
        <w:spacing w:after="0" w:line="79"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actual or anticipated fluctuations in our revenue and other operating results, including as a result of the addition or loss of any number of customers;</w:t>
      </w:r>
    </w:p>
    <w:p>
      <w:pPr>
        <w:spacing w:after="0" w:line="62"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sz w:val="20"/>
          <w:szCs w:val="20"/>
          <w:color w:val="auto"/>
        </w:rPr>
      </w:pPr>
    </w:p>
    <w:p>
      <w:pPr>
        <w:ind w:left="960"/>
        <w:spacing w:after="0" w:line="308" w:lineRule="auto"/>
        <w:rPr>
          <w:sz w:val="20"/>
          <w:szCs w:val="20"/>
          <w:color w:val="auto"/>
        </w:rPr>
      </w:pPr>
      <w:r>
        <w:rPr>
          <w:rFonts w:ascii="Arial" w:cs="Arial" w:eastAsia="Arial" w:hAnsi="Arial"/>
          <w:sz w:val="17"/>
          <w:szCs w:val="17"/>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38"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changes in operating performance and stock market valuations of cloud-based software or other technology companies, or those in our industry in particular;</w:t>
      </w:r>
    </w:p>
    <w:p>
      <w:pPr>
        <w:spacing w:after="0" w:line="62" w:lineRule="exact"/>
        <w:rPr>
          <w:sz w:val="20"/>
          <w:szCs w:val="20"/>
          <w:color w:val="auto"/>
        </w:rPr>
      </w:pPr>
    </w:p>
    <w:p>
      <w:pPr>
        <w:ind w:left="960" w:right="580"/>
        <w:spacing w:after="0" w:line="277" w:lineRule="auto"/>
        <w:rPr>
          <w:sz w:val="20"/>
          <w:szCs w:val="20"/>
          <w:color w:val="auto"/>
        </w:rPr>
      </w:pPr>
      <w:r>
        <w:rPr>
          <w:rFonts w:ascii="Arial" w:cs="Arial" w:eastAsia="Arial" w:hAnsi="Arial"/>
          <w:sz w:val="18"/>
          <w:szCs w:val="18"/>
          <w:color w:val="auto"/>
        </w:rPr>
        <w:t>price and volume fluctuations in the trading of our common stock and in the overall stock market, including as a result of trends in the economy as a whole;</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large blocks of our common stock or the dilutive effect of our Notes or any other equity or equity-linked financings;</w:t>
      </w:r>
    </w:p>
    <w:p>
      <w:pPr>
        <w:spacing w:after="0" w:line="117"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new laws or regulations or new interpretations of existing laws or regulations applicable to our business or industry, including data privacy and data security;</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lawsuits threatened or filed against us;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key personnel;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events or factors, including changes in general economic, industry and market conditions and trends.</w:t>
      </w:r>
    </w:p>
    <w:p>
      <w:pPr>
        <w:spacing w:after="0" w:line="22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84"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76" w:lineRule="exact"/>
        <w:rPr>
          <w:sz w:val="20"/>
          <w:szCs w:val="20"/>
          <w:color w:val="auto"/>
        </w:rPr>
      </w:pPr>
    </w:p>
    <w:p>
      <w:pPr>
        <w:ind w:right="60" w:firstLine="578"/>
        <w:spacing w:after="0" w:line="272"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or the Exchange Act, the Sarbanes-Oxley Act of 2002, or the Sarbanes-Oxley Act, the Dodd-Frank Wall Street Reform and Consumer Protection Act, or the Dodd-Frank Act, and the rules and regulations of the New York Stock Exchange, or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91" w:lineRule="exact"/>
        <w:rPr>
          <w:sz w:val="20"/>
          <w:szCs w:val="20"/>
          <w:color w:val="auto"/>
        </w:rPr>
      </w:pPr>
    </w:p>
    <w:p>
      <w:pPr>
        <w:ind w:right="20" w:firstLine="578"/>
        <w:spacing w:after="0" w:line="287" w:lineRule="auto"/>
        <w:rPr>
          <w:sz w:val="20"/>
          <w:szCs w:val="20"/>
          <w:color w:val="auto"/>
        </w:rPr>
      </w:pPr>
      <w:r>
        <w:rPr>
          <w:rFonts w:ascii="Arial" w:cs="Arial" w:eastAsia="Arial" w:hAnsi="Arial"/>
          <w:sz w:val="17"/>
          <w:szCs w:val="17"/>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55" w:name="page56"/>
    <w:bookmarkEnd w:id="55"/>
    <w:p>
      <w:pPr>
        <w:ind w:right="200"/>
        <w:spacing w:after="0" w:line="293" w:lineRule="auto"/>
        <w:rPr>
          <w:sz w:val="20"/>
          <w:szCs w:val="20"/>
          <w:color w:val="auto"/>
        </w:rPr>
      </w:pPr>
      <w:r>
        <w:rPr>
          <w:rFonts w:ascii="Arial" w:cs="Arial" w:eastAsia="Arial" w:hAnsi="Arial"/>
          <w:sz w:val="18"/>
          <w:szCs w:val="18"/>
          <w:color w:val="auto"/>
        </w:rPr>
        <w:t>our stock could decline and we could be subject to sanctions or investigations by the SEC or other regulatory authorities, which would require additional financial and management resources.</w:t>
      </w:r>
    </w:p>
    <w:p>
      <w:pPr>
        <w:spacing w:after="0" w:line="170" w:lineRule="exact"/>
        <w:rPr>
          <w:sz w:val="20"/>
          <w:szCs w:val="20"/>
          <w:color w:val="auto"/>
        </w:rPr>
      </w:pPr>
    </w:p>
    <w:p>
      <w:pPr>
        <w:ind w:right="20" w:firstLine="578"/>
        <w:spacing w:after="0" w:line="287" w:lineRule="auto"/>
        <w:rPr>
          <w:sz w:val="20"/>
          <w:szCs w:val="20"/>
          <w:color w:val="auto"/>
        </w:rPr>
      </w:pPr>
      <w:r>
        <w:rPr>
          <w:rFonts w:ascii="Arial" w:cs="Arial" w:eastAsia="Arial" w:hAnsi="Arial"/>
          <w:sz w:val="17"/>
          <w:szCs w:val="17"/>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the pandemic, most of our employees – including those critical to maintaining an effective system of disclosure controls and internal control over financial reporting – are working, and are expected to continue to work for the near term,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charter documents and Delaware law may delay or prevent an acquisition of our company.</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960" w:right="800"/>
        <w:spacing w:after="0" w:line="277" w:lineRule="auto"/>
        <w:rPr>
          <w:sz w:val="20"/>
          <w:szCs w:val="20"/>
          <w:color w:val="auto"/>
        </w:rPr>
      </w:pPr>
      <w:r>
        <w:rPr>
          <w:rFonts w:ascii="Arial" w:cs="Arial" w:eastAsia="Arial" w:hAnsi="Arial"/>
          <w:sz w:val="18"/>
          <w:szCs w:val="18"/>
          <w:color w:val="auto"/>
        </w:rPr>
        <w:t>authorize “blank check” preferred stock, which could be issued by the board without stockholder approval and may contain voting, liquidation, dividend and other rights superior to our common stock;</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for a classified board of directors whose members serve staggered three-year terms;</w:t>
      </w:r>
    </w:p>
    <w:p>
      <w:pPr>
        <w:spacing w:after="0" w:line="117"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specify that special meetings of our stockholders can be called only by our board of directors, the chairperson of the board, the chief executive officer or the president;</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prohibit stockholder action by written consent;</w:t>
      </w:r>
    </w:p>
    <w:p>
      <w:pPr>
        <w:spacing w:after="0" w:line="117"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that our directors may be removed only for cause;</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authorize our board of directors to modify, alter or repeal our amended and restated bylaws; and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 supermajority votes of the holders of our common stock to amend specified provisions of our charter documents.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6" w:name="page57"/>
    <w:bookmarkEnd w:id="56"/>
    <w:p>
      <w:pPr>
        <w:ind w:right="80" w:firstLine="509"/>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24"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face exposure to movements in currency exchange rates, which may cause our revenue and operating results to differ materially from expectations. As we have expanded our international operations our exposure exchange rate fluctuations has increased, in particular with respect to the Euro, British Pound Sterling, Australian Dollar, Singapore Dollar, Japanese Yen and Colombian Peso.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Furthermore, global political events, including Brexit and similar geopolitical developments, fluctuating commodity prices and trade tariff developments, have caused global economic uncertainty, which could amplify the volatility of currency fluctuations. Such volatility, even when it increases our revenues or decreases our expenses, impacts our ability to predict our future results and earnings accurately. Although we may apply certain strategies to mitigate foreign currency risk, these strategies might not eliminate our exposure to foreign exchange rate fluctuations and would involve costs and risks of their own, such as ongoing management time and expertise, external costs to implement the strategies and potential accounting implications. Additionally, as we anticipate growing our business further outside of the United States, the effects of movements in currency exchange rates will increase as our transaction volume outside of the United States increases.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Weakened global economic conditions may harm our industry, business and results of operations.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bankruptcies, inflation and overall uncertainty with respect to the economy, including with respect to tariff and trade issues. In particular, the economies of countries in Europe have been experiencing weakness associated with high sovereign debt levels, weakness in the banking sector, uncertainty over the future of the Euro zone and volatility in the value of the pound sterling and the Euro, including instability surrounding Brexit. We have operations, as well as current and potential new customers, throughout most of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our failure to raise capital when needed could prevent us from growing.</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463" w:right="7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Report.</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4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86"/>
        </w:trPr>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6220" w:type="dxa"/>
            <w:vAlign w:val="bottom"/>
            <w:gridSpan w:val="5"/>
          </w:tcPr>
          <w:p>
            <w:pPr>
              <w:ind w:left="840"/>
              <w:spacing w:after="0"/>
              <w:rPr>
                <w:sz w:val="20"/>
                <w:szCs w:val="20"/>
                <w:color w:val="auto"/>
              </w:rPr>
            </w:pPr>
            <w:r>
              <w:rPr>
                <w:rFonts w:ascii="Arial" w:cs="Arial" w:eastAsia="Arial" w:hAnsi="Arial"/>
                <w:sz w:val="14"/>
                <w:szCs w:val="14"/>
                <w:b w:val="1"/>
                <w:bCs w:val="1"/>
                <w:color w:val="auto"/>
              </w:rPr>
              <w:t>Exhibit Title</w:t>
            </w:r>
          </w:p>
        </w:tc>
      </w:tr>
      <w:tr>
        <w:trPr>
          <w:trHeight w:val="377"/>
        </w:trPr>
        <w:tc>
          <w:tcPr>
            <w:tcW w:w="1240" w:type="dxa"/>
            <w:vAlign w:val="bottom"/>
          </w:tcPr>
          <w:p>
            <w:pPr>
              <w:ind w:left="180"/>
              <w:spacing w:after="0"/>
              <w:rPr>
                <w:sz w:val="20"/>
                <w:szCs w:val="20"/>
                <w:color w:val="auto"/>
              </w:rPr>
            </w:pPr>
            <w:r>
              <w:rPr>
                <w:rFonts w:ascii="Arial" w:cs="Arial" w:eastAsia="Arial" w:hAnsi="Arial"/>
                <w:sz w:val="18"/>
                <w:szCs w:val="18"/>
                <w:color w:val="auto"/>
              </w:rPr>
              <w:t>3.1(1)</w:t>
            </w:r>
          </w:p>
        </w:tc>
        <w:tc>
          <w:tcPr>
            <w:tcW w:w="9960" w:type="dxa"/>
            <w:vAlign w:val="bottom"/>
            <w:gridSpan w:val="7"/>
          </w:tcPr>
          <w:p>
            <w:pPr>
              <w:spacing w:after="0"/>
              <w:rPr>
                <w:rFonts w:ascii="Arial" w:cs="Arial" w:eastAsia="Arial" w:hAnsi="Arial"/>
                <w:sz w:val="18"/>
                <w:szCs w:val="18"/>
                <w:color w:val="0000FF"/>
              </w:rPr>
            </w:pPr>
            <w:hyperlink r:id="rId373">
              <w:r>
                <w:rPr>
                  <w:rFonts w:ascii="Arial" w:cs="Arial" w:eastAsia="Arial" w:hAnsi="Arial"/>
                  <w:sz w:val="18"/>
                  <w:szCs w:val="18"/>
                  <w:color w:val="0000FF"/>
                </w:rPr>
                <w:t>Amended and Restated Certificate of Incorporation of the Registrant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9"/>
        </w:trPr>
        <w:tc>
          <w:tcPr>
            <w:tcW w:w="1240" w:type="dxa"/>
            <w:vAlign w:val="bottom"/>
          </w:tcPr>
          <w:p>
            <w:pPr>
              <w:ind w:left="180"/>
              <w:spacing w:after="0"/>
              <w:rPr>
                <w:sz w:val="20"/>
                <w:szCs w:val="20"/>
                <w:color w:val="auto"/>
              </w:rPr>
            </w:pPr>
            <w:r>
              <w:rPr>
                <w:rFonts w:ascii="Arial" w:cs="Arial" w:eastAsia="Arial" w:hAnsi="Arial"/>
                <w:sz w:val="18"/>
                <w:szCs w:val="18"/>
                <w:color w:val="auto"/>
              </w:rPr>
              <w:t>3.2(2)</w:t>
            </w:r>
          </w:p>
        </w:tc>
        <w:tc>
          <w:tcPr>
            <w:tcW w:w="9960" w:type="dxa"/>
            <w:vAlign w:val="bottom"/>
            <w:gridSpan w:val="7"/>
          </w:tcPr>
          <w:p>
            <w:pPr>
              <w:spacing w:after="0"/>
              <w:rPr>
                <w:rFonts w:ascii="Arial" w:cs="Arial" w:eastAsia="Arial" w:hAnsi="Arial"/>
                <w:sz w:val="18"/>
                <w:szCs w:val="18"/>
                <w:color w:val="0000FF"/>
              </w:rPr>
            </w:pPr>
            <w:hyperlink r:id="rId374">
              <w:r>
                <w:rPr>
                  <w:rFonts w:ascii="Arial" w:cs="Arial" w:eastAsia="Arial" w:hAnsi="Arial"/>
                  <w:sz w:val="18"/>
                  <w:szCs w:val="18"/>
                  <w:color w:val="0000FF"/>
                </w:rPr>
                <w:t>Third Amended and Restated Bylaws of the Registrant (as currently in effect)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06"/>
        </w:trPr>
        <w:tc>
          <w:tcPr>
            <w:tcW w:w="1240" w:type="dxa"/>
            <w:vAlign w:val="bottom"/>
          </w:tcPr>
          <w:p>
            <w:pPr>
              <w:ind w:left="180"/>
              <w:spacing w:after="0"/>
              <w:rPr>
                <w:sz w:val="20"/>
                <w:szCs w:val="20"/>
                <w:color w:val="auto"/>
              </w:rPr>
            </w:pPr>
            <w:r>
              <w:rPr>
                <w:rFonts w:ascii="Arial" w:cs="Arial" w:eastAsia="Arial" w:hAnsi="Arial"/>
                <w:sz w:val="18"/>
                <w:szCs w:val="18"/>
                <w:color w:val="auto"/>
              </w:rPr>
              <w:t>4.1(3)</w:t>
            </w:r>
          </w:p>
        </w:tc>
        <w:tc>
          <w:tcPr>
            <w:tcW w:w="9960" w:type="dxa"/>
            <w:vAlign w:val="bottom"/>
            <w:gridSpan w:val="7"/>
          </w:tcPr>
          <w:p>
            <w:pPr>
              <w:spacing w:after="0"/>
              <w:rPr>
                <w:rFonts w:ascii="Arial" w:cs="Arial" w:eastAsia="Arial" w:hAnsi="Arial"/>
                <w:sz w:val="18"/>
                <w:szCs w:val="18"/>
                <w:color w:val="0000FF"/>
              </w:rPr>
            </w:pPr>
            <w:hyperlink r:id="rId375">
              <w:r>
                <w:rPr>
                  <w:rFonts w:ascii="Arial" w:cs="Arial" w:eastAsia="Arial" w:hAnsi="Arial"/>
                  <w:sz w:val="18"/>
                  <w:szCs w:val="18"/>
                  <w:color w:val="0000FF"/>
                </w:rPr>
                <w:t>Form of Common Stock certificate of the Registrant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240" w:type="dxa"/>
            <w:vAlign w:val="bottom"/>
          </w:tcPr>
          <w:p>
            <w:pPr>
              <w:jc w:val="center"/>
              <w:ind w:right="172"/>
              <w:spacing w:after="0"/>
              <w:rPr>
                <w:sz w:val="20"/>
                <w:szCs w:val="20"/>
                <w:color w:val="auto"/>
              </w:rPr>
            </w:pPr>
            <w:r>
              <w:rPr>
                <w:rFonts w:ascii="Arial" w:cs="Arial" w:eastAsia="Arial" w:hAnsi="Arial"/>
                <w:sz w:val="18"/>
                <w:szCs w:val="18"/>
                <w:color w:val="auto"/>
              </w:rPr>
              <w:t>31.1**</w:t>
            </w:r>
          </w:p>
        </w:tc>
        <w:tc>
          <w:tcPr>
            <w:tcW w:w="9960" w:type="dxa"/>
            <w:vAlign w:val="bottom"/>
            <w:gridSpan w:val="7"/>
          </w:tcPr>
          <w:p>
            <w:pPr>
              <w:spacing w:after="0"/>
              <w:rPr>
                <w:rFonts w:ascii="Arial" w:cs="Arial" w:eastAsia="Arial" w:hAnsi="Arial"/>
                <w:sz w:val="18"/>
                <w:szCs w:val="18"/>
                <w:color w:val="0000FF"/>
                <w:w w:val="95"/>
              </w:rPr>
            </w:pPr>
            <w:hyperlink w:anchor="page61">
              <w:r>
                <w:rPr>
                  <w:rFonts w:ascii="Arial" w:cs="Arial" w:eastAsia="Arial" w:hAnsi="Arial"/>
                  <w:sz w:val="18"/>
                  <w:szCs w:val="18"/>
                  <w:color w:val="0000FF"/>
                  <w:w w:val="95"/>
                </w:rPr>
                <w:t>Certification of Principal Executive Officer pursuant to Rule 13a-14(a) or Rule 15d-14(a) of the Securities Exchange Act of 1934, as</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46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09"/>
        </w:trPr>
        <w:tc>
          <w:tcPr>
            <w:tcW w:w="1240" w:type="dxa"/>
            <w:vAlign w:val="bottom"/>
          </w:tcPr>
          <w:p>
            <w:pPr>
              <w:spacing w:after="0"/>
              <w:rPr>
                <w:sz w:val="18"/>
                <w:szCs w:val="18"/>
                <w:color w:val="auto"/>
              </w:rPr>
            </w:pPr>
          </w:p>
        </w:tc>
        <w:tc>
          <w:tcPr>
            <w:tcW w:w="9960" w:type="dxa"/>
            <w:vAlign w:val="bottom"/>
            <w:gridSpan w:val="7"/>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amended</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1240" w:type="dxa"/>
            <w:vAlign w:val="bottom"/>
          </w:tcPr>
          <w:p>
            <w:pPr>
              <w:jc w:val="center"/>
              <w:ind w:right="172"/>
              <w:spacing w:after="0"/>
              <w:rPr>
                <w:sz w:val="20"/>
                <w:szCs w:val="20"/>
                <w:color w:val="auto"/>
              </w:rPr>
            </w:pPr>
            <w:r>
              <w:rPr>
                <w:rFonts w:ascii="Arial" w:cs="Arial" w:eastAsia="Arial" w:hAnsi="Arial"/>
                <w:sz w:val="18"/>
                <w:szCs w:val="18"/>
                <w:color w:val="auto"/>
              </w:rPr>
              <w:t>31.2**</w:t>
            </w:r>
          </w:p>
        </w:tc>
        <w:tc>
          <w:tcPr>
            <w:tcW w:w="9960" w:type="dxa"/>
            <w:vAlign w:val="bottom"/>
            <w:gridSpan w:val="7"/>
          </w:tcPr>
          <w:p>
            <w:pPr>
              <w:spacing w:after="0"/>
              <w:rPr>
                <w:rFonts w:ascii="Arial" w:cs="Arial" w:eastAsia="Arial" w:hAnsi="Arial"/>
                <w:sz w:val="18"/>
                <w:szCs w:val="18"/>
                <w:color w:val="0000FF"/>
                <w:w w:val="96"/>
              </w:rPr>
            </w:pPr>
            <w:hyperlink w:anchor="page62">
              <w:r>
                <w:rPr>
                  <w:rFonts w:ascii="Arial" w:cs="Arial" w:eastAsia="Arial" w:hAnsi="Arial"/>
                  <w:sz w:val="18"/>
                  <w:szCs w:val="18"/>
                  <w:color w:val="0000FF"/>
                  <w:w w:val="96"/>
                </w:rPr>
                <w:t>Certification of Principal Financial Officer pursuant to Rule 13a-14(a) or Rule 15d-14(a) of the Securities Exchange Act of 1934, as</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910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9960" w:type="dxa"/>
            <w:vAlign w:val="bottom"/>
            <w:gridSpan w:val="7"/>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amended</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46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398"/>
        </w:trPr>
        <w:tc>
          <w:tcPr>
            <w:tcW w:w="1240" w:type="dxa"/>
            <w:vAlign w:val="bottom"/>
          </w:tcPr>
          <w:p>
            <w:pPr>
              <w:jc w:val="center"/>
              <w:ind w:right="192"/>
              <w:spacing w:after="0"/>
              <w:rPr>
                <w:sz w:val="20"/>
                <w:szCs w:val="20"/>
                <w:color w:val="auto"/>
              </w:rPr>
            </w:pPr>
            <w:r>
              <w:rPr>
                <w:rFonts w:ascii="Arial" w:cs="Arial" w:eastAsia="Arial" w:hAnsi="Arial"/>
                <w:sz w:val="18"/>
                <w:szCs w:val="18"/>
                <w:color w:val="auto"/>
                <w:w w:val="95"/>
              </w:rPr>
              <w:t>32.1*</w:t>
            </w:r>
          </w:p>
        </w:tc>
        <w:tc>
          <w:tcPr>
            <w:tcW w:w="9960" w:type="dxa"/>
            <w:vAlign w:val="bottom"/>
            <w:gridSpan w:val="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Principal Executive Officer and Principal Financial Officer pursuant to Section 906 of the Sarbanes-Oxley Act</w:t>
              </w:r>
            </w:hyperlink>
          </w:p>
        </w:tc>
      </w:tr>
      <w:tr>
        <w:trPr>
          <w:trHeight w:val="20"/>
        </w:trPr>
        <w:tc>
          <w:tcPr>
            <w:tcW w:w="1240" w:type="dxa"/>
            <w:vAlign w:val="bottom"/>
            <w:tcBorders>
              <w:right w:val="single" w:sz="8" w:color="0000EE"/>
            </w:tcBorders>
          </w:tcPr>
          <w:p>
            <w:pPr>
              <w:spacing w:after="0" w:line="20" w:lineRule="exact"/>
              <w:rPr>
                <w:sz w:val="1"/>
                <w:szCs w:val="1"/>
                <w:color w:val="auto"/>
              </w:rPr>
            </w:pPr>
          </w:p>
        </w:tc>
        <w:tc>
          <w:tcPr>
            <w:tcW w:w="9100" w:type="dxa"/>
            <w:vAlign w:val="bottom"/>
            <w:tcBorders>
              <w:right w:val="single" w:sz="8" w:color="0000EE"/>
            </w:tcBorders>
            <w:gridSpan w:val="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8"/>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9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19"/>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19"/>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960" w:type="dxa"/>
            <w:vAlign w:val="bottom"/>
            <w:gridSpan w:val="7"/>
          </w:tcPr>
          <w:p>
            <w:pPr>
              <w:spacing w:after="0"/>
              <w:rPr>
                <w:sz w:val="20"/>
                <w:szCs w:val="20"/>
                <w:color w:val="auto"/>
              </w:rPr>
            </w:pPr>
            <w:r>
              <w:rPr>
                <w:rFonts w:ascii="Arial" w:cs="Arial" w:eastAsia="Arial" w:hAnsi="Arial"/>
                <w:sz w:val="18"/>
                <w:szCs w:val="18"/>
                <w:color w:val="auto"/>
                <w:w w:val="92"/>
              </w:rPr>
              <w:t>Cover Page Interactive Data File (formatted as Inline XBRL with applicable taxonomy extension information contained in Exhibits 101.*)</w:t>
            </w:r>
          </w:p>
        </w:tc>
      </w:tr>
    </w:tbl>
    <w:p>
      <w:pPr>
        <w:spacing w:after="0" w:line="121" w:lineRule="exact"/>
        <w:rPr>
          <w:sz w:val="20"/>
          <w:szCs w:val="20"/>
          <w:color w:val="auto"/>
        </w:rPr>
      </w:pPr>
    </w:p>
    <w:p>
      <w:pPr>
        <w:ind w:left="280" w:hanging="227"/>
        <w:spacing w:after="0"/>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46"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HubSpot, Inc.’s Annual Report on Form 10-K filed on February 24, 2016.</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3.2 to HubSpot Inc.’s Quarterly Report on Form 10-Q filed on November 5, 2020.</w:t>
      </w:r>
    </w:p>
    <w:p>
      <w:pPr>
        <w:spacing w:after="0" w:line="23" w:lineRule="exact"/>
        <w:rPr>
          <w:rFonts w:ascii="Arial" w:cs="Arial" w:eastAsia="Arial" w:hAnsi="Arial"/>
          <w:sz w:val="18"/>
          <w:szCs w:val="18"/>
          <w:color w:val="auto"/>
        </w:rPr>
      </w:pPr>
    </w:p>
    <w:p>
      <w:pPr>
        <w:ind w:left="520" w:right="120" w:hanging="512"/>
        <w:spacing w:after="0" w:line="292"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4.1 to Amendment No. 1 to Registrant’s Registration Statement on Form S-1 (SEC File No. 333-198333) filed on September 26, 2014.</w:t>
      </w:r>
    </w:p>
    <w:p>
      <w:pPr>
        <w:spacing w:after="0" w:line="211" w:lineRule="exact"/>
        <w:rPr>
          <w:sz w:val="20"/>
          <w:szCs w:val="20"/>
          <w:color w:val="auto"/>
        </w:rPr>
      </w:pPr>
    </w:p>
    <w:p>
      <w:pPr>
        <w:jc w:val="both"/>
        <w:ind w:left="520" w:right="200" w:hanging="512"/>
        <w:spacing w:after="0" w:line="325" w:lineRule="auto"/>
        <w:tabs>
          <w:tab w:leader="none" w:pos="1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HUBSPOT, INC.</w:t>
      </w:r>
    </w:p>
    <w:p>
      <w:pPr>
        <w:spacing w:after="0" w:line="351" w:lineRule="exact"/>
        <w:rPr>
          <w:sz w:val="20"/>
          <w:szCs w:val="20"/>
          <w:color w:val="auto"/>
        </w:rPr>
      </w:pPr>
    </w:p>
    <w:tbl>
      <w:tblPr>
        <w:tblLayout w:type="fixed"/>
        <w:tblInd w:w="6780" w:type="dxa"/>
        <w:tblCellMar>
          <w:top w:w="0" w:type="dxa"/>
          <w:left w:w="0" w:type="dxa"/>
          <w:bottom w:w="0" w:type="dxa"/>
          <w:right w:w="0" w:type="dxa"/>
        </w:tblCellMar>
      </w:tblPr>
      <w:tr>
        <w:trPr>
          <w:trHeight w:val="24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Kate Bueker</w:t>
            </w: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ind w:left="20"/>
              <w:spacing w:after="0"/>
              <w:rPr>
                <w:sz w:val="20"/>
                <w:szCs w:val="20"/>
                <w:color w:val="auto"/>
              </w:rPr>
            </w:pPr>
            <w:r>
              <w:rPr>
                <w:rFonts w:ascii="Arial" w:cs="Arial" w:eastAsia="Arial" w:hAnsi="Arial"/>
                <w:sz w:val="18"/>
                <w:szCs w:val="18"/>
                <w:color w:val="auto"/>
              </w:rPr>
              <w:t>Kate Bueker</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w:t>
            </w:r>
          </w:p>
        </w:tc>
      </w:tr>
      <w:tr>
        <w:trPr>
          <w:trHeight w:val="230"/>
        </w:trPr>
        <w:tc>
          <w:tcPr>
            <w:tcW w:w="6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Officer and Authorized Signatory)</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4,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Brian Halligan, certify that:</w:t>
      </w:r>
    </w:p>
    <w:p>
      <w:pPr>
        <w:spacing w:after="0" w:line="13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960" w:right="560" w:hanging="441"/>
        <w:spacing w:after="0" w:line="359"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640" w:val="left"/>
          <w:tab w:leader="none" w:pos="732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23495</wp:posOffset>
            </wp:positionV>
            <wp:extent cx="24860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Brian Halligan</w:t>
      </w:r>
    </w:p>
    <w:p>
      <w:pPr>
        <w:spacing w:after="0" w:line="5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Kate Bueker, certify that:</w:t>
      </w:r>
    </w:p>
    <w:p>
      <w:pPr>
        <w:spacing w:after="0" w:line="13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HubSpot, Inc.;</w:t>
      </w:r>
    </w:p>
    <w:p>
      <w:pPr>
        <w:spacing w:after="0" w:line="130"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440" w:right="320" w:hanging="432"/>
        <w:spacing w:after="0" w:line="279"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960" w:right="8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960" w:right="380" w:hanging="441"/>
        <w:spacing w:after="0" w:line="279"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jc w:val="both"/>
        <w:ind w:left="960" w:right="560" w:hanging="441"/>
        <w:spacing w:after="0" w:line="359" w:lineRule="auto"/>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960" w:right="60" w:hanging="441"/>
        <w:spacing w:after="0" w:line="279"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960" w:right="800" w:hanging="441"/>
        <w:spacing w:after="0" w:line="359"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960" w:right="480" w:hanging="441"/>
        <w:spacing w:after="0" w:line="29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700" w:val="left"/>
          <w:tab w:leader="none" w:pos="710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Kate Bueker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 Brian Halligan, certify, pursuant to 18 U.S.C. Section 1350, as adopted pursuant to Section 906 of the Sarbanes-Oxley Act of 2002, that, to my knowledge, the Quarterly Report on Form 10-Q of HubSpot, Inc. for the period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212"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7"/>
          <w:szCs w:val="17"/>
          <w:color w:val="auto"/>
        </w:rPr>
        <w:t>By:  /s/ Brian Halligan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Brian Halligan</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right="100" w:firstLine="509"/>
        <w:spacing w:after="0" w:line="275" w:lineRule="auto"/>
        <w:rPr>
          <w:sz w:val="20"/>
          <w:szCs w:val="20"/>
          <w:color w:val="auto"/>
        </w:rPr>
      </w:pPr>
      <w:r>
        <w:rPr>
          <w:rFonts w:ascii="Arial" w:cs="Arial" w:eastAsia="Arial" w:hAnsi="Arial"/>
          <w:sz w:val="18"/>
          <w:szCs w:val="18"/>
          <w:color w:val="auto"/>
        </w:rPr>
        <w:t>I, Kate Bueker, certify, pursuant to 18 U.S.C. Section 1350, as adopted pursuant to Section 906 of the Sarbanes-Oxley Act of 2002, that, to my knowledge, the Quarterly Report on Form 10-Q of HubSpot, Inc. for the period ended June 30, 2021 fully complies with the requirements of Section 13(a) or 15(d) of the Securities Exchange Act of 1934 and that information contained in such Quarterly Report on Form 10-Q fairly presents, in all material respects, the financial condition and results of operations of HubSpot, Inc.</w:t>
      </w:r>
    </w:p>
    <w:p>
      <w:pPr>
        <w:spacing w:after="0" w:line="212"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6"/>
          <w:szCs w:val="16"/>
          <w:color w:val="auto"/>
        </w:rPr>
        <w:t>By:  /s/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23495</wp:posOffset>
            </wp:positionV>
            <wp:extent cx="262318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Kate Bueker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Officer)</w:t>
      </w:r>
    </w:p>
    <w:p>
      <w:pPr>
        <w:spacing w:after="0" w:line="292" w:lineRule="exact"/>
        <w:rPr>
          <w:sz w:val="20"/>
          <w:szCs w:val="20"/>
          <w:color w:val="auto"/>
        </w:rPr>
      </w:pPr>
    </w:p>
    <w:p>
      <w:pPr>
        <w:ind w:right="80" w:firstLine="509"/>
        <w:spacing w:after="0" w:line="329" w:lineRule="auto"/>
        <w:rPr>
          <w:sz w:val="20"/>
          <w:szCs w:val="20"/>
          <w:color w:val="auto"/>
        </w:rPr>
      </w:pPr>
      <w:r>
        <w:rPr>
          <w:rFonts w:ascii="Arial" w:cs="Arial" w:eastAsia="Arial" w:hAnsi="Arial"/>
          <w:sz w:val="16"/>
          <w:szCs w:val="16"/>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73" Type="http://schemas.openxmlformats.org/officeDocument/2006/relationships/hyperlink" Target="https://www.sec.gov/Archives/edgar/data/1404655/000156459016013204/hubs-ex31_768.htm" TargetMode="External"/><Relationship Id="rId374" Type="http://schemas.openxmlformats.org/officeDocument/2006/relationships/hyperlink" Target="https://www.sec.gov/Archives/edgar/data/1404655/000156459020051449/hubs-ex32_103.htm" TargetMode="External"/><Relationship Id="rId375" Type="http://schemas.openxmlformats.org/officeDocument/2006/relationships/hyperlink" Target="https://www.sec.gov/Archives/edgar/data/1404655/000119312514353746/d69725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2021-08-04T16:56:03Z</dcterms:created>
  <dcterms:modified xsi:type="dcterms:W3CDTF">2021-08-04T16:56:03Z</dcterms:modified>
</cp:coreProperties>
</file>