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hubs-20230930.htm"/>
      <w:bookmarkStart w:id="1" w:name="kshubs20230930"/>
      <w:bookmarkEnd w:id="0"/>
      <w:bookmarkEnd w:id="1"/>
      <w:r>
        <w:rPr/>
        <w:t> </w:t>
      </w:r>
    </w:p>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UNITED STATES</w:t>
      </w:r>
    </w:p>
    <w:p>
      <w:pPr>
        <w:pStyle w:val="TextBody"/>
        <w:bidi w:val="0"/>
        <w:jc w:val="center"/>
        <w:rPr>
          <w:rFonts w:ascii="Times New Roman" w:hAnsi="Times New Roman"/>
          <w:b/>
          <w:color w:val="000000"/>
          <w:sz w:val="18"/>
        </w:rPr>
      </w:pPr>
      <w:r>
        <w:rPr>
          <w:rFonts w:ascii="Times New Roman" w:hAnsi="Times New Roman"/>
          <w:b/>
          <w:color w:val="000000"/>
          <w:sz w:val="18"/>
        </w:rPr>
        <w:t>SECURITIES AND EXCHANGE COMMISSION</w:t>
      </w:r>
    </w:p>
    <w:p>
      <w:pPr>
        <w:pStyle w:val="TextBody"/>
        <w:bidi w:val="0"/>
        <w:jc w:val="center"/>
        <w:rPr>
          <w:rFonts w:ascii="Times New Roman" w:hAnsi="Times New Roman"/>
          <w:b/>
          <w:color w:val="000000"/>
          <w:sz w:val="18"/>
        </w:rPr>
      </w:pPr>
      <w:r>
        <w:rPr>
          <w:rFonts w:ascii="Times New Roman" w:hAnsi="Times New Roman"/>
          <w:b/>
          <w:color w:val="000000"/>
          <w:sz w:val="18"/>
        </w:rPr>
        <w:t>Washington, D.C. 20549</w:t>
      </w:r>
    </w:p>
    <w:p>
      <w:pPr>
        <w:pStyle w:val="TextBody"/>
        <w:pBdr>
          <w:bottom w:val="single" w:sz="4" w:space="1" w:color="000000"/>
        </w:pBdr>
        <w:bidi w:val="0"/>
        <w:jc w:val="center"/>
        <w:rPr/>
      </w:pPr>
      <w:r>
        <w:rPr/>
        <w:t> </w:t>
      </w:r>
    </w:p>
    <w:p>
      <w:pPr>
        <w:pStyle w:val="TextBody"/>
        <w:bidi w:val="0"/>
        <w:spacing w:before="100" w:after="283"/>
        <w:jc w:val="center"/>
        <w:rPr>
          <w:rFonts w:ascii="Times New Roman" w:hAnsi="Times New Roman"/>
          <w:b/>
          <w:color w:val="000000"/>
          <w:sz w:val="26"/>
        </w:rPr>
      </w:pPr>
      <w:r>
        <w:rPr>
          <w:rFonts w:ascii="Times New Roman" w:hAnsi="Times New Roman"/>
          <w:b/>
          <w:color w:val="000000"/>
          <w:sz w:val="26"/>
        </w:rPr>
        <w:t>FORM 10-Q</w:t>
      </w:r>
    </w:p>
    <w:p>
      <w:pPr>
        <w:pStyle w:val="TextBody"/>
        <w:pBdr>
          <w:bottom w:val="single" w:sz="4" w:space="1" w:color="000000"/>
        </w:pBdr>
        <w:bidi w:val="0"/>
        <w:jc w:val="center"/>
        <w:rPr/>
      </w:pPr>
      <w:r>
        <w:rPr/>
        <w:t> </w:t>
      </w:r>
    </w:p>
    <w:p>
      <w:pPr>
        <w:pStyle w:val="TextBody"/>
        <w:bidi w:val="0"/>
        <w:spacing w:before="100" w:after="283"/>
        <w:jc w:val="left"/>
        <w:rPr>
          <w:rFonts w:ascii="Times New Roman" w:hAnsi="Times New Roman"/>
          <w:b/>
          <w:color w:val="000000"/>
          <w:sz w:val="18"/>
        </w:rPr>
      </w:pPr>
      <w:r>
        <w:rPr>
          <w:rFonts w:ascii="Times New Roman" w:hAnsi="Times New Roman"/>
          <w:b/>
          <w:color w:val="000000"/>
          <w:sz w:val="18"/>
        </w:rPr>
        <w:t>(MARK ONE)</w:t>
      </w:r>
    </w:p>
    <w:p>
      <w:pPr>
        <w:pStyle w:val="TextBody"/>
        <w:bidi w:val="0"/>
        <w:jc w:val="left"/>
        <w:rPr/>
      </w:pPr>
      <w:r>
        <w:rPr/>
        <w:t> </w:t>
      </w:r>
    </w:p>
    <w:tbl>
      <w:tblPr>
        <w:tblW w:w="9752" w:type="dxa"/>
        <w:jc w:val="left"/>
        <w:tblInd w:w="0" w:type="dxa"/>
        <w:tblLayout w:type="fixed"/>
        <w:tblCellMar>
          <w:top w:w="28" w:type="dxa"/>
          <w:left w:w="28" w:type="dxa"/>
          <w:bottom w:w="28" w:type="dxa"/>
          <w:right w:w="28" w:type="dxa"/>
        </w:tblCellMar>
      </w:tblPr>
      <w:tblGrid>
        <w:gridCol w:w="331"/>
        <w:gridCol w:w="9421"/>
      </w:tblGrid>
      <w:tr>
        <w:trPr/>
        <w:tc>
          <w:tcPr>
            <w:tcW w:w="33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421" w:type="dxa"/>
            <w:tcBorders/>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QUARTERLY REPORT PURSUANT TO SECTION 13 OR 15(d) OF THE SECURITIES EXCHANGE ACT OF 1934</w:t>
            </w:r>
          </w:p>
        </w:tc>
      </w:tr>
    </w:tbl>
    <w:p>
      <w:pPr>
        <w:pStyle w:val="TextBody"/>
        <w:bidi w:val="0"/>
        <w:jc w:val="left"/>
        <w:rPr/>
      </w:pPr>
      <w:r>
        <w:rPr/>
        <w:t> </w:t>
      </w:r>
    </w:p>
    <w:p>
      <w:pPr>
        <w:pStyle w:val="TextBody"/>
        <w:bidi w:val="0"/>
        <w:spacing w:before="100" w:after="283"/>
        <w:jc w:val="center"/>
        <w:rPr>
          <w:rFonts w:ascii="Times New Roman" w:hAnsi="Times New Roman"/>
          <w:b/>
          <w:color w:val="000000"/>
          <w:sz w:val="18"/>
        </w:rPr>
      </w:pPr>
      <w:r>
        <w:rPr>
          <w:rFonts w:ascii="Times New Roman" w:hAnsi="Times New Roman"/>
          <w:b/>
          <w:color w:val="000000"/>
          <w:sz w:val="18"/>
        </w:rPr>
        <w:t>FOR THE QUARTERLY PERIOD ENDED September 30, 2023</w:t>
      </w:r>
    </w:p>
    <w:p>
      <w:pPr>
        <w:pStyle w:val="TextBody"/>
        <w:bidi w:val="0"/>
        <w:spacing w:before="100" w:after="283"/>
        <w:jc w:val="center"/>
        <w:rPr>
          <w:rFonts w:ascii="Times New Roman" w:hAnsi="Times New Roman"/>
          <w:b/>
          <w:color w:val="000000"/>
          <w:sz w:val="18"/>
        </w:rPr>
      </w:pPr>
      <w:r>
        <w:rPr>
          <w:rFonts w:ascii="Times New Roman" w:hAnsi="Times New Roman"/>
          <w:b/>
          <w:color w:val="000000"/>
          <w:sz w:val="18"/>
        </w:rPr>
        <w:t>OR</w:t>
      </w:r>
    </w:p>
    <w:p>
      <w:pPr>
        <w:pStyle w:val="TextBody"/>
        <w:bidi w:val="0"/>
        <w:jc w:val="left"/>
        <w:rPr/>
      </w:pPr>
      <w:r>
        <w:rPr/>
        <w:t> </w:t>
      </w:r>
    </w:p>
    <w:tbl>
      <w:tblPr>
        <w:tblW w:w="9752" w:type="dxa"/>
        <w:jc w:val="left"/>
        <w:tblInd w:w="0" w:type="dxa"/>
        <w:tblLayout w:type="fixed"/>
        <w:tblCellMar>
          <w:top w:w="28" w:type="dxa"/>
          <w:left w:w="28" w:type="dxa"/>
          <w:bottom w:w="28" w:type="dxa"/>
          <w:right w:w="28" w:type="dxa"/>
        </w:tblCellMar>
      </w:tblPr>
      <w:tblGrid>
        <w:gridCol w:w="331"/>
        <w:gridCol w:w="9421"/>
      </w:tblGrid>
      <w:tr>
        <w:trPr/>
        <w:tc>
          <w:tcPr>
            <w:tcW w:w="33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421" w:type="dxa"/>
            <w:tcBorders/>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TRANSITION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8"/>
        </w:rPr>
        <w:t>FOR THE TRANSITION PERIOD FROM TO</w:t>
      </w:r>
      <w:r>
        <w:rPr>
          <w:rFonts w:ascii="Times New Roman" w:hAnsi="Times New Roman"/>
          <w:color w:val="000000"/>
          <w:sz w:val="20"/>
        </w:rPr>
        <w:t xml:space="preserve"> </w:t>
      </w:r>
    </w:p>
    <w:p>
      <w:pPr>
        <w:pStyle w:val="TextBody"/>
        <w:bidi w:val="0"/>
        <w:spacing w:before="100" w:after="283"/>
        <w:jc w:val="center"/>
        <w:rPr>
          <w:rFonts w:ascii="Times New Roman" w:hAnsi="Times New Roman"/>
          <w:b/>
          <w:color w:val="000000"/>
          <w:sz w:val="18"/>
        </w:rPr>
      </w:pPr>
      <w:r>
        <w:rPr>
          <w:rFonts w:ascii="Times New Roman" w:hAnsi="Times New Roman"/>
          <w:b/>
          <w:color w:val="000000"/>
          <w:sz w:val="18"/>
        </w:rPr>
        <w:t>COMMISSION FILE NUMBER 001-36680</w:t>
      </w:r>
    </w:p>
    <w:p>
      <w:pPr>
        <w:pStyle w:val="TextBody"/>
        <w:pBdr>
          <w:bottom w:val="single" w:sz="4" w:space="1" w:color="000000"/>
        </w:pBdr>
        <w:bidi w:val="0"/>
        <w:jc w:val="center"/>
        <w:rPr/>
      </w:pPr>
      <w:r>
        <w:rPr/>
        <w:t> </w:t>
      </w:r>
    </w:p>
    <w:p>
      <w:pPr>
        <w:pStyle w:val="TextBody"/>
        <w:bidi w:val="0"/>
        <w:spacing w:before="100" w:after="283"/>
        <w:jc w:val="center"/>
        <w:rPr>
          <w:rFonts w:ascii="Times New Roman" w:hAnsi="Times New Roman"/>
          <w:b/>
          <w:color w:val="000000"/>
          <w:sz w:val="44"/>
        </w:rPr>
      </w:pPr>
      <w:r>
        <w:rPr>
          <w:rFonts w:ascii="Times New Roman" w:hAnsi="Times New Roman"/>
          <w:b/>
          <w:color w:val="000000"/>
          <w:sz w:val="44"/>
        </w:rPr>
        <w:t>HubSpot, Inc.</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4" w:space="1" w:color="000000"/>
        </w:pBdr>
        <w:bidi w:val="0"/>
        <w:jc w:val="center"/>
        <w:rPr/>
      </w:pPr>
      <w:r>
        <w:rPr/>
        <w:t> </w:t>
      </w:r>
    </w:p>
    <w:tbl>
      <w:tblPr>
        <w:tblW w:w="4116" w:type="dxa"/>
        <w:jc w:val="left"/>
        <w:tblInd w:w="0" w:type="dxa"/>
        <w:tblLayout w:type="fixed"/>
        <w:tblCellMar>
          <w:top w:w="28" w:type="dxa"/>
          <w:left w:w="28" w:type="dxa"/>
          <w:bottom w:w="28" w:type="dxa"/>
          <w:right w:w="28" w:type="dxa"/>
        </w:tblCellMar>
      </w:tblPr>
      <w:tblGrid>
        <w:gridCol w:w="2446"/>
        <w:gridCol w:w="109"/>
        <w:gridCol w:w="1561"/>
      </w:tblGrid>
      <w:tr>
        <w:trPr/>
        <w:tc>
          <w:tcPr>
            <w:tcW w:w="2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2446"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09"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20-2632791</w:t>
            </w:r>
          </w:p>
        </w:tc>
      </w:tr>
      <w:tr>
        <w:trPr/>
        <w:tc>
          <w:tcPr>
            <w:tcW w:w="2446" w:type="dxa"/>
            <w:tcBorders/>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(State or other jurisdiction of</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incorporation or organization)</w:t>
            </w:r>
          </w:p>
        </w:tc>
        <w:tc>
          <w:tcPr>
            <w:tcW w:w="109"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(I.R.S. Employer</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Identification No.)</w:t>
            </w:r>
          </w:p>
        </w:tc>
      </w:tr>
    </w:tbl>
    <w:p>
      <w:pPr>
        <w:pStyle w:val="TextBody"/>
        <w:bidi w:val="0"/>
        <w:jc w:val="left"/>
        <w:rPr/>
      </w:pPr>
      <w:r>
        <w:rPr/>
        <w:t> </w:t>
      </w:r>
    </w:p>
    <w:tbl>
      <w:tblPr>
        <w:tblW w:w="3481" w:type="dxa"/>
        <w:jc w:val="left"/>
        <w:tblInd w:w="0" w:type="dxa"/>
        <w:tblLayout w:type="fixed"/>
        <w:tblCellMar>
          <w:top w:w="28" w:type="dxa"/>
          <w:left w:w="28" w:type="dxa"/>
          <w:bottom w:w="28" w:type="dxa"/>
          <w:right w:w="28" w:type="dxa"/>
        </w:tblCellMar>
      </w:tblPr>
      <w:tblGrid>
        <w:gridCol w:w="3481"/>
      </w:tblGrid>
      <w:tr>
        <w:trPr/>
        <w:tc>
          <w:tcPr>
            <w:tcW w:w="3481" w:type="dxa"/>
            <w:tcBorders/>
            <w:vAlign w:val="center"/>
          </w:tcPr>
          <w:p>
            <w:pPr>
              <w:pStyle w:val="TableContents"/>
              <w:bidi w:val="0"/>
              <w:spacing w:before="0" w:after="283"/>
              <w:jc w:val="left"/>
              <w:rPr>
                <w:sz w:val="4"/>
                <w:szCs w:val="4"/>
              </w:rPr>
            </w:pPr>
            <w:r>
              <w:rPr>
                <w:sz w:val="4"/>
                <w:szCs w:val="4"/>
              </w:rPr>
            </w:r>
          </w:p>
        </w:tc>
      </w:tr>
      <w:tr>
        <w:trPr/>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Two Canal Park</w:t>
            </w:r>
          </w:p>
        </w:tc>
      </w:tr>
      <w:tr>
        <w:trPr/>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9"/>
              </w:rPr>
              <w:t>Cambridge, Massachusetts</w:t>
            </w:r>
            <w:r>
              <w:rPr>
                <w:rFonts w:ascii="Times New Roman" w:hAnsi="Times New Roman"/>
                <w:color w:val="000000"/>
                <w:sz w:val="20"/>
              </w:rPr>
              <w:t xml:space="preserve"> </w:t>
            </w:r>
            <w:r>
              <w:rPr>
                <w:rFonts w:ascii="Times New Roman" w:hAnsi="Times New Roman"/>
                <w:b/>
                <w:color w:val="000000"/>
                <w:sz w:val="19"/>
              </w:rPr>
              <w:t>02141</w:t>
            </w:r>
          </w:p>
        </w:tc>
      </w:tr>
      <w:tr>
        <w:trPr/>
        <w:tc>
          <w:tcPr>
            <w:tcW w:w="348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b/>
                <w:color w:val="000000"/>
                <w:sz w:val="19"/>
              </w:rPr>
              <w:t>(Address of principal executive offices)</w:t>
            </w:r>
          </w:p>
        </w:tc>
      </w:tr>
    </w:tbl>
    <w:p>
      <w:pPr>
        <w:pStyle w:val="TextBody"/>
        <w:bidi w:val="0"/>
        <w:spacing w:before="100" w:after="283"/>
        <w:jc w:val="center"/>
        <w:rPr>
          <w:rFonts w:ascii="Times New Roman" w:hAnsi="Times New Roman"/>
          <w:b/>
          <w:color w:val="000000"/>
          <w:sz w:val="18"/>
        </w:rPr>
      </w:pPr>
      <w:r>
        <w:rPr>
          <w:rFonts w:ascii="Times New Roman" w:hAnsi="Times New Roman"/>
          <w:b/>
          <w:color w:val="000000"/>
          <w:sz w:val="18"/>
        </w:rPr>
        <w:t>(888) 482-7768</w:t>
      </w:r>
    </w:p>
    <w:p>
      <w:pPr>
        <w:pStyle w:val="TextBody"/>
        <w:bidi w:val="0"/>
        <w:jc w:val="center"/>
        <w:rPr>
          <w:rFonts w:ascii="Times New Roman" w:hAnsi="Times New Roman"/>
          <w:b/>
          <w:color w:val="000000"/>
          <w:sz w:val="18"/>
        </w:rPr>
      </w:pPr>
      <w:r>
        <w:rPr>
          <w:rFonts w:ascii="Times New Roman" w:hAnsi="Times New Roman"/>
          <w:b/>
          <w:color w:val="000000"/>
          <w:sz w:val="18"/>
        </w:rPr>
        <w:t>(Registrant’s telephone number, including area code)</w:t>
      </w:r>
    </w:p>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Securities registered pursuant to Section 12(b) of the Act:</w:t>
      </w:r>
    </w:p>
    <w:p>
      <w:pPr>
        <w:pStyle w:val="TextBody"/>
        <w:bidi w:val="0"/>
        <w:jc w:val="left"/>
        <w:rPr/>
      </w:pPr>
      <w:r>
        <w:rPr/>
        <w:t> </w:t>
      </w:r>
    </w:p>
    <w:tbl>
      <w:tblPr>
        <w:tblW w:w="8770" w:type="dxa"/>
        <w:jc w:val="left"/>
        <w:tblInd w:w="0" w:type="dxa"/>
        <w:tblLayout w:type="fixed"/>
        <w:tblCellMar>
          <w:top w:w="28" w:type="dxa"/>
          <w:left w:w="28" w:type="dxa"/>
          <w:bottom w:w="28" w:type="dxa"/>
          <w:right w:w="28" w:type="dxa"/>
        </w:tblCellMar>
      </w:tblPr>
      <w:tblGrid>
        <w:gridCol w:w="3436"/>
        <w:gridCol w:w="146"/>
        <w:gridCol w:w="1561"/>
        <w:gridCol w:w="146"/>
        <w:gridCol w:w="348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34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5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4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3436"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 par value $0.001 per share</w:t>
            </w:r>
          </w:p>
        </w:tc>
        <w:tc>
          <w:tcPr>
            <w:tcW w:w="146" w:type="dxa"/>
            <w:tcBorders/>
            <w:vAlign w:val="center"/>
          </w:tcPr>
          <w:p>
            <w:pPr>
              <w:pStyle w:val="TableContents"/>
              <w:bidi w:val="0"/>
              <w:spacing w:before="0" w:after="283"/>
              <w:jc w:val="center"/>
              <w:rPr/>
            </w:pPr>
            <w:r>
              <w:rPr/>
              <w:t> </w:t>
            </w:r>
          </w:p>
        </w:tc>
        <w:tc>
          <w:tcPr>
            <w:tcW w:w="1561"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HUBS</w:t>
            </w:r>
          </w:p>
        </w:tc>
        <w:tc>
          <w:tcPr>
            <w:tcW w:w="146" w:type="dxa"/>
            <w:tcBorders/>
            <w:vAlign w:val="center"/>
          </w:tcPr>
          <w:p>
            <w:pPr>
              <w:pStyle w:val="TableContents"/>
              <w:bidi w:val="0"/>
              <w:spacing w:before="0" w:after="283"/>
              <w:jc w:val="center"/>
              <w:rPr/>
            </w:pPr>
            <w:r>
              <w:rPr/>
              <w:t> </w:t>
            </w:r>
          </w:p>
        </w:tc>
        <w:tc>
          <w:tcPr>
            <w:tcW w:w="3481"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New York Stock Exchange</w:t>
            </w:r>
          </w:p>
        </w:tc>
      </w:tr>
    </w:tbl>
    <w:p>
      <w:pPr>
        <w:pStyle w:val="TextBody"/>
        <w:pBdr>
          <w:bottom w:val="single" w:sz="4" w:space="1" w:color="000000"/>
        </w:pBdr>
        <w:bidi w:val="0"/>
        <w:jc w:val="center"/>
        <w:rPr/>
      </w:pPr>
      <w:r>
        <w:rPr/>
        <w:t> </w:t>
      </w:r>
    </w:p>
    <w:p>
      <w:pPr>
        <w:pStyle w:val="TextBody"/>
        <w:bidi w:val="0"/>
        <w:spacing w:before="60" w:after="283"/>
        <w:jc w:val="left"/>
        <w:rPr>
          <w:rFonts w:ascii="Times New Roman" w:hAnsi="Times New Roman"/>
          <w:sz w:val="20"/>
        </w:rPr>
      </w:pPr>
      <w:r>
        <w:rPr>
          <w:rFonts w:ascii="Times New Roman" w:hAnsi="Times New Roman"/>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b w:val="false"/>
          <w:caps/>
          <w:color w:val="000000"/>
          <w:sz w:val="18"/>
        </w:rPr>
        <w:t>Yes</w:t>
      </w:r>
      <w:r>
        <w:rPr>
          <w:rFonts w:ascii="Times New Roman" w:hAnsi="Times New Roman"/>
          <w:color w:val="000000"/>
          <w:sz w:val="20"/>
        </w:rPr>
        <w:t xml:space="preserve"> ☒ </w:t>
      </w:r>
      <w:r>
        <w:rPr>
          <w:rFonts w:ascii="Times New Roman" w:hAnsi="Times New Roman"/>
          <w:b w:val="false"/>
          <w:color w:val="000000"/>
          <w:sz w:val="18"/>
        </w:rPr>
        <w:t>NO ☐</w:t>
      </w:r>
    </w:p>
    <w:p>
      <w:pPr>
        <w:pStyle w:val="TextBody"/>
        <w:bidi w:val="0"/>
        <w:jc w:val="left"/>
        <w:rPr>
          <w:rFonts w:ascii="Times New Roman" w:hAnsi="Times New Roman"/>
          <w:sz w:val="20"/>
        </w:rPr>
      </w:pPr>
      <w:r>
        <w:rPr>
          <w:rFonts w:ascii="Times New Roman" w:hAnsi="Times New Roman"/>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b w:val="false"/>
          <w:caps/>
          <w:color w:val="000000"/>
          <w:sz w:val="18"/>
        </w:rPr>
        <w:t>Yes</w:t>
      </w:r>
      <w:r>
        <w:rPr>
          <w:rFonts w:ascii="Times New Roman" w:hAnsi="Times New Roman"/>
          <w:color w:val="000000"/>
          <w:sz w:val="20"/>
        </w:rPr>
        <w:t xml:space="preserve"> ☒ </w:t>
      </w:r>
      <w:r>
        <w:rPr>
          <w:rFonts w:ascii="Times New Roman" w:hAnsi="Times New Roman"/>
          <w:b w:val="false"/>
          <w:color w:val="000000"/>
          <w:sz w:val="18"/>
        </w:rPr>
        <w:t>NO ☐</w:t>
      </w:r>
    </w:p>
    <w:p>
      <w:pPr>
        <w:pStyle w:val="TextBody"/>
        <w:bidi w:val="0"/>
        <w:jc w:val="left"/>
        <w:rPr>
          <w:rFonts w:ascii="Times New Roman" w:hAnsi="Times New Roman"/>
          <w:sz w:val="20"/>
        </w:rPr>
      </w:pPr>
      <w:r>
        <w:rPr>
          <w:rFonts w:ascii="Times New Roman" w:hAnsi="Times New Roman"/>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tbl>
      <w:tblPr>
        <w:tblW w:w="5257" w:type="dxa"/>
        <w:jc w:val="left"/>
        <w:tblInd w:w="0" w:type="dxa"/>
        <w:tblLayout w:type="fixed"/>
        <w:tblCellMar>
          <w:top w:w="28" w:type="dxa"/>
          <w:left w:w="28" w:type="dxa"/>
          <w:bottom w:w="28" w:type="dxa"/>
          <w:right w:w="28" w:type="dxa"/>
        </w:tblCellMar>
      </w:tblPr>
      <w:tblGrid>
        <w:gridCol w:w="2056"/>
        <w:gridCol w:w="146"/>
        <w:gridCol w:w="37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Large accelerated filer</w:t>
            </w:r>
          </w:p>
        </w:tc>
        <w:tc>
          <w:tcPr>
            <w:tcW w:w="146"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color w:val="000000"/>
              </w:rPr>
            </w:pPr>
            <w:r>
              <w:rPr>
                <w:color w:val="000000"/>
              </w:rPr>
              <w:t>☐</w:t>
            </w:r>
          </w:p>
        </w:tc>
      </w:tr>
      <w:tr>
        <w:trPr/>
        <w:tc>
          <w:tcPr>
            <w:tcW w:w="205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Non-accelerated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color w:val="000000"/>
              </w:rPr>
            </w:pPr>
            <w:r>
              <w:rPr>
                <w:color w:val="000000"/>
              </w:rPr>
              <w:t xml:space="preserve">☐ </w:t>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Smaller reporting company</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color w:val="000000"/>
              </w:rPr>
            </w:pPr>
            <w:r>
              <w:rPr>
                <w:color w:val="000000"/>
              </w:rPr>
              <w:t>☐</w:t>
            </w:r>
          </w:p>
        </w:tc>
      </w:tr>
      <w:tr>
        <w:trPr/>
        <w:tc>
          <w:tcPr>
            <w:tcW w:w="205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Emerging growth company</w:t>
            </w:r>
          </w:p>
        </w:tc>
        <w:tc>
          <w:tcPr>
            <w:tcW w:w="146"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val="false"/>
          <w:color w:val="000000"/>
          <w:sz w:val="18"/>
        </w:rPr>
      </w:pPr>
      <w:r>
        <w:rPr>
          <w:rFonts w:ascii="Times New Roman" w:hAnsi="Times New Roman"/>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00" w:after="283"/>
        <w:jc w:val="left"/>
        <w:rPr>
          <w:rFonts w:ascii="Times New Roman" w:hAnsi="Times New Roman"/>
          <w:sz w:val="20"/>
        </w:rPr>
      </w:pPr>
      <w:r>
        <w:rPr>
          <w:rFonts w:ascii="Times New Roman" w:hAnsi="Times New Roman"/>
          <w:b w:val="false"/>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100" w:after="283"/>
        <w:jc w:val="left"/>
        <w:rPr>
          <w:rFonts w:ascii="Times New Roman" w:hAnsi="Times New Roman"/>
          <w:sz w:val="20"/>
        </w:rPr>
      </w:pPr>
      <w:r>
        <w:rPr>
          <w:rFonts w:ascii="Times New Roman" w:hAnsi="Times New Roman"/>
          <w:b w:val="false"/>
          <w:color w:val="000000"/>
          <w:sz w:val="18"/>
        </w:rPr>
        <w:t>There were 50,330,543</w:t>
      </w:r>
      <w:r>
        <w:rPr>
          <w:rFonts w:ascii="Times New Roman" w:hAnsi="Times New Roman"/>
          <w:color w:val="FF0000"/>
          <w:sz w:val="20"/>
        </w:rPr>
        <w:t xml:space="preserve"> </w:t>
      </w:r>
      <w:r>
        <w:rPr>
          <w:rFonts w:ascii="Times New Roman" w:hAnsi="Times New Roman"/>
          <w:b w:val="false"/>
          <w:color w:val="000000"/>
          <w:sz w:val="18"/>
        </w:rPr>
        <w:t>shares of the registrant’s Common Stock issued and outstanding as of November 3, 2023.</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HUBSPOT, INC.</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976"/>
        <w:gridCol w:w="391"/>
        <w:gridCol w:w="8477"/>
        <w:gridCol w:w="361"/>
      </w:tblGrid>
      <w:tr>
        <w:trPr/>
        <w:tc>
          <w:tcPr>
            <w:tcW w:w="9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847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0205" w:type="dxa"/>
            <w:gridSpan w:val="4"/>
            <w:tcBorders/>
            <w:shd w:fill="FFFFFF" w:val="clear"/>
            <w:tcMar>
              <w:top w:w="0" w:type="dxa"/>
              <w:left w:w="0" w:type="dxa"/>
              <w:bottom w:w="0" w:type="dxa"/>
              <w:right w:w="0" w:type="dxa"/>
            </w:tcMar>
            <w:vAlign w:val="center"/>
          </w:tcPr>
          <w:p>
            <w:pPr>
              <w:pStyle w:val="TableContents"/>
              <w:bidi w:val="0"/>
              <w:spacing w:before="0" w:after="283"/>
              <w:jc w:val="center"/>
              <w:rPr/>
            </w:pPr>
            <w:hyperlink w:anchor="part_i_financial_information">
              <w:r>
                <w:rPr>
                  <w:rStyle w:val="InternetLink"/>
                  <w:rFonts w:ascii="Times New Roman" w:hAnsi="Times New Roman"/>
                  <w:b/>
                  <w:color w:val="0000FF"/>
                  <w:sz w:val="20"/>
                  <w:u w:val="single"/>
                </w:rPr>
                <w:t>Part I — Financial Information</w:t>
              </w:r>
            </w:hyperlink>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center"/>
              <w:rPr/>
            </w:pPr>
            <w:r>
              <w:rPr/>
              <w:t> </w:t>
            </w:r>
          </w:p>
        </w:tc>
        <w:tc>
          <w:tcPr>
            <w:tcW w:w="8477" w:type="dxa"/>
            <w:tcBorders/>
            <w:shd w:fill="FFFFFF" w:val="clear"/>
            <w:tcMar>
              <w:top w:w="0" w:type="dxa"/>
              <w:left w:w="0" w:type="dxa"/>
              <w:bottom w:w="0" w:type="dxa"/>
              <w:right w:w="0" w:type="dxa"/>
            </w:tcMar>
            <w:vAlign w:val="center"/>
          </w:tcPr>
          <w:p>
            <w:pPr>
              <w:pStyle w:val="TableContents"/>
              <w:pBdr/>
              <w:bidi w:val="0"/>
              <w:spacing w:before="0" w:after="283"/>
              <w:ind w:left="0" w:right="0" w:hanging="245"/>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pBdr/>
              <w:bidi w:val="0"/>
              <w:spacing w:before="0" w:after="283"/>
              <w:ind w:left="0" w:right="0" w:hanging="245"/>
              <w:jc w:val="left"/>
              <w:rPr/>
            </w:pPr>
            <w:hyperlink w:anchor="item_1_financial_statements">
              <w:r>
                <w:rPr>
                  <w:rStyle w:val="InternetLink"/>
                  <w:rFonts w:ascii="Times New Roman" w:hAnsi="Times New Roman"/>
                  <w:b w:val="false"/>
                  <w:color w:val="0000FF"/>
                  <w:sz w:val="20"/>
                  <w:u w:val="single"/>
                </w:rPr>
                <w:t>Unaudited Consolidated Financial Statements: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pBdr/>
              <w:bidi w:val="0"/>
              <w:spacing w:before="0" w:after="283"/>
              <w:ind w:left="0" w:right="0" w:hanging="245"/>
              <w:jc w:val="left"/>
              <w:rPr/>
            </w:pPr>
            <w:hyperlink w:anchor="unaudited_consolidated_balance_sheets">
              <w:r>
                <w:rPr>
                  <w:rStyle w:val="InternetLink"/>
                  <w:rFonts w:ascii="Times New Roman" w:hAnsi="Times New Roman"/>
                  <w:b w:val="false"/>
                  <w:color w:val="0000FF"/>
                  <w:sz w:val="20"/>
                  <w:u w:val="single"/>
                </w:rPr>
                <w:t>Unaudited Consolidated Balance Sheets as of September 30, 2023 and December 31, 2022</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pBdr/>
              <w:bidi w:val="0"/>
              <w:spacing w:before="0" w:after="283"/>
              <w:ind w:left="0" w:right="0" w:hanging="245"/>
              <w:jc w:val="left"/>
              <w:rPr/>
            </w:pPr>
            <w:hyperlink w:anchor="unaudited_consolidated_statements_operat">
              <w:r>
                <w:rPr>
                  <w:rStyle w:val="InternetLink"/>
                  <w:rFonts w:ascii="Times New Roman" w:hAnsi="Times New Roman"/>
                  <w:b w:val="false"/>
                  <w:color w:val="0000FF"/>
                  <w:sz w:val="20"/>
                  <w:u w:val="single"/>
                </w:rPr>
                <w:t>Unaudited Consolidated Statements of Operations for the Three and Nine Months ended September 30, 2023 and 2022</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477" w:type="dxa"/>
            <w:tcBorders/>
            <w:shd w:fill="FFFFFF" w:val="clear"/>
            <w:tcMar>
              <w:top w:w="0" w:type="dxa"/>
              <w:left w:w="0" w:type="dxa"/>
              <w:bottom w:w="0" w:type="dxa"/>
              <w:right w:w="0" w:type="dxa"/>
            </w:tcMar>
            <w:vAlign w:val="center"/>
          </w:tcPr>
          <w:p>
            <w:pPr>
              <w:pStyle w:val="TableContents"/>
              <w:pBdr/>
              <w:bidi w:val="0"/>
              <w:spacing w:before="0" w:after="283"/>
              <w:ind w:left="0" w:right="0" w:hanging="245"/>
              <w:jc w:val="left"/>
              <w:rPr/>
            </w:pPr>
            <w:hyperlink w:anchor="unaudited_consolidated_statements_compre">
              <w:r>
                <w:rPr>
                  <w:rStyle w:val="InternetLink"/>
                  <w:rFonts w:ascii="Times New Roman" w:hAnsi="Times New Roman"/>
                  <w:b w:val="false"/>
                  <w:color w:val="0000FF"/>
                  <w:sz w:val="20"/>
                  <w:u w:val="single"/>
                </w:rPr>
                <w:t>Unaudited Consolidated Statements of Comprehensive Loss for the Three and Nine Months ended September 30, 2023 and 2022</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477" w:type="dxa"/>
            <w:tcBorders/>
            <w:shd w:fill="FFFFFF" w:val="clear"/>
            <w:tcMar>
              <w:top w:w="0" w:type="dxa"/>
              <w:left w:w="0" w:type="dxa"/>
              <w:bottom w:w="0" w:type="dxa"/>
              <w:right w:w="0" w:type="dxa"/>
            </w:tcMar>
            <w:vAlign w:val="center"/>
          </w:tcPr>
          <w:p>
            <w:pPr>
              <w:pStyle w:val="TableContents"/>
              <w:pBdr/>
              <w:bidi w:val="0"/>
              <w:spacing w:before="0" w:after="283"/>
              <w:ind w:left="0" w:right="0" w:hanging="245"/>
              <w:jc w:val="left"/>
              <w:rPr/>
            </w:pPr>
            <w:r>
              <w:rPr>
                <w:rFonts w:ascii="Times New Roman" w:hAnsi="Times New Roman"/>
                <w:b w:val="false"/>
                <w:color w:val="0000FF"/>
                <w:sz w:val="20"/>
                <w:u w:val="single"/>
              </w:rPr>
              <w:t xml:space="preserve">Unaudited Consolidated Statements of Stockholders' Equity for the </w:t>
            </w:r>
            <w:hyperlink w:anchor="unaudited_consolidated_statements_compre">
              <w:r>
                <w:rPr>
                  <w:rStyle w:val="InternetLink"/>
                  <w:rFonts w:ascii="Times New Roman" w:hAnsi="Times New Roman"/>
                  <w:b w:val="false"/>
                  <w:color w:val="000080"/>
                  <w:sz w:val="20"/>
                  <w:u w:val="single"/>
                </w:rPr>
                <w:t>Three and Nine Months ended September 30, 2023 and 2022</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pBdr/>
              <w:bidi w:val="0"/>
              <w:spacing w:before="0" w:after="283"/>
              <w:ind w:left="0" w:right="0" w:hanging="245"/>
              <w:jc w:val="left"/>
              <w:rPr/>
            </w:pPr>
            <w:hyperlink w:anchor="unaudited_consolidated_statements_cash_f">
              <w:r>
                <w:rPr>
                  <w:rStyle w:val="InternetLink"/>
                  <w:rFonts w:ascii="Times New Roman" w:hAnsi="Times New Roman"/>
                  <w:b w:val="false"/>
                  <w:color w:val="0000FF"/>
                  <w:sz w:val="20"/>
                  <w:u w:val="single"/>
                </w:rPr>
                <w:t>Unaudited Consolidated Statements of Cash Flows for the Three and Nine Months ended September 30, 2023 and 2022</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pBdr/>
              <w:bidi w:val="0"/>
              <w:spacing w:before="0" w:after="283"/>
              <w:ind w:left="0" w:right="0" w:hanging="245"/>
              <w:jc w:val="left"/>
              <w:rPr/>
            </w:pPr>
            <w:hyperlink w:anchor="notes_to_unaudited_consolida_ted_financi">
              <w:r>
                <w:rPr>
                  <w:rStyle w:val="InternetLink"/>
                  <w:rFonts w:ascii="Times New Roman" w:hAnsi="Times New Roman"/>
                  <w:b w:val="false"/>
                  <w:color w:val="0000FF"/>
                  <w:sz w:val="20"/>
                  <w:u w:val="single"/>
                </w:rPr>
                <w:t>Notes to Unaudited Consolidated Financial Statements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pBdr/>
              <w:bidi w:val="0"/>
              <w:spacing w:before="0" w:after="283"/>
              <w:ind w:left="0" w:right="0" w:hanging="245"/>
              <w:jc w:val="left"/>
              <w:rPr/>
            </w:pPr>
            <w:hyperlink w:anchor="item_2_managements_discussion_analysis_f">
              <w:r>
                <w:rPr>
                  <w:rStyle w:val="InternetLink"/>
                  <w:rFonts w:ascii="Times New Roman" w:hAnsi="Times New Roman"/>
                  <w:b w:val="false"/>
                  <w:color w:val="0000FF"/>
                  <w:sz w:val="20"/>
                  <w:u w:val="single"/>
                </w:rPr>
                <w:t>Management’s Discussion and Analysis of Financial Condition and Results of Operations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pBdr/>
              <w:bidi w:val="0"/>
              <w:spacing w:before="0" w:after="283"/>
              <w:ind w:left="0" w:right="0" w:hanging="245"/>
              <w:jc w:val="left"/>
              <w:rPr/>
            </w:pPr>
            <w:hyperlink w:anchor="item_3_quantitative_qualitative_disclosu">
              <w:r>
                <w:rPr>
                  <w:rStyle w:val="InternetLink"/>
                  <w:rFonts w:ascii="Times New Roman" w:hAnsi="Times New Roman"/>
                  <w:b w:val="false"/>
                  <w:color w:val="0000FF"/>
                  <w:sz w:val="20"/>
                  <w:u w:val="single"/>
                </w:rPr>
                <w:t>Quantitative and Qualitative Disclosures about Market Risk</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pBdr/>
              <w:bidi w:val="0"/>
              <w:spacing w:before="0" w:after="283"/>
              <w:ind w:left="0" w:right="0" w:hanging="245"/>
              <w:jc w:val="left"/>
              <w:rPr/>
            </w:pPr>
            <w:hyperlink w:anchor="item_4_controls_procedures">
              <w:r>
                <w:rPr>
                  <w:rStyle w:val="InternetLink"/>
                  <w:rFonts w:ascii="Times New Roman" w:hAnsi="Times New Roman"/>
                  <w:b w:val="false"/>
                  <w:color w:val="0000FF"/>
                  <w:sz w:val="20"/>
                  <w:u w:val="single"/>
                </w:rPr>
                <w:t>Controls and Procedures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w:t>
            </w:r>
          </w:p>
        </w:tc>
      </w:tr>
      <w:tr>
        <w:trPr/>
        <w:tc>
          <w:tcPr>
            <w:tcW w:w="10205" w:type="dxa"/>
            <w:gridSpan w:val="4"/>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4"/>
            <w:tcBorders/>
            <w:shd w:fill="FFFFFF" w:val="clear"/>
            <w:tcMar>
              <w:top w:w="0" w:type="dxa"/>
              <w:left w:w="0" w:type="dxa"/>
              <w:bottom w:w="0" w:type="dxa"/>
              <w:right w:w="0" w:type="dxa"/>
            </w:tcMar>
            <w:vAlign w:val="center"/>
          </w:tcPr>
          <w:p>
            <w:pPr>
              <w:pStyle w:val="TableContents"/>
              <w:bidi w:val="0"/>
              <w:spacing w:before="0" w:after="283"/>
              <w:jc w:val="center"/>
              <w:rPr/>
            </w:pPr>
            <w:hyperlink w:anchor="part_ii">
              <w:r>
                <w:rPr>
                  <w:rStyle w:val="InternetLink"/>
                  <w:rFonts w:ascii="Times New Roman" w:hAnsi="Times New Roman"/>
                  <w:b/>
                  <w:color w:val="0000FF"/>
                  <w:sz w:val="20"/>
                  <w:u w:val="single"/>
                </w:rPr>
                <w:t>Part II — Other Information</w:t>
              </w:r>
            </w:hyperlink>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b w:val="false"/>
                  <w:color w:val="0000FF"/>
                  <w:sz w:val="20"/>
                  <w:u w:val="single"/>
                </w:rPr>
                <w:t>Legal Proceedings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1A.</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b w:val="false"/>
                  <w:color w:val="0000FF"/>
                  <w:sz w:val="20"/>
                  <w:u w:val="single"/>
                </w:rPr>
                <w:t>Risk Factors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b w:val="false"/>
                  <w:color w:val="0000FF"/>
                  <w:sz w:val="20"/>
                  <w:u w:val="single"/>
                </w:rPr>
                <w:t>Unregistered Sales of Equity Securities and Use of Proceeds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on_senior_securities">
              <w:r>
                <w:rPr>
                  <w:rStyle w:val="InternetLink"/>
                  <w:rFonts w:ascii="Times New Roman" w:hAnsi="Times New Roman"/>
                  <w:b w:val="false"/>
                  <w:color w:val="0000FF"/>
                  <w:sz w:val="20"/>
                  <w:u w:val="single"/>
                </w:rPr>
                <w:t>Default Upon Senior Securities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b w:val="false"/>
                  <w:color w:val="0000FF"/>
                  <w:sz w:val="20"/>
                  <w:u w:val="single"/>
                </w:rPr>
                <w:t>Mine Safety Disclosures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b w:val="false"/>
                  <w:color w:val="0000FF"/>
                  <w:sz w:val="20"/>
                  <w:u w:val="single"/>
                </w:rPr>
                <w:t>Other Information</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b w:val="false"/>
                  <w:color w:val="0000FF"/>
                  <w:sz w:val="20"/>
                  <w:u w:val="single"/>
                </w:rPr>
                <w:t>Exhibits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b w:val="false"/>
                  <w:color w:val="0000FF"/>
                  <w:sz w:val="20"/>
                  <w:u w:val="single"/>
                </w:rPr>
                <w:t>Signatures</w:t>
              </w:r>
            </w:hyperlink>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EX-31.1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CERTIFICATION OF THE CEO PURSUANT TO SECTION 302</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EX-31.2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CERTIFICATION OF THE CFO PURSUANT TO SECTION 302</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EX-32.1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CERTIFICATION OF THE CEO AND CFO PURSUANT TO SECTION 906</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This Quarterly Report on Form 10-Q contains forward-looking statements within the meaning of Section 27A of the Securities Act of 1933, as amended, and Section 21E of the Securities Exchange Act of 1934, as amended, and these statements involve substantial risks and uncertainties. All statements other than statements of historical fact contained in this Quarterly Report on Form 10-Q are forward-looking statements. Forward-looking statements generally relate to future events or our future financial or operating performance. In some cases, you can identify forward-looking statements because they contain words such as “may,”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r>
        <w:rPr>
          <w:rFonts w:ascii="Times New Roman" w:hAnsi="Times New Roman"/>
          <w:color w:val="000000"/>
          <w:sz w:val="20"/>
        </w:rPr>
        <w:t xml:space="preserve">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our future financial and operational performance, including our expectations regarding our revenue, cost of revenue, gross margin and operating expenses;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maintaining and expanding our customer base and increasing our average subscription revenue per customer;</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the impact of competition in our industry and innovation by our competitors including as a result of new or better use of evolving artificial intelligence technologies;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our anticipated growth and expectations regarding our ability to manage our future growth;</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 xml:space="preserve">our expectations regarding the potential impact of geo-political conflicts, inflationary pressures, foreign currency movement, macroeconomic stability, and catastrophic events, such as the COVID-19 pandemic, on our business, the broader economy, our workforce and operations, the markets in which we and our partners and customers operate, and our ability to forecast future financial performance;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our anticipated areas of investments, including sales and marketing, research and development including with respect to artificial intelligence and machine learning, customer service and support, data center infrastructure and service capabilities, and expectations relating to such investments;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our predictions about industry and market trends;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 xml:space="preserve">our ability to anticipate and address the evolution of technology and the technological needs of our customers, to roll-out upgrades to our existing software platform and to develop new and enhanced applications to meet the needs of our customers including with respect to artificial intelligence and machine learning;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our ability to maintain our brand and inbound marketing, selling and servicing thought leadership position;</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the impact of our corporate culture and our ability to attract, hire and retain necessary qualified employees to expand our operations;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the anticipated effect on our business of litigation to which we are or may become a party;</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our ability to successfully acquire and integrate companies and assets;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our plans regarding declaring or paying cash dividends in the foreseeable future; and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our ability to stay abreast of new or modified laws and regulations that currently apply or become applicable to our business both in the United States and internationally.</w:t>
      </w:r>
    </w:p>
    <w:p>
      <w:pPr>
        <w:pStyle w:val="TextBody"/>
        <w:bidi w:val="0"/>
        <w:spacing w:before="200" w:after="120"/>
        <w:jc w:val="left"/>
        <w:rPr>
          <w:rFonts w:ascii="Times New Roman" w:hAnsi="Times New Roman"/>
          <w:b w:val="false"/>
          <w:color w:val="000000"/>
          <w:sz w:val="20"/>
        </w:rPr>
      </w:pPr>
      <w:r>
        <w:rPr>
          <w:rFonts w:ascii="Times New Roman" w:hAnsi="Times New Roman"/>
          <w:b w:val="false"/>
          <w:color w:val="000000"/>
          <w:sz w:val="20"/>
        </w:rPr>
        <w:t>We caution you that the foregoing list may not contain all of the forward-looking statements made in this Quarterly Report on Form 10-Q.</w:t>
      </w:r>
    </w:p>
    <w:p>
      <w:pPr>
        <w:pStyle w:val="TextBody"/>
        <w:bidi w:val="0"/>
        <w:spacing w:before="200" w:after="120"/>
        <w:jc w:val="left"/>
        <w:rPr>
          <w:rFonts w:ascii="Times New Roman" w:hAnsi="Times New Roman"/>
          <w:sz w:val="20"/>
        </w:rPr>
      </w:pPr>
      <w:r>
        <w:rPr>
          <w:rFonts w:ascii="Times New Roman" w:hAnsi="Times New Roman"/>
          <w:b w:val="false"/>
          <w:color w:val="000000"/>
          <w:sz w:val="20"/>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“Risk Factors” and elsewhere in this Quarterly Report on Form 10-Q. Moreover, we operate in a very competitive and rapidly changing environment. New risks and uncertainties emerge from time to time, and it is not possible for us to predict all risks and uncertainties that could have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120"/>
        <w:jc w:val="left"/>
        <w:rPr>
          <w:rFonts w:ascii="Times New Roman" w:hAnsi="Times New Roman"/>
          <w:b w:val="false"/>
          <w:color w:val="000000"/>
          <w:sz w:val="20"/>
        </w:rPr>
      </w:pPr>
      <w:r>
        <w:rPr>
          <w:rFonts w:ascii="Times New Roman" w:hAnsi="Times New Roman"/>
          <w:b w:val="false"/>
          <w:color w:val="000000"/>
          <w:sz w:val="20"/>
        </w:rPr>
        <w:t>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before="200" w:after="120"/>
        <w:jc w:val="left"/>
        <w:rPr>
          <w:rFonts w:ascii="Times New Roman" w:hAnsi="Times New Roman"/>
          <w:b w:val="false"/>
          <w:color w:val="000000"/>
          <w:sz w:val="20"/>
        </w:rPr>
      </w:pPr>
      <w:r>
        <w:rPr>
          <w:rFonts w:ascii="Times New Roman" w:hAnsi="Times New Roman"/>
          <w:b w:val="false"/>
          <w:color w:val="000000"/>
          <w:sz w:val="20"/>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w:t>
      </w:r>
    </w:p>
    <w:p>
      <w:pPr>
        <w:pStyle w:val="TextBody"/>
        <w:bidi w:val="0"/>
        <w:spacing w:before="200" w:after="120"/>
        <w:jc w:val="left"/>
        <w:rPr>
          <w:rFonts w:ascii="Times New Roman" w:hAnsi="Times New Roman"/>
          <w:b w:val="false"/>
          <w:color w:val="000000"/>
          <w:sz w:val="20"/>
        </w:rPr>
      </w:pPr>
      <w:r>
        <w:rPr>
          <w:rFonts w:ascii="Times New Roman" w:hAnsi="Times New Roman"/>
          <w:b w:val="false"/>
          <w:color w:val="000000"/>
          <w:sz w:val="20"/>
        </w:rPr>
        <w:t>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In this Quarterly Report on Form 10-Q, the terms “HubSpot,” “we,” “us,” and “our” refer to HubSpot, Inc. and its subsidiaries, unless the context indicates otherwise.</w:t>
      </w:r>
    </w:p>
    <w:p>
      <w:pPr>
        <w:pStyle w:val="TextBody"/>
        <w:bidi w:val="0"/>
        <w:spacing w:before="200" w:after="283"/>
        <w:jc w:val="left"/>
        <w:rPr>
          <w:rFonts w:ascii="Times New Roman" w:hAnsi="Times New Roman"/>
          <w:sz w:val="20"/>
        </w:rPr>
      </w:pPr>
      <w:r>
        <w:rPr>
          <w:rFonts w:ascii="Times New Roman" w:hAnsi="Times New Roman"/>
          <w:b/>
          <w:color w:val="000000"/>
          <w:sz w:val="20"/>
        </w:rPr>
        <w:t>Risk Factor Summary</w:t>
      </w:r>
      <w:r>
        <w:rPr>
          <w:rFonts w:ascii="Times New Roman" w:hAnsi="Times New Roman"/>
          <w:color w:val="000000"/>
          <w:sz w:val="20"/>
        </w:rPr>
        <w:t xml:space="preserve"> </w:t>
      </w:r>
    </w:p>
    <w:p>
      <w:pPr>
        <w:pStyle w:val="TextBody"/>
        <w:bidi w:val="0"/>
        <w:spacing w:before="200" w:after="283"/>
        <w:jc w:val="left"/>
        <w:rPr>
          <w:rFonts w:ascii="Times New Roman" w:hAnsi="Times New Roman"/>
          <w:b w:val="false"/>
          <w:i/>
          <w:color w:val="000000"/>
          <w:sz w:val="20"/>
        </w:rPr>
      </w:pPr>
      <w:r>
        <w:rPr>
          <w:rFonts w:ascii="Times New Roman" w:hAnsi="Times New Roman"/>
          <w:b w:val="false"/>
          <w:i/>
          <w:color w:val="000000"/>
          <w:sz w:val="20"/>
        </w:rPr>
        <w:t>The risk factors detailed in Item 1A entitled “Risk Factors” in this Quarterly Report on Form 10-Q are the risks that we believe are material to our investors and a reader should carefully consider them. Those risks are not all of the risks we face and other factors not presently known to us or that we currently believe are immaterial may also affect our business if they occur. The following is a summary of the risk factors detailed in Item 1A:</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We are dependent upon customer renewals, the addition of new customers, increased revenue from existing customers and the continued growth of the market for a CRM Platform.</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We face significant competition from both established and new companies offering marketing, sales, customer service, operations and content management software and other related applications, as well as internally developed software, which may harm our ability to add new customers, retain existing customers and grow our business.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Failure to effectively develop and expand our marketing, sales, customer service, operations, and content management capabilities could harm our ability to increase our customer base and achieve broader market acceptance of our platform.</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If we fail to adapt and respond effectively to rapidly changing technology, including evolving artificial intelligence and machine learning technologies, evolving industry standards and changing customer needs or requirements, our CRM Platform may become less competitive.</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Our ability to introduce new products and features, including new products and features that utilize artificial intelligence, is dependent on adequate research and development resources. If we do not adequately fund our research and development efforts, we may not be able to compete effectively and our business and operating results may be harmed.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We are exposed to fluctuations in currency exchange rates that could adversely affect our financial results.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The current economic downturn may lead to decreased demand for our products and services and otherwise harm our business and results of operations.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Interruptions or delays in service from our third-party data center providers could impair our ability to deliver our platform to our customers, resulting in customer dissatisfaction, damage to our reputation, loss of customers, limited growth, and reduction in revenue.</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If our CRM Platform has outages or fails due to defects or similar problems, and if we fail to correct any defect or other software problems, we could lose customers, become subject to service performance or warranty claims or incur significant costs.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If our or our customers’ security measures are compromised or unauthorized access to data of our customers or their customers is otherwise obtained, our CRM Platform may be perceived as not being secure, our customers may be harmed and may curtail or cease their use of our platform, our reputation may be damaged and we may incur significant liabilities.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We have a history of losses and may not achieve profitability in the future.</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We may experience quarterly fluctuations in our operating results due to a number of factors, which makes our future results difficult to predict and could cause our operating results to fall below expectations or our guidance.</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If we do not accurately predict subscription renewal rates or otherwise fail to forecast our revenue accurately, or if we fail to match our expenditures with corresponding revenue, our operating results could be adversely affected.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Our ability to raise capital in the future may be limited, and our failure to raise capital when needed could prevent us from growing.</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Our Restructuring Plan and associated organizational changes may not adequately reduce our operating costs or improve operating margins, may lead to additional workforce attrition, and may cause operational disruptions.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 — Financial Information</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HubSpot, Inc.</w:t>
      </w:r>
    </w:p>
    <w:p>
      <w:pPr>
        <w:pStyle w:val="TextBody"/>
        <w:bidi w:val="0"/>
        <w:jc w:val="center"/>
        <w:rPr>
          <w:rFonts w:ascii="Times New Roman" w:hAnsi="Times New Roman"/>
          <w:b/>
          <w:color w:val="000000"/>
          <w:sz w:val="20"/>
        </w:rPr>
      </w:pPr>
      <w:bookmarkStart w:id="4" w:name="unaudited_consolidated_balance_sheets"/>
      <w:bookmarkEnd w:id="4"/>
      <w:r>
        <w:rPr>
          <w:rFonts w:ascii="Times New Roman" w:hAnsi="Times New Roman"/>
          <w:b/>
          <w:color w:val="000000"/>
          <w:sz w:val="20"/>
        </w:rPr>
        <w:t>Unaudited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tbl>
      <w:tblPr>
        <w:tblW w:w="9399" w:type="dxa"/>
        <w:jc w:val="left"/>
        <w:tblInd w:w="0" w:type="dxa"/>
        <w:tblLayout w:type="fixed"/>
        <w:tblCellMar>
          <w:top w:w="28" w:type="dxa"/>
          <w:left w:w="28" w:type="dxa"/>
          <w:bottom w:w="28" w:type="dxa"/>
          <w:right w:w="28" w:type="dxa"/>
        </w:tblCellMar>
      </w:tblPr>
      <w:tblGrid>
        <w:gridCol w:w="6246"/>
        <w:gridCol w:w="146"/>
        <w:gridCol w:w="211"/>
        <w:gridCol w:w="931"/>
        <w:gridCol w:w="166"/>
        <w:gridCol w:w="146"/>
        <w:gridCol w:w="211"/>
        <w:gridCol w:w="931"/>
        <w:gridCol w:w="411"/>
      </w:tblGrid>
      <w:tr>
        <w:trPr/>
        <w:tc>
          <w:tcPr>
            <w:tcW w:w="6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411" w:type="dxa"/>
            <w:tcBorders/>
            <w:shd w:fill="FFFFFF" w:val="clear"/>
            <w:vAlign w:val="center"/>
          </w:tcPr>
          <w:p>
            <w:pPr>
              <w:pStyle w:val="TableContents"/>
              <w:bidi w:val="0"/>
              <w:spacing w:before="0" w:after="283"/>
              <w:jc w:val="center"/>
              <w:rPr/>
            </w:pPr>
            <w:r>
              <w:rPr/>
              <w:t> </w:t>
            </w:r>
          </w:p>
        </w:tc>
      </w:tr>
      <w:tr>
        <w:trPr/>
        <w:tc>
          <w:tcPr>
            <w:tcW w:w="6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4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jc w:val="left"/>
              <w:rPr/>
            </w:pPr>
            <w:r>
              <w:rPr/>
              <w:t> </w:t>
            </w:r>
          </w:p>
        </w:tc>
      </w:tr>
      <w:tr>
        <w:trPr/>
        <w:tc>
          <w:tcPr>
            <w:tcW w:w="62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624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535,545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331,022</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624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Short-term investments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1,061,526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1,081,662</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246"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Accounts receivable — net of allowance for doubtful accounts of $4,378</w:t>
            </w:r>
            <w:r>
              <w:rPr>
                <w:rFonts w:ascii="Times New Roman" w:hAnsi="Times New Roman"/>
                <w:color w:val="000000"/>
                <w:sz w:val="20"/>
              </w:rPr>
              <w:t> </w:t>
            </w:r>
            <w:r>
              <w:rPr>
                <w:rFonts w:ascii="Times New Roman" w:hAnsi="Times New Roman"/>
                <w:b w:val="false"/>
                <w:color w:val="000000"/>
                <w:sz w:val="20"/>
              </w:rPr>
              <w:br/>
              <w:t>    at September 30, 2023 and $3,266</w:t>
            </w:r>
            <w:r>
              <w:rPr>
                <w:rFonts w:ascii="Times New Roman" w:hAnsi="Times New Roman"/>
                <w:color w:val="000000"/>
                <w:sz w:val="20"/>
              </w:rPr>
              <w:t> </w:t>
            </w:r>
            <w:r>
              <w:rPr>
                <w:rFonts w:ascii="Times New Roman" w:hAnsi="Times New Roman"/>
                <w:b w:val="false"/>
                <w:color w:val="000000"/>
                <w:sz w:val="20"/>
              </w:rPr>
              <w:t>at December 31, 2022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212,409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226,849</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624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Deferred commission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86,913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70,992</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24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78,542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44,074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1,974,935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1,754,599</w:t>
            </w:r>
          </w:p>
        </w:tc>
        <w:tc>
          <w:tcPr>
            <w:tcW w:w="411" w:type="dxa"/>
            <w:tcBorders/>
            <w:shd w:fill="FFFFFF" w:val="clear"/>
            <w:vAlign w:val="center"/>
          </w:tcPr>
          <w:p>
            <w:pPr>
              <w:pStyle w:val="TableContents"/>
              <w:bidi w:val="0"/>
              <w:spacing w:before="0" w:after="283"/>
              <w:jc w:val="left"/>
              <w:rPr/>
            </w:pPr>
            <w:r>
              <w:rPr/>
              <w:t> </w:t>
            </w:r>
          </w:p>
        </w:tc>
      </w:tr>
      <w:tr>
        <w:trPr/>
        <w:tc>
          <w:tcPr>
            <w:tcW w:w="62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Long-term investments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150,861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112,791</w:t>
            </w:r>
          </w:p>
        </w:tc>
        <w:tc>
          <w:tcPr>
            <w:tcW w:w="411" w:type="dxa"/>
            <w:tcBorders/>
            <w:shd w:fill="CFF0FC" w:val="clear"/>
            <w:vAlign w:val="center"/>
          </w:tcPr>
          <w:p>
            <w:pPr>
              <w:pStyle w:val="TableContents"/>
              <w:bidi w:val="0"/>
              <w:spacing w:before="0" w:after="283"/>
              <w:jc w:val="left"/>
              <w:rPr/>
            </w:pPr>
            <w:r>
              <w:rPr/>
              <w:t> </w:t>
            </w:r>
          </w:p>
        </w:tc>
      </w:tr>
      <w:tr>
        <w:trPr/>
        <w:tc>
          <w:tcPr>
            <w:tcW w:w="62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Property and equipment,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104,949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105,227</w:t>
            </w:r>
          </w:p>
        </w:tc>
        <w:tc>
          <w:tcPr>
            <w:tcW w:w="411" w:type="dxa"/>
            <w:tcBorders/>
            <w:shd w:fill="FFFFFF" w:val="clear"/>
            <w:vAlign w:val="center"/>
          </w:tcPr>
          <w:p>
            <w:pPr>
              <w:pStyle w:val="TableContents"/>
              <w:bidi w:val="0"/>
              <w:spacing w:before="0" w:after="283"/>
              <w:jc w:val="left"/>
              <w:rPr/>
            </w:pPr>
            <w:r>
              <w:rPr/>
              <w:t> </w:t>
            </w:r>
          </w:p>
        </w:tc>
      </w:tr>
      <w:tr>
        <w:trPr/>
        <w:tc>
          <w:tcPr>
            <w:tcW w:w="62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Capitalized software development costs,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96,569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63,790</w:t>
            </w:r>
          </w:p>
        </w:tc>
        <w:tc>
          <w:tcPr>
            <w:tcW w:w="411" w:type="dxa"/>
            <w:tcBorders/>
            <w:shd w:fill="CFF0FC" w:val="clear"/>
            <w:vAlign w:val="center"/>
          </w:tcPr>
          <w:p>
            <w:pPr>
              <w:pStyle w:val="TableContents"/>
              <w:bidi w:val="0"/>
              <w:spacing w:before="0" w:after="283"/>
              <w:jc w:val="left"/>
              <w:rPr/>
            </w:pPr>
            <w:r>
              <w:rPr/>
              <w:t> </w:t>
            </w:r>
          </w:p>
        </w:tc>
      </w:tr>
      <w:tr>
        <w:trPr/>
        <w:tc>
          <w:tcPr>
            <w:tcW w:w="62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Right-of-use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254,483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319,304</w:t>
            </w:r>
          </w:p>
        </w:tc>
        <w:tc>
          <w:tcPr>
            <w:tcW w:w="411" w:type="dxa"/>
            <w:tcBorders/>
            <w:shd w:fill="FFFFFF" w:val="clear"/>
            <w:vAlign w:val="center"/>
          </w:tcPr>
          <w:p>
            <w:pPr>
              <w:pStyle w:val="TableContents"/>
              <w:bidi w:val="0"/>
              <w:spacing w:before="0" w:after="283"/>
              <w:jc w:val="left"/>
              <w:rPr/>
            </w:pPr>
            <w:r>
              <w:rPr/>
              <w:t> </w:t>
            </w:r>
          </w:p>
        </w:tc>
      </w:tr>
      <w:tr>
        <w:trPr/>
        <w:tc>
          <w:tcPr>
            <w:tcW w:w="62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Deferred commission expense, net of current portion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103,488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66,559</w:t>
            </w:r>
          </w:p>
        </w:tc>
        <w:tc>
          <w:tcPr>
            <w:tcW w:w="411" w:type="dxa"/>
            <w:tcBorders/>
            <w:shd w:fill="CFF0FC" w:val="clear"/>
            <w:vAlign w:val="center"/>
          </w:tcPr>
          <w:p>
            <w:pPr>
              <w:pStyle w:val="TableContents"/>
              <w:bidi w:val="0"/>
              <w:spacing w:before="0" w:after="283"/>
              <w:jc w:val="left"/>
              <w:rPr/>
            </w:pPr>
            <w:r>
              <w:rPr/>
              <w:t> </w:t>
            </w:r>
          </w:p>
        </w:tc>
      </w:tr>
      <w:tr>
        <w:trPr/>
        <w:tc>
          <w:tcPr>
            <w:tcW w:w="62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70,931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58,795</w:t>
            </w:r>
          </w:p>
        </w:tc>
        <w:tc>
          <w:tcPr>
            <w:tcW w:w="411" w:type="dxa"/>
            <w:tcBorders/>
            <w:shd w:fill="FFFFFF" w:val="clear"/>
            <w:vAlign w:val="center"/>
          </w:tcPr>
          <w:p>
            <w:pPr>
              <w:pStyle w:val="TableContents"/>
              <w:bidi w:val="0"/>
              <w:spacing w:before="0" w:after="283"/>
              <w:jc w:val="left"/>
              <w:rPr/>
            </w:pPr>
            <w:r>
              <w:rPr/>
              <w:t> </w:t>
            </w:r>
          </w:p>
        </w:tc>
      </w:tr>
      <w:tr>
        <w:trPr/>
        <w:tc>
          <w:tcPr>
            <w:tcW w:w="62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Intangible assets,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17,446</w:t>
            </w:r>
          </w:p>
        </w:tc>
        <w:tc>
          <w:tcPr>
            <w:tcW w:w="411" w:type="dxa"/>
            <w:tcBorders/>
            <w:shd w:fill="CFF0FC" w:val="clear"/>
            <w:vAlign w:val="center"/>
          </w:tcPr>
          <w:p>
            <w:pPr>
              <w:pStyle w:val="TableContents"/>
              <w:bidi w:val="0"/>
              <w:spacing w:before="0" w:after="283"/>
              <w:jc w:val="left"/>
              <w:rPr/>
            </w:pPr>
            <w:r>
              <w:rPr/>
              <w:t> </w:t>
            </w:r>
          </w:p>
        </w:tc>
      </w:tr>
      <w:tr>
        <w:trPr/>
        <w:tc>
          <w:tcPr>
            <w:tcW w:w="62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Goodwill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46,050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46,227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4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2,815,648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2,544,738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4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62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624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16,808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20,883</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24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Accrued compensation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79,450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62,846</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624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Accrued expenses and other 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134,908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102,122</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24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Operating lease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29,756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35,928</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624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Deferred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578,280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539,874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current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839,202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761,653</w:t>
            </w:r>
          </w:p>
        </w:tc>
        <w:tc>
          <w:tcPr>
            <w:tcW w:w="411" w:type="dxa"/>
            <w:tcBorders/>
            <w:shd w:fill="CFF0FC" w:val="clear"/>
            <w:vAlign w:val="center"/>
          </w:tcPr>
          <w:p>
            <w:pPr>
              <w:pStyle w:val="TableContents"/>
              <w:bidi w:val="0"/>
              <w:spacing w:before="0" w:after="283"/>
              <w:jc w:val="left"/>
              <w:rPr/>
            </w:pPr>
            <w:r>
              <w:rPr/>
              <w:t> </w:t>
            </w:r>
          </w:p>
        </w:tc>
      </w:tr>
      <w:tr>
        <w:trPr/>
        <w:tc>
          <w:tcPr>
            <w:tcW w:w="62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 liabilities, net of current portion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301,661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316,184</w:t>
            </w:r>
          </w:p>
        </w:tc>
        <w:tc>
          <w:tcPr>
            <w:tcW w:w="411" w:type="dxa"/>
            <w:tcBorders/>
            <w:shd w:fill="FFFFFF" w:val="clear"/>
            <w:vAlign w:val="center"/>
          </w:tcPr>
          <w:p>
            <w:pPr>
              <w:pStyle w:val="TableContents"/>
              <w:bidi w:val="0"/>
              <w:spacing w:before="0" w:after="283"/>
              <w:jc w:val="left"/>
              <w:rPr/>
            </w:pPr>
            <w:r>
              <w:rPr/>
              <w:t> </w:t>
            </w:r>
          </w:p>
        </w:tc>
      </w:tr>
      <w:tr>
        <w:trPr/>
        <w:tc>
          <w:tcPr>
            <w:tcW w:w="62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Deferred revenue, net of current portion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5,904</w:t>
            </w:r>
          </w:p>
        </w:tc>
        <w:tc>
          <w:tcPr>
            <w:tcW w:w="411" w:type="dxa"/>
            <w:tcBorders/>
            <w:shd w:fill="CFF0FC" w:val="clear"/>
            <w:vAlign w:val="center"/>
          </w:tcPr>
          <w:p>
            <w:pPr>
              <w:pStyle w:val="TableContents"/>
              <w:bidi w:val="0"/>
              <w:spacing w:before="0" w:after="283"/>
              <w:jc w:val="left"/>
              <w:rPr/>
            </w:pPr>
            <w:r>
              <w:rPr/>
              <w:t> </w:t>
            </w:r>
          </w:p>
        </w:tc>
      </w:tr>
      <w:tr>
        <w:trPr/>
        <w:tc>
          <w:tcPr>
            <w:tcW w:w="62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long-term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28,535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14,546</w:t>
            </w:r>
          </w:p>
        </w:tc>
        <w:tc>
          <w:tcPr>
            <w:tcW w:w="411" w:type="dxa"/>
            <w:tcBorders/>
            <w:shd w:fill="FFFFFF" w:val="clear"/>
            <w:vAlign w:val="center"/>
          </w:tcPr>
          <w:p>
            <w:pPr>
              <w:pStyle w:val="TableContents"/>
              <w:bidi w:val="0"/>
              <w:spacing w:before="0" w:after="283"/>
              <w:jc w:val="left"/>
              <w:rPr/>
            </w:pPr>
            <w:r>
              <w:rPr/>
              <w:t> </w:t>
            </w:r>
          </w:p>
        </w:tc>
      </w:tr>
      <w:tr>
        <w:trPr/>
        <w:tc>
          <w:tcPr>
            <w:tcW w:w="62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Convertible senior notes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455,699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454,227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1,629,309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1,552,514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Commitments and contingencies (Note 10)</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62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Stockholders’ equity:</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624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Common stock</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624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Additional paid-in capital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2,000,739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1,647,446</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24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Accumulated other comprehensive loss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(9,378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(12,890</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24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Accumulated deficit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(805,072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(642,381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2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stockholders’ equity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1,186,339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992,224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4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2,815,648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2,544,738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The accompanying notes are an integral part of the consolidated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HubSpot, Inc.</w:t>
      </w:r>
    </w:p>
    <w:p>
      <w:pPr>
        <w:pStyle w:val="TextBody"/>
        <w:bidi w:val="0"/>
        <w:jc w:val="center"/>
        <w:rPr>
          <w:rFonts w:ascii="Times New Roman" w:hAnsi="Times New Roman"/>
          <w:b/>
          <w:color w:val="000000"/>
          <w:sz w:val="20"/>
        </w:rPr>
      </w:pPr>
      <w:bookmarkStart w:id="5" w:name="unaudited_consolidated_statements_operat"/>
      <w:bookmarkEnd w:id="5"/>
      <w:r>
        <w:rPr>
          <w:rFonts w:ascii="Times New Roman" w:hAnsi="Times New Roman"/>
          <w:b/>
          <w:color w:val="000000"/>
          <w:sz w:val="20"/>
        </w:rPr>
        <w:t>Unaudited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data)</w:t>
      </w:r>
    </w:p>
    <w:tbl>
      <w:tblPr>
        <w:tblW w:w="10205" w:type="dxa"/>
        <w:jc w:val="left"/>
        <w:tblInd w:w="0" w:type="dxa"/>
        <w:tblLayout w:type="fixed"/>
        <w:tblCellMar>
          <w:top w:w="28" w:type="dxa"/>
          <w:left w:w="28" w:type="dxa"/>
          <w:bottom w:w="28" w:type="dxa"/>
          <w:right w:w="28" w:type="dxa"/>
        </w:tblCellMar>
      </w:tblPr>
      <w:tblGrid>
        <w:gridCol w:w="3176"/>
        <w:gridCol w:w="270"/>
        <w:gridCol w:w="1001"/>
        <w:gridCol w:w="212"/>
        <w:gridCol w:w="186"/>
        <w:gridCol w:w="270"/>
        <w:gridCol w:w="1001"/>
        <w:gridCol w:w="166"/>
        <w:gridCol w:w="146"/>
        <w:gridCol w:w="242"/>
        <w:gridCol w:w="1070"/>
        <w:gridCol w:w="190"/>
        <w:gridCol w:w="167"/>
        <w:gridCol w:w="242"/>
        <w:gridCol w:w="1070"/>
        <w:gridCol w:w="796"/>
      </w:tblGrid>
      <w:tr>
        <w:trPr/>
        <w:tc>
          <w:tcPr>
            <w:tcW w:w="317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3176" w:type="dxa"/>
            <w:tcBorders/>
            <w:shd w:fill="FFFFFF" w:val="clear"/>
            <w:vAlign w:val="center"/>
          </w:tcPr>
          <w:p>
            <w:pPr>
              <w:pStyle w:val="TableContents"/>
              <w:bidi w:val="0"/>
              <w:spacing w:before="0" w:after="283"/>
              <w:jc w:val="left"/>
              <w:rPr/>
            </w:pPr>
            <w:r>
              <w:rPr/>
              <w:t> </w:t>
            </w:r>
          </w:p>
        </w:tc>
        <w:tc>
          <w:tcPr>
            <w:tcW w:w="29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9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76" w:type="dxa"/>
            <w:tcBorders/>
            <w:shd w:fill="FFFFFF" w:val="clear"/>
            <w:vAlign w:val="center"/>
          </w:tcPr>
          <w:p>
            <w:pPr>
              <w:pStyle w:val="TableContents"/>
              <w:bidi w:val="0"/>
              <w:spacing w:before="0" w:after="283"/>
              <w:jc w:val="left"/>
              <w:rPr/>
            </w:pPr>
            <w:r>
              <w:rPr/>
              <w:t> </w:t>
            </w:r>
          </w:p>
        </w:tc>
        <w:tc>
          <w:tcPr>
            <w:tcW w:w="12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 w:type="dxa"/>
            <w:tcBorders/>
            <w:shd w:fill="FFFFFF" w:val="clear"/>
            <w:vAlign w:val="center"/>
          </w:tcPr>
          <w:p>
            <w:pPr>
              <w:pStyle w:val="TableContents"/>
              <w:bidi w:val="0"/>
              <w:spacing w:before="0" w:after="283"/>
              <w:jc w:val="left"/>
              <w:rPr/>
            </w:pPr>
            <w:r>
              <w:rPr/>
              <w:t> </w:t>
            </w:r>
          </w:p>
        </w:tc>
        <w:tc>
          <w:tcPr>
            <w:tcW w:w="12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vAlign w:val="center"/>
          </w:tcPr>
          <w:p>
            <w:pPr>
              <w:pStyle w:val="TableContents"/>
              <w:bidi w:val="0"/>
              <w:spacing w:before="0" w:after="283"/>
              <w:jc w:val="left"/>
              <w:rPr/>
            </w:pPr>
            <w:r>
              <w:rPr/>
              <w:t> </w:t>
            </w:r>
          </w:p>
        </w:tc>
        <w:tc>
          <w:tcPr>
            <w:tcW w:w="1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Revenues:</w:t>
            </w:r>
          </w:p>
        </w:tc>
        <w:tc>
          <w:tcPr>
            <w:tcW w:w="1271" w:type="dxa"/>
            <w:gridSpan w:val="2"/>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right"/>
              <w:rPr/>
            </w:pPr>
            <w:r>
              <w:rPr/>
              <w:t> </w:t>
            </w:r>
          </w:p>
        </w:tc>
        <w:tc>
          <w:tcPr>
            <w:tcW w:w="186" w:type="dxa"/>
            <w:tcBorders/>
            <w:shd w:fill="CFF0FC" w:val="clear"/>
            <w:vAlign w:val="center"/>
          </w:tcPr>
          <w:p>
            <w:pPr>
              <w:pStyle w:val="TableContents"/>
              <w:bidi w:val="0"/>
              <w:spacing w:before="0" w:after="283"/>
              <w:jc w:val="left"/>
              <w:rPr/>
            </w:pPr>
            <w:r>
              <w:rPr/>
              <w:t> </w:t>
            </w:r>
          </w:p>
        </w:tc>
        <w:tc>
          <w:tcPr>
            <w:tcW w:w="127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12" w:type="dxa"/>
            <w:gridSpan w:val="2"/>
            <w:tcBorders/>
            <w:shd w:fill="CFF0FC" w:val="clear"/>
            <w:vAlign w:val="center"/>
          </w:tcPr>
          <w:p>
            <w:pPr>
              <w:pStyle w:val="TableContents"/>
              <w:bidi w:val="0"/>
              <w:spacing w:before="0" w:after="283"/>
              <w:jc w:val="right"/>
              <w:rPr/>
            </w:pPr>
            <w:r>
              <w:rPr/>
              <w:t> </w:t>
            </w:r>
          </w:p>
        </w:tc>
        <w:tc>
          <w:tcPr>
            <w:tcW w:w="190" w:type="dxa"/>
            <w:tcBorders/>
            <w:shd w:fill="CFF0FC" w:val="clear"/>
            <w:vAlign w:val="center"/>
          </w:tcPr>
          <w:p>
            <w:pPr>
              <w:pStyle w:val="TableContents"/>
              <w:bidi w:val="0"/>
              <w:spacing w:before="0" w:after="283"/>
              <w:jc w:val="right"/>
              <w:rPr/>
            </w:pPr>
            <w:r>
              <w:rPr/>
              <w:t> </w:t>
            </w:r>
          </w:p>
        </w:tc>
        <w:tc>
          <w:tcPr>
            <w:tcW w:w="167" w:type="dxa"/>
            <w:tcBorders/>
            <w:shd w:fill="CFF0FC" w:val="clear"/>
            <w:vAlign w:val="center"/>
          </w:tcPr>
          <w:p>
            <w:pPr>
              <w:pStyle w:val="TableContents"/>
              <w:bidi w:val="0"/>
              <w:spacing w:before="0" w:after="283"/>
              <w:jc w:val="left"/>
              <w:rPr/>
            </w:pPr>
            <w:r>
              <w:rPr/>
              <w:t> </w:t>
            </w:r>
          </w:p>
        </w:tc>
        <w:tc>
          <w:tcPr>
            <w:tcW w:w="1312" w:type="dxa"/>
            <w:gridSpan w:val="2"/>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ind w:left="0" w:right="0" w:firstLine="200"/>
              <w:jc w:val="right"/>
              <w:rPr/>
            </w:pPr>
            <w:r>
              <w:rPr/>
              <w:t> </w:t>
            </w:r>
          </w:p>
        </w:tc>
      </w:tr>
      <w:tr>
        <w:trPr/>
        <w:tc>
          <w:tcPr>
            <w:tcW w:w="317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Subscription</w:t>
            </w:r>
          </w:p>
        </w:tc>
        <w:tc>
          <w:tcPr>
            <w:tcW w:w="27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545,832</w:t>
            </w:r>
          </w:p>
        </w:tc>
        <w:tc>
          <w:tcPr>
            <w:tcW w:w="212"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435,030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1,553,253</w:t>
            </w:r>
          </w:p>
        </w:tc>
        <w:tc>
          <w:tcPr>
            <w:tcW w:w="19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1,232,387</w:t>
            </w:r>
          </w:p>
        </w:tc>
        <w:tc>
          <w:tcPr>
            <w:tcW w:w="796" w:type="dxa"/>
            <w:tcBorders/>
            <w:shd w:fill="FFFFFF" w:val="clear"/>
            <w:vAlign w:val="center"/>
          </w:tcPr>
          <w:p>
            <w:pPr>
              <w:pStyle w:val="TableContents"/>
              <w:bidi w:val="0"/>
              <w:spacing w:before="0" w:after="283"/>
              <w:ind w:left="0" w:right="0" w:firstLine="200"/>
              <w:jc w:val="left"/>
              <w:rPr/>
            </w:pPr>
            <w:r>
              <w:rPr/>
              <w:t> </w:t>
            </w:r>
          </w:p>
        </w:tc>
      </w:tr>
      <w:tr>
        <w:trPr/>
        <w:tc>
          <w:tcPr>
            <w:tcW w:w="317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Professional services and other</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11,725</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35,062</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28,926</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176"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Total revenue</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557,557</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443,958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1,588,315</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1,261,313</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 of revenues:</w:t>
            </w:r>
          </w:p>
        </w:tc>
        <w:tc>
          <w:tcPr>
            <w:tcW w:w="1271" w:type="dxa"/>
            <w:gridSpan w:val="2"/>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right"/>
              <w:rPr/>
            </w:pPr>
            <w:r>
              <w:rPr/>
              <w:t> </w:t>
            </w:r>
          </w:p>
        </w:tc>
        <w:tc>
          <w:tcPr>
            <w:tcW w:w="186" w:type="dxa"/>
            <w:tcBorders/>
            <w:shd w:fill="CFF0FC" w:val="clear"/>
            <w:vAlign w:val="center"/>
          </w:tcPr>
          <w:p>
            <w:pPr>
              <w:pStyle w:val="TableContents"/>
              <w:bidi w:val="0"/>
              <w:spacing w:before="0" w:after="283"/>
              <w:jc w:val="left"/>
              <w:rPr/>
            </w:pPr>
            <w:r>
              <w:rPr/>
              <w:t> </w:t>
            </w:r>
          </w:p>
        </w:tc>
        <w:tc>
          <w:tcPr>
            <w:tcW w:w="127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12" w:type="dxa"/>
            <w:gridSpan w:val="2"/>
            <w:tcBorders/>
            <w:shd w:fill="CFF0FC" w:val="clear"/>
            <w:vAlign w:val="center"/>
          </w:tcPr>
          <w:p>
            <w:pPr>
              <w:pStyle w:val="TableContents"/>
              <w:bidi w:val="0"/>
              <w:spacing w:before="0" w:after="283"/>
              <w:jc w:val="right"/>
              <w:rPr/>
            </w:pPr>
            <w:r>
              <w:rPr/>
              <w:t> </w:t>
            </w:r>
          </w:p>
        </w:tc>
        <w:tc>
          <w:tcPr>
            <w:tcW w:w="190" w:type="dxa"/>
            <w:tcBorders/>
            <w:shd w:fill="CFF0FC" w:val="clear"/>
            <w:vAlign w:val="center"/>
          </w:tcPr>
          <w:p>
            <w:pPr>
              <w:pStyle w:val="TableContents"/>
              <w:bidi w:val="0"/>
              <w:spacing w:before="0" w:after="283"/>
              <w:jc w:val="right"/>
              <w:rPr/>
            </w:pPr>
            <w:r>
              <w:rPr/>
              <w:t> </w:t>
            </w:r>
          </w:p>
        </w:tc>
        <w:tc>
          <w:tcPr>
            <w:tcW w:w="167" w:type="dxa"/>
            <w:tcBorders/>
            <w:shd w:fill="CFF0FC" w:val="clear"/>
            <w:vAlign w:val="center"/>
          </w:tcPr>
          <w:p>
            <w:pPr>
              <w:pStyle w:val="TableContents"/>
              <w:bidi w:val="0"/>
              <w:spacing w:before="0" w:after="283"/>
              <w:jc w:val="left"/>
              <w:rPr/>
            </w:pPr>
            <w:r>
              <w:rPr/>
              <w:t> </w:t>
            </w:r>
          </w:p>
        </w:tc>
        <w:tc>
          <w:tcPr>
            <w:tcW w:w="1312" w:type="dxa"/>
            <w:gridSpan w:val="2"/>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ind w:left="0" w:right="0" w:firstLine="200"/>
              <w:jc w:val="right"/>
              <w:rPr/>
            </w:pPr>
            <w:r>
              <w:rPr/>
              <w:t> </w:t>
            </w:r>
          </w:p>
        </w:tc>
      </w:tr>
      <w:tr>
        <w:trPr/>
        <w:tc>
          <w:tcPr>
            <w:tcW w:w="317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Subscription</w:t>
            </w:r>
          </w:p>
        </w:tc>
        <w:tc>
          <w:tcPr>
            <w:tcW w:w="270"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73,781</w:t>
            </w:r>
          </w:p>
        </w:tc>
        <w:tc>
          <w:tcPr>
            <w:tcW w:w="212"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67,648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215,944</w:t>
            </w:r>
          </w:p>
        </w:tc>
        <w:tc>
          <w:tcPr>
            <w:tcW w:w="19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191,466</w:t>
            </w:r>
          </w:p>
        </w:tc>
        <w:tc>
          <w:tcPr>
            <w:tcW w:w="796" w:type="dxa"/>
            <w:tcBorders/>
            <w:shd w:fill="FFFFFF" w:val="clear"/>
            <w:vAlign w:val="center"/>
          </w:tcPr>
          <w:p>
            <w:pPr>
              <w:pStyle w:val="TableContents"/>
              <w:bidi w:val="0"/>
              <w:spacing w:before="0" w:after="283"/>
              <w:ind w:left="0" w:right="0" w:firstLine="200"/>
              <w:jc w:val="left"/>
              <w:rPr/>
            </w:pPr>
            <w:r>
              <w:rPr/>
              <w:t> </w:t>
            </w:r>
          </w:p>
        </w:tc>
      </w:tr>
      <w:tr>
        <w:trPr/>
        <w:tc>
          <w:tcPr>
            <w:tcW w:w="317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Professional services and other</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13,745</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14,479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40,910</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42,532</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176"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Total cost of revenues</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87,526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82,127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256,854</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233,998</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Gross profit</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470,031</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361,831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1,331,461</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1,027,315</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1271" w:type="dxa"/>
            <w:gridSpan w:val="2"/>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right"/>
              <w:rPr/>
            </w:pPr>
            <w:r>
              <w:rPr/>
              <w:t> </w:t>
            </w:r>
          </w:p>
        </w:tc>
        <w:tc>
          <w:tcPr>
            <w:tcW w:w="186" w:type="dxa"/>
            <w:tcBorders/>
            <w:shd w:fill="FFFFFF" w:val="clear"/>
            <w:vAlign w:val="center"/>
          </w:tcPr>
          <w:p>
            <w:pPr>
              <w:pStyle w:val="TableContents"/>
              <w:bidi w:val="0"/>
              <w:spacing w:before="0" w:after="283"/>
              <w:jc w:val="left"/>
              <w:rPr/>
            </w:pPr>
            <w:r>
              <w:rPr/>
              <w:t> </w:t>
            </w:r>
          </w:p>
        </w:tc>
        <w:tc>
          <w:tcPr>
            <w:tcW w:w="127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12" w:type="dxa"/>
            <w:gridSpan w:val="2"/>
            <w:tcBorders/>
            <w:shd w:fill="FFFFFF" w:val="clear"/>
            <w:vAlign w:val="center"/>
          </w:tcPr>
          <w:p>
            <w:pPr>
              <w:pStyle w:val="TableContents"/>
              <w:bidi w:val="0"/>
              <w:spacing w:before="0" w:after="283"/>
              <w:jc w:val="right"/>
              <w:rPr/>
            </w:pPr>
            <w:r>
              <w:rPr/>
              <w:t> </w:t>
            </w:r>
          </w:p>
        </w:tc>
        <w:tc>
          <w:tcPr>
            <w:tcW w:w="190" w:type="dxa"/>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jc w:val="left"/>
              <w:rPr/>
            </w:pPr>
            <w:r>
              <w:rPr/>
              <w:t> </w:t>
            </w:r>
          </w:p>
        </w:tc>
        <w:tc>
          <w:tcPr>
            <w:tcW w:w="1312" w:type="dxa"/>
            <w:gridSpan w:val="2"/>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ind w:left="0" w:right="0" w:firstLine="200"/>
              <w:jc w:val="right"/>
              <w:rPr/>
            </w:pPr>
            <w:r>
              <w:rPr/>
              <w:t> </w:t>
            </w:r>
          </w:p>
        </w:tc>
      </w:tr>
      <w:tr>
        <w:trPr/>
        <w:tc>
          <w:tcPr>
            <w:tcW w:w="317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270"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156,871</w:t>
            </w:r>
          </w:p>
        </w:tc>
        <w:tc>
          <w:tcPr>
            <w:tcW w:w="212"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114,038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2" w:type="dxa"/>
            <w:tcBorders/>
            <w:shd w:fill="CFF0FC" w:val="clear"/>
            <w:vAlign w:val="center"/>
          </w:tcPr>
          <w:p>
            <w:pPr>
              <w:pStyle w:val="TableContents"/>
              <w:bidi w:val="0"/>
              <w:spacing w:before="0" w:after="283"/>
              <w:jc w:val="left"/>
              <w:rPr/>
            </w:pPr>
            <w:r>
              <w:rPr/>
              <w:t> </w:t>
            </w:r>
          </w:p>
        </w:tc>
        <w:tc>
          <w:tcPr>
            <w:tcW w:w="107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454,511</w:t>
            </w:r>
          </w:p>
        </w:tc>
        <w:tc>
          <w:tcPr>
            <w:tcW w:w="190" w:type="dxa"/>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107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325,687</w:t>
            </w:r>
          </w:p>
        </w:tc>
        <w:tc>
          <w:tcPr>
            <w:tcW w:w="796" w:type="dxa"/>
            <w:tcBorders/>
            <w:shd w:fill="CFF0FC" w:val="clear"/>
            <w:vAlign w:val="center"/>
          </w:tcPr>
          <w:p>
            <w:pPr>
              <w:pStyle w:val="TableContents"/>
              <w:bidi w:val="0"/>
              <w:spacing w:before="0" w:after="283"/>
              <w:ind w:left="0" w:right="0" w:firstLine="200"/>
              <w:jc w:val="left"/>
              <w:rPr/>
            </w:pPr>
            <w:r>
              <w:rPr/>
              <w:t> </w:t>
            </w:r>
          </w:p>
        </w:tc>
      </w:tr>
      <w:tr>
        <w:trPr/>
        <w:tc>
          <w:tcPr>
            <w:tcW w:w="317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Sales and marketing</w:t>
            </w:r>
          </w:p>
        </w:tc>
        <w:tc>
          <w:tcPr>
            <w:tcW w:w="270"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271,448</w:t>
            </w:r>
          </w:p>
        </w:tc>
        <w:tc>
          <w:tcPr>
            <w:tcW w:w="212"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229,541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787,423</w:t>
            </w:r>
          </w:p>
        </w:tc>
        <w:tc>
          <w:tcPr>
            <w:tcW w:w="19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650,936</w:t>
            </w:r>
          </w:p>
        </w:tc>
        <w:tc>
          <w:tcPr>
            <w:tcW w:w="796" w:type="dxa"/>
            <w:tcBorders/>
            <w:shd w:fill="FFFFFF" w:val="clear"/>
            <w:vAlign w:val="center"/>
          </w:tcPr>
          <w:p>
            <w:pPr>
              <w:pStyle w:val="TableContents"/>
              <w:bidi w:val="0"/>
              <w:spacing w:before="0" w:after="283"/>
              <w:ind w:left="0" w:right="0" w:firstLine="200"/>
              <w:jc w:val="left"/>
              <w:rPr/>
            </w:pPr>
            <w:r>
              <w:rPr/>
              <w:t> </w:t>
            </w:r>
          </w:p>
        </w:tc>
      </w:tr>
      <w:tr>
        <w:trPr/>
        <w:tc>
          <w:tcPr>
            <w:tcW w:w="317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270"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61,308</w:t>
            </w:r>
          </w:p>
        </w:tc>
        <w:tc>
          <w:tcPr>
            <w:tcW w:w="212"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50,465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2" w:type="dxa"/>
            <w:tcBorders/>
            <w:shd w:fill="CFF0FC" w:val="clear"/>
            <w:vAlign w:val="center"/>
          </w:tcPr>
          <w:p>
            <w:pPr>
              <w:pStyle w:val="TableContents"/>
              <w:bidi w:val="0"/>
              <w:spacing w:before="0" w:after="283"/>
              <w:jc w:val="left"/>
              <w:rPr/>
            </w:pPr>
            <w:r>
              <w:rPr/>
              <w:t> </w:t>
            </w:r>
          </w:p>
        </w:tc>
        <w:tc>
          <w:tcPr>
            <w:tcW w:w="107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179,939</w:t>
            </w:r>
          </w:p>
        </w:tc>
        <w:tc>
          <w:tcPr>
            <w:tcW w:w="190" w:type="dxa"/>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107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146,309</w:t>
            </w:r>
          </w:p>
        </w:tc>
        <w:tc>
          <w:tcPr>
            <w:tcW w:w="796" w:type="dxa"/>
            <w:tcBorders/>
            <w:shd w:fill="CFF0FC" w:val="clear"/>
            <w:vAlign w:val="center"/>
          </w:tcPr>
          <w:p>
            <w:pPr>
              <w:pStyle w:val="TableContents"/>
              <w:bidi w:val="0"/>
              <w:spacing w:before="0" w:after="283"/>
              <w:ind w:left="0" w:right="0" w:firstLine="200"/>
              <w:jc w:val="left"/>
              <w:rPr/>
            </w:pPr>
            <w:r>
              <w:rPr/>
              <w:t> </w:t>
            </w:r>
          </w:p>
        </w:tc>
      </w:tr>
      <w:tr>
        <w:trPr/>
        <w:tc>
          <w:tcPr>
            <w:tcW w:w="317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Restructuring (Note 15)</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93,296</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76"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490,473</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394,044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1,515,169</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1,122,932</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from operations</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(20,442</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6" w:type="dxa"/>
            <w:tcBorders/>
            <w:shd w:fill="FFFFFF" w:val="cle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(32,213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(183,708</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7"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(95,617</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1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expense:</w:t>
            </w:r>
          </w:p>
        </w:tc>
        <w:tc>
          <w:tcPr>
            <w:tcW w:w="1271" w:type="dxa"/>
            <w:gridSpan w:val="2"/>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right"/>
              <w:rPr/>
            </w:pPr>
            <w:r>
              <w:rPr/>
              <w:t> </w:t>
            </w:r>
          </w:p>
        </w:tc>
        <w:tc>
          <w:tcPr>
            <w:tcW w:w="186" w:type="dxa"/>
            <w:tcBorders/>
            <w:shd w:fill="CFF0FC" w:val="clear"/>
            <w:vAlign w:val="center"/>
          </w:tcPr>
          <w:p>
            <w:pPr>
              <w:pStyle w:val="TableContents"/>
              <w:bidi w:val="0"/>
              <w:spacing w:before="0" w:after="283"/>
              <w:jc w:val="left"/>
              <w:rPr/>
            </w:pPr>
            <w:r>
              <w:rPr/>
              <w:t> </w:t>
            </w:r>
          </w:p>
        </w:tc>
        <w:tc>
          <w:tcPr>
            <w:tcW w:w="127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12" w:type="dxa"/>
            <w:gridSpan w:val="2"/>
            <w:tcBorders/>
            <w:shd w:fill="CFF0FC" w:val="clear"/>
            <w:vAlign w:val="center"/>
          </w:tcPr>
          <w:p>
            <w:pPr>
              <w:pStyle w:val="TableContents"/>
              <w:bidi w:val="0"/>
              <w:spacing w:before="0" w:after="283"/>
              <w:jc w:val="right"/>
              <w:rPr/>
            </w:pPr>
            <w:r>
              <w:rPr/>
              <w:t> </w:t>
            </w:r>
          </w:p>
        </w:tc>
        <w:tc>
          <w:tcPr>
            <w:tcW w:w="190" w:type="dxa"/>
            <w:tcBorders/>
            <w:shd w:fill="CFF0FC" w:val="clear"/>
            <w:vAlign w:val="center"/>
          </w:tcPr>
          <w:p>
            <w:pPr>
              <w:pStyle w:val="TableContents"/>
              <w:bidi w:val="0"/>
              <w:spacing w:before="0" w:after="283"/>
              <w:jc w:val="right"/>
              <w:rPr/>
            </w:pPr>
            <w:r>
              <w:rPr/>
              <w:t> </w:t>
            </w:r>
          </w:p>
        </w:tc>
        <w:tc>
          <w:tcPr>
            <w:tcW w:w="167" w:type="dxa"/>
            <w:tcBorders/>
            <w:shd w:fill="CFF0FC" w:val="clear"/>
            <w:vAlign w:val="center"/>
          </w:tcPr>
          <w:p>
            <w:pPr>
              <w:pStyle w:val="TableContents"/>
              <w:bidi w:val="0"/>
              <w:spacing w:before="0" w:after="283"/>
              <w:jc w:val="left"/>
              <w:rPr/>
            </w:pPr>
            <w:r>
              <w:rPr/>
              <w:t> </w:t>
            </w:r>
          </w:p>
        </w:tc>
        <w:tc>
          <w:tcPr>
            <w:tcW w:w="1312" w:type="dxa"/>
            <w:gridSpan w:val="2"/>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ind w:left="0" w:right="0" w:firstLine="200"/>
              <w:jc w:val="right"/>
              <w:rPr/>
            </w:pPr>
            <w:r>
              <w:rPr/>
              <w:t> </w:t>
            </w:r>
          </w:p>
        </w:tc>
      </w:tr>
      <w:tr>
        <w:trPr/>
        <w:tc>
          <w:tcPr>
            <w:tcW w:w="317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income</w:t>
            </w:r>
          </w:p>
        </w:tc>
        <w:tc>
          <w:tcPr>
            <w:tcW w:w="270"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16,181</w:t>
            </w:r>
          </w:p>
        </w:tc>
        <w:tc>
          <w:tcPr>
            <w:tcW w:w="212"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40,195</w:t>
            </w:r>
          </w:p>
        </w:tc>
        <w:tc>
          <w:tcPr>
            <w:tcW w:w="19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7,222</w:t>
            </w:r>
          </w:p>
        </w:tc>
        <w:tc>
          <w:tcPr>
            <w:tcW w:w="796" w:type="dxa"/>
            <w:tcBorders/>
            <w:shd w:fill="FFFFFF" w:val="clear"/>
            <w:vAlign w:val="center"/>
          </w:tcPr>
          <w:p>
            <w:pPr>
              <w:pStyle w:val="TableContents"/>
              <w:bidi w:val="0"/>
              <w:spacing w:before="0" w:after="283"/>
              <w:ind w:left="0" w:right="0" w:firstLine="200"/>
              <w:jc w:val="left"/>
              <w:rPr/>
            </w:pPr>
            <w:r>
              <w:rPr/>
              <w:t> </w:t>
            </w:r>
          </w:p>
        </w:tc>
      </w:tr>
      <w:tr>
        <w:trPr/>
        <w:tc>
          <w:tcPr>
            <w:tcW w:w="317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expense</w:t>
            </w:r>
          </w:p>
        </w:tc>
        <w:tc>
          <w:tcPr>
            <w:tcW w:w="270"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(950</w:t>
            </w:r>
          </w:p>
        </w:tc>
        <w:tc>
          <w:tcPr>
            <w:tcW w:w="21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42" w:type="dxa"/>
            <w:tcBorders/>
            <w:shd w:fill="CFF0FC" w:val="clear"/>
            <w:vAlign w:val="center"/>
          </w:tcPr>
          <w:p>
            <w:pPr>
              <w:pStyle w:val="TableContents"/>
              <w:bidi w:val="0"/>
              <w:spacing w:before="0" w:after="283"/>
              <w:jc w:val="left"/>
              <w:rPr/>
            </w:pPr>
            <w:r>
              <w:rPr/>
              <w:t> </w:t>
            </w:r>
          </w:p>
        </w:tc>
        <w:tc>
          <w:tcPr>
            <w:tcW w:w="107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(2,817</w:t>
            </w:r>
          </w:p>
        </w:tc>
        <w:tc>
          <w:tcPr>
            <w:tcW w:w="19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7"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107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(2,822</w:t>
            </w:r>
          </w:p>
        </w:tc>
        <w:tc>
          <w:tcPr>
            <w:tcW w:w="796"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17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expense</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(1,664</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6" w:type="dxa"/>
            <w:tcBorders/>
            <w:shd w:fill="FFFFFF" w:val="cle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(2,128</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7"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(583</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3176"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other income</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13,567</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35,250</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3,817</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before income tax expense</w:t>
            </w:r>
          </w:p>
        </w:tc>
        <w:tc>
          <w:tcPr>
            <w:tcW w:w="270"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(6,875</w:t>
            </w:r>
          </w:p>
        </w:tc>
        <w:tc>
          <w:tcPr>
            <w:tcW w:w="21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(29,663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(148,458</w:t>
            </w:r>
          </w:p>
        </w:tc>
        <w:tc>
          <w:tcPr>
            <w:tcW w:w="19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7"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(91,800</w:t>
            </w:r>
          </w:p>
        </w:tc>
        <w:tc>
          <w:tcPr>
            <w:tcW w:w="796"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3176"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Income tax benefit (expense)</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1,412</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(14,233</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7"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(5,313</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1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(5,463</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6" w:type="dxa"/>
            <w:tcBorders/>
            <w:shd w:fill="FFFFFF" w:val="cle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(31,411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(162,691</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7" w:type="dxa"/>
            <w:tcBorders/>
            <w:shd w:fill="FFFFFF" w:val="cle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(97,113</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1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 per share, basic and diluted</w:t>
            </w:r>
          </w:p>
        </w:tc>
        <w:tc>
          <w:tcPr>
            <w:tcW w:w="27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(0.11</w:t>
            </w:r>
          </w:p>
        </w:tc>
        <w:tc>
          <w:tcPr>
            <w:tcW w:w="21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(0.65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4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(3.27</w:t>
            </w:r>
          </w:p>
        </w:tc>
        <w:tc>
          <w:tcPr>
            <w:tcW w:w="19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7"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(2.03</w:t>
            </w:r>
          </w:p>
        </w:tc>
        <w:tc>
          <w:tcPr>
            <w:tcW w:w="7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1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 xml:space="preserve">Weighted average common shares used in </w:t>
              <w:br/>
              <w:t>  computing basic and diluted net loss per share:</w:t>
            </w:r>
          </w:p>
        </w:tc>
        <w:tc>
          <w:tcPr>
            <w:tcW w:w="270"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50,051</w:t>
            </w:r>
          </w:p>
        </w:tc>
        <w:tc>
          <w:tcPr>
            <w:tcW w:w="212"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48,067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49,719</w:t>
            </w:r>
          </w:p>
        </w:tc>
        <w:tc>
          <w:tcPr>
            <w:tcW w:w="19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47,821</w:t>
            </w:r>
          </w:p>
        </w:tc>
        <w:tc>
          <w:tcPr>
            <w:tcW w:w="796"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The accompanying notes are an integral part of the consolidated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HubSpot, Inc.</w:t>
      </w:r>
    </w:p>
    <w:p>
      <w:pPr>
        <w:pStyle w:val="TextBody"/>
        <w:bidi w:val="0"/>
        <w:jc w:val="center"/>
        <w:rPr>
          <w:rFonts w:ascii="Times New Roman" w:hAnsi="Times New Roman"/>
          <w:b/>
          <w:color w:val="000000"/>
          <w:sz w:val="20"/>
        </w:rPr>
      </w:pPr>
      <w:bookmarkStart w:id="6" w:name="unaudited_consolidated_statements_compre"/>
      <w:bookmarkEnd w:id="6"/>
      <w:r>
        <w:rPr>
          <w:rFonts w:ascii="Times New Roman" w:hAnsi="Times New Roman"/>
          <w:b/>
          <w:color w:val="000000"/>
          <w:sz w:val="20"/>
        </w:rPr>
        <w:t>Unaudited Consolidated Statements of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3707"/>
        <w:gridCol w:w="287"/>
        <w:gridCol w:w="859"/>
        <w:gridCol w:w="225"/>
        <w:gridCol w:w="198"/>
        <w:gridCol w:w="287"/>
        <w:gridCol w:w="1002"/>
        <w:gridCol w:w="166"/>
        <w:gridCol w:w="146"/>
        <w:gridCol w:w="254"/>
        <w:gridCol w:w="1014"/>
        <w:gridCol w:w="199"/>
        <w:gridCol w:w="175"/>
        <w:gridCol w:w="254"/>
        <w:gridCol w:w="1014"/>
        <w:gridCol w:w="418"/>
      </w:tblGrid>
      <w:tr>
        <w:trPr/>
        <w:tc>
          <w:tcPr>
            <w:tcW w:w="370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3707" w:type="dxa"/>
            <w:tcBorders/>
            <w:shd w:fill="FFFFFF" w:val="clear"/>
            <w:vAlign w:val="center"/>
          </w:tcPr>
          <w:p>
            <w:pPr>
              <w:pStyle w:val="TableContents"/>
              <w:bidi w:val="0"/>
              <w:spacing w:before="0" w:after="283"/>
              <w:jc w:val="left"/>
              <w:rPr/>
            </w:pPr>
            <w:r>
              <w:rPr/>
              <w:t> </w:t>
            </w:r>
          </w:p>
        </w:tc>
        <w:tc>
          <w:tcPr>
            <w:tcW w:w="28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9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7" w:type="dxa"/>
            <w:tcBorders/>
            <w:shd w:fill="FFFFFF" w:val="clear"/>
            <w:vAlign w:val="center"/>
          </w:tcPr>
          <w:p>
            <w:pPr>
              <w:pStyle w:val="TableContents"/>
              <w:bidi w:val="0"/>
              <w:spacing w:before="0" w:after="283"/>
              <w:jc w:val="left"/>
              <w:rPr/>
            </w:pPr>
            <w:r>
              <w:rPr/>
              <w:t> </w:t>
            </w:r>
          </w:p>
        </w:tc>
        <w:tc>
          <w:tcPr>
            <w:tcW w:w="11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 w:type="dxa"/>
            <w:tcBorders/>
            <w:shd w:fill="FFFFFF" w:val="clear"/>
            <w:vAlign w:val="center"/>
          </w:tcPr>
          <w:p>
            <w:pPr>
              <w:pStyle w:val="TableContents"/>
              <w:bidi w:val="0"/>
              <w:spacing w:before="0" w:after="283"/>
              <w:jc w:val="left"/>
              <w:rPr/>
            </w:pPr>
            <w:r>
              <w:rPr/>
              <w:t> </w:t>
            </w:r>
          </w:p>
        </w:tc>
        <w:tc>
          <w:tcPr>
            <w:tcW w:w="12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vAlign w:val="center"/>
          </w:tcPr>
          <w:p>
            <w:pPr>
              <w:pStyle w:val="TableContents"/>
              <w:bidi w:val="0"/>
              <w:spacing w:before="0" w:after="283"/>
              <w:jc w:val="left"/>
              <w:rPr/>
            </w:pPr>
            <w:r>
              <w:rPr/>
              <w:t> </w:t>
            </w:r>
          </w:p>
        </w:tc>
        <w:tc>
          <w:tcPr>
            <w:tcW w:w="12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28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5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(5,463</w:t>
            </w:r>
          </w:p>
        </w:tc>
        <w:tc>
          <w:tcPr>
            <w:tcW w:w="22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8" w:type="dxa"/>
            <w:tcBorders/>
            <w:shd w:fill="CFF0FC" w:val="clear"/>
            <w:vAlign w:val="center"/>
          </w:tcPr>
          <w:p>
            <w:pPr>
              <w:pStyle w:val="TableContents"/>
              <w:bidi w:val="0"/>
              <w:spacing w:before="0" w:after="283"/>
              <w:jc w:val="left"/>
              <w:rPr/>
            </w:pPr>
            <w:r>
              <w:rPr/>
              <w:t> </w:t>
            </w:r>
          </w:p>
        </w:tc>
        <w:tc>
          <w:tcPr>
            <w:tcW w:w="28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(31,411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5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1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(162,691</w:t>
            </w:r>
          </w:p>
        </w:tc>
        <w:tc>
          <w:tcPr>
            <w:tcW w:w="19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5"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1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(97,113</w:t>
            </w:r>
          </w:p>
        </w:tc>
        <w:tc>
          <w:tcPr>
            <w:tcW w:w="41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70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comprehensive loss:</w:t>
            </w:r>
          </w:p>
        </w:tc>
        <w:tc>
          <w:tcPr>
            <w:tcW w:w="1146" w:type="dxa"/>
            <w:gridSpan w:val="2"/>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left"/>
              <w:rPr/>
            </w:pPr>
            <w:r>
              <w:rPr/>
              <w:t> </w:t>
            </w:r>
          </w:p>
        </w:tc>
        <w:tc>
          <w:tcPr>
            <w:tcW w:w="128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68" w:type="dxa"/>
            <w:gridSpan w:val="2"/>
            <w:tcBorders/>
            <w:shd w:fill="FFFFFF" w:val="clear"/>
            <w:vAlign w:val="center"/>
          </w:tcPr>
          <w:p>
            <w:pPr>
              <w:pStyle w:val="TableContents"/>
              <w:bidi w:val="0"/>
              <w:spacing w:before="0" w:after="283"/>
              <w:jc w:val="right"/>
              <w:rPr/>
            </w:pPr>
            <w:r>
              <w:rPr/>
              <w:t> </w:t>
            </w:r>
          </w:p>
        </w:tc>
        <w:tc>
          <w:tcPr>
            <w:tcW w:w="199" w:type="dxa"/>
            <w:tcBorders/>
            <w:shd w:fill="FFFFFF" w:val="clear"/>
            <w:vAlign w:val="center"/>
          </w:tcPr>
          <w:p>
            <w:pPr>
              <w:pStyle w:val="TableContents"/>
              <w:bidi w:val="0"/>
              <w:spacing w:before="0" w:after="283"/>
              <w:jc w:val="right"/>
              <w:rPr/>
            </w:pPr>
            <w:r>
              <w:rPr/>
              <w:t> </w:t>
            </w:r>
          </w:p>
        </w:tc>
        <w:tc>
          <w:tcPr>
            <w:tcW w:w="175" w:type="dxa"/>
            <w:tcBorders/>
            <w:shd w:fill="FFFFFF" w:val="clear"/>
            <w:vAlign w:val="center"/>
          </w:tcPr>
          <w:p>
            <w:pPr>
              <w:pStyle w:val="TableContents"/>
              <w:bidi w:val="0"/>
              <w:spacing w:before="0" w:after="283"/>
              <w:jc w:val="left"/>
              <w:rPr/>
            </w:pPr>
            <w:r>
              <w:rPr/>
              <w:t> </w:t>
            </w:r>
          </w:p>
        </w:tc>
        <w:tc>
          <w:tcPr>
            <w:tcW w:w="1268" w:type="dxa"/>
            <w:gridSpan w:val="2"/>
            <w:tcBorders/>
            <w:shd w:fill="FFFFFF" w:val="clear"/>
            <w:vAlign w:val="center"/>
          </w:tcPr>
          <w:p>
            <w:pPr>
              <w:pStyle w:val="TableContents"/>
              <w:bidi w:val="0"/>
              <w:spacing w:before="0" w:after="283"/>
              <w:jc w:val="right"/>
              <w:rPr/>
            </w:pPr>
            <w:r>
              <w:rPr/>
              <w:t> </w:t>
            </w:r>
          </w:p>
        </w:tc>
        <w:tc>
          <w:tcPr>
            <w:tcW w:w="418" w:type="dxa"/>
            <w:tcBorders/>
            <w:shd w:fill="FFFFFF" w:val="clear"/>
            <w:vAlign w:val="center"/>
          </w:tcPr>
          <w:p>
            <w:pPr>
              <w:pStyle w:val="TableContents"/>
              <w:bidi w:val="0"/>
              <w:spacing w:before="0" w:after="283"/>
              <w:ind w:left="0" w:right="0" w:firstLine="200"/>
              <w:jc w:val="right"/>
              <w:rPr/>
            </w:pPr>
            <w:r>
              <w:rPr/>
              <w:t> </w:t>
            </w:r>
          </w:p>
        </w:tc>
      </w:tr>
      <w:tr>
        <w:trPr/>
        <w:tc>
          <w:tcPr>
            <w:tcW w:w="3707"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Foreign currency translation adjustment</w:t>
            </w:r>
          </w:p>
        </w:tc>
        <w:tc>
          <w:tcPr>
            <w:tcW w:w="287"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(2,832</w:t>
            </w:r>
          </w:p>
        </w:tc>
        <w:tc>
          <w:tcPr>
            <w:tcW w:w="22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8" w:type="dxa"/>
            <w:tcBorders/>
            <w:shd w:fill="CFF0FC" w:val="clear"/>
            <w:vAlign w:val="center"/>
          </w:tcPr>
          <w:p>
            <w:pPr>
              <w:pStyle w:val="TableContents"/>
              <w:bidi w:val="0"/>
              <w:spacing w:before="0" w:after="283"/>
              <w:jc w:val="left"/>
              <w:rPr/>
            </w:pPr>
            <w:r>
              <w:rPr/>
              <w:t> </w:t>
            </w:r>
          </w:p>
        </w:tc>
        <w:tc>
          <w:tcPr>
            <w:tcW w:w="287" w:type="dxa"/>
            <w:tcBorders/>
            <w:shd w:fill="CFF0FC" w:val="clear"/>
            <w:vAlign w:val="center"/>
          </w:tcPr>
          <w:p>
            <w:pPr>
              <w:pStyle w:val="TableContents"/>
              <w:bidi w:val="0"/>
              <w:spacing w:before="0" w:after="283"/>
              <w:jc w:val="left"/>
              <w:rPr/>
            </w:pPr>
            <w:r>
              <w:rPr/>
              <w:t> </w:t>
            </w:r>
          </w:p>
        </w:tc>
        <w:tc>
          <w:tcPr>
            <w:tcW w:w="100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(2,793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54" w:type="dxa"/>
            <w:tcBorders/>
            <w:shd w:fill="CFF0FC" w:val="clear"/>
            <w:vAlign w:val="center"/>
          </w:tcPr>
          <w:p>
            <w:pPr>
              <w:pStyle w:val="TableContents"/>
              <w:bidi w:val="0"/>
              <w:spacing w:before="0" w:after="283"/>
              <w:jc w:val="left"/>
              <w:rPr/>
            </w:pPr>
            <w:r>
              <w:rPr/>
              <w:t> </w:t>
            </w:r>
          </w:p>
        </w:tc>
        <w:tc>
          <w:tcPr>
            <w:tcW w:w="101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(1,805</w:t>
            </w:r>
          </w:p>
        </w:tc>
        <w:tc>
          <w:tcPr>
            <w:tcW w:w="19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5"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101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(5,818</w:t>
            </w:r>
          </w:p>
        </w:tc>
        <w:tc>
          <w:tcPr>
            <w:tcW w:w="418"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707"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 xml:space="preserve">Changes in unrealized gain (loss) on investments, net of </w:t>
              <w:br/>
              <w:t>  income taxes of $0</w:t>
            </w:r>
            <w:r>
              <w:rPr>
                <w:rFonts w:ascii="Times New Roman" w:hAnsi="Times New Roman"/>
                <w:color w:val="000000"/>
                <w:sz w:val="20"/>
              </w:rPr>
              <w:t> </w:t>
            </w:r>
            <w:r>
              <w:rPr>
                <w:rFonts w:ascii="Times New Roman" w:hAnsi="Times New Roman"/>
                <w:b w:val="false"/>
                <w:color w:val="000000"/>
                <w:sz w:val="20"/>
              </w:rPr>
              <w:t xml:space="preserve">for the three and nine months ended </w:t>
              <w:br/>
              <w:t> September 30, 2023 and 2022</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1,839</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5,317</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(10,354</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70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Comprehensive loss</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(6,456</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8" w:type="dxa"/>
            <w:tcBorders/>
            <w:shd w:fill="CFF0FC" w:val="clear"/>
            <w:vAlign w:val="center"/>
          </w:tcPr>
          <w:p>
            <w:pPr>
              <w:pStyle w:val="TableContents"/>
              <w:bidi w:val="0"/>
              <w:spacing w:before="0" w:after="283"/>
              <w:jc w:val="righ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(37,905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(159,179</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5" w:type="dxa"/>
            <w:tcBorders/>
            <w:shd w:fill="CFF0FC" w:val="cle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(113,285</w:t>
            </w:r>
          </w:p>
        </w:tc>
        <w:tc>
          <w:tcPr>
            <w:tcW w:w="4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The accompanying notes are an integral part of the consolidated financial statements.</w:t>
      </w:r>
    </w:p>
    <w:p>
      <w:pPr>
        <w:pStyle w:val="TextBody"/>
        <w:bidi w:val="0"/>
        <w:spacing w:before="40" w:after="283"/>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HubSpot, Inc.</w:t>
      </w:r>
    </w:p>
    <w:p>
      <w:pPr>
        <w:pStyle w:val="TextBody"/>
        <w:bidi w:val="0"/>
        <w:jc w:val="center"/>
        <w:rPr>
          <w:rFonts w:ascii="Times New Roman" w:hAnsi="Times New Roman"/>
          <w:b/>
          <w:color w:val="000000"/>
          <w:sz w:val="20"/>
        </w:rPr>
      </w:pPr>
      <w:bookmarkStart w:id="7" w:name="unaudited_consolidated_statements_of_se"/>
      <w:bookmarkEnd w:id="7"/>
      <w:r>
        <w:rPr>
          <w:rFonts w:ascii="Times New Roman" w:hAnsi="Times New Roman"/>
          <w:b/>
          <w:color w:val="000000"/>
          <w:sz w:val="20"/>
        </w:rPr>
        <w:t>Unaudited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amounts)</w:t>
      </w:r>
    </w:p>
    <w:p>
      <w:pPr>
        <w:pStyle w:val="TextBody"/>
        <w:bidi w:val="0"/>
        <w:jc w:val="center"/>
        <w:rPr/>
      </w:pPr>
      <w:r>
        <w:rPr/>
        <w:t> </w:t>
      </w:r>
    </w:p>
    <w:tbl>
      <w:tblPr>
        <w:tblW w:w="10531" w:type="dxa"/>
        <w:jc w:val="left"/>
        <w:tblInd w:w="0" w:type="dxa"/>
        <w:tblLayout w:type="fixed"/>
        <w:tblCellMar>
          <w:top w:w="28" w:type="dxa"/>
          <w:left w:w="28" w:type="dxa"/>
          <w:bottom w:w="28" w:type="dxa"/>
          <w:right w:w="28" w:type="dxa"/>
        </w:tblCellMar>
      </w:tblPr>
      <w:tblGrid>
        <w:gridCol w:w="1261"/>
        <w:gridCol w:w="146"/>
        <w:gridCol w:w="676"/>
        <w:gridCol w:w="166"/>
        <w:gridCol w:w="146"/>
        <w:gridCol w:w="211"/>
        <w:gridCol w:w="346"/>
        <w:gridCol w:w="146"/>
        <w:gridCol w:w="146"/>
        <w:gridCol w:w="146"/>
        <w:gridCol w:w="421"/>
        <w:gridCol w:w="146"/>
        <w:gridCol w:w="146"/>
        <w:gridCol w:w="211"/>
        <w:gridCol w:w="346"/>
        <w:gridCol w:w="146"/>
        <w:gridCol w:w="146"/>
        <w:gridCol w:w="211"/>
        <w:gridCol w:w="931"/>
        <w:gridCol w:w="166"/>
        <w:gridCol w:w="146"/>
        <w:gridCol w:w="244"/>
        <w:gridCol w:w="852"/>
        <w:gridCol w:w="166"/>
        <w:gridCol w:w="146"/>
        <w:gridCol w:w="211"/>
        <w:gridCol w:w="841"/>
        <w:gridCol w:w="166"/>
        <w:gridCol w:w="146"/>
        <w:gridCol w:w="211"/>
        <w:gridCol w:w="931"/>
        <w:gridCol w:w="211"/>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61" w:type="dxa"/>
            <w:tcBorders/>
            <w:shd w:fill="FFFFFF" w:val="clear"/>
            <w:vAlign w:val="center"/>
          </w:tcPr>
          <w:p>
            <w:pPr>
              <w:pStyle w:val="TableContents"/>
              <w:bidi w:val="0"/>
              <w:spacing w:before="0" w:after="283"/>
              <w:jc w:val="right"/>
              <w:rPr/>
            </w:pPr>
            <w:r>
              <w:rPr/>
              <w:t> </w:t>
            </w:r>
          </w:p>
        </w:tc>
        <w:tc>
          <w:tcPr>
            <w:tcW w:w="16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w:t>
              <w:br/>
              <w:t>Stock, $0.001</w:t>
              <w:b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Treasury Stock, $0.001</w:t>
              <w:b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6"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br/>
              <w:t>Other</w:t>
              <w:b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1261" w:type="dxa"/>
            <w:tcBorders/>
            <w:shd w:fill="FFFFFF" w:val="cle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Balances at December 31, 2022</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49,217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346"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910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1,647,446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852"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(12,890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(642,381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992,224</w:t>
            </w:r>
          </w:p>
        </w:tc>
        <w:tc>
          <w:tcPr>
            <w:tcW w:w="211" w:type="dxa"/>
            <w:tcBorders/>
            <w:shd w:fill="CFF0FC" w:val="clear"/>
            <w:vAlign w:val="center"/>
          </w:tcPr>
          <w:p>
            <w:pPr>
              <w:pStyle w:val="TableContents"/>
              <w:bidi w:val="0"/>
              <w:spacing w:before="0" w:after="283"/>
              <w:jc w:val="left"/>
              <w:rPr/>
            </w:pPr>
            <w:r>
              <w:rPr/>
              <w:t> </w:t>
            </w:r>
          </w:p>
        </w:tc>
      </w:tr>
      <w:tr>
        <w:trPr/>
        <w:tc>
          <w:tcPr>
            <w:tcW w:w="1261"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 xml:space="preserve">Issuance of common stock under stock </w:t>
              <w:br/>
              <w:t>  plans</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635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23,978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23,979</w:t>
            </w:r>
          </w:p>
        </w:tc>
        <w:tc>
          <w:tcPr>
            <w:tcW w:w="211" w:type="dxa"/>
            <w:tcBorders/>
            <w:shd w:fill="FFFFFF" w:val="clear"/>
            <w:vAlign w:val="center"/>
          </w:tcPr>
          <w:p>
            <w:pPr>
              <w:pStyle w:val="TableContents"/>
              <w:bidi w:val="0"/>
              <w:spacing w:before="0" w:after="283"/>
              <w:jc w:val="left"/>
              <w:rPr/>
            </w:pPr>
            <w:r>
              <w:rPr/>
              <w:t> </w:t>
            </w:r>
          </w:p>
        </w:tc>
      </w:tr>
      <w:tr>
        <w:trPr/>
        <w:tc>
          <w:tcPr>
            <w:tcW w:w="1261"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Restricted stock units taxes paid in cash</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(4,102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(4,102</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r>
      <w:tr>
        <w:trPr/>
        <w:tc>
          <w:tcPr>
            <w:tcW w:w="1261"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Stock-based compensation</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223,087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223,087</w:t>
            </w:r>
          </w:p>
        </w:tc>
        <w:tc>
          <w:tcPr>
            <w:tcW w:w="211" w:type="dxa"/>
            <w:tcBorders/>
            <w:shd w:fill="FFFFFF" w:val="clear"/>
            <w:vAlign w:val="center"/>
          </w:tcPr>
          <w:p>
            <w:pPr>
              <w:pStyle w:val="TableContents"/>
              <w:bidi w:val="0"/>
              <w:spacing w:before="0" w:after="283"/>
              <w:jc w:val="left"/>
              <w:rPr/>
            </w:pPr>
            <w:r>
              <w:rPr/>
              <w:t> </w:t>
            </w:r>
          </w:p>
        </w:tc>
      </w:tr>
      <w:tr>
        <w:trPr/>
        <w:tc>
          <w:tcPr>
            <w:tcW w:w="1261"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Cumulative translation adjustment</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1,026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1,026</w:t>
            </w:r>
          </w:p>
        </w:tc>
        <w:tc>
          <w:tcPr>
            <w:tcW w:w="211" w:type="dxa"/>
            <w:tcBorders/>
            <w:shd w:fill="CFF0FC" w:val="clear"/>
            <w:vAlign w:val="center"/>
          </w:tcPr>
          <w:p>
            <w:pPr>
              <w:pStyle w:val="TableContents"/>
              <w:bidi w:val="0"/>
              <w:spacing w:before="0" w:after="283"/>
              <w:jc w:val="left"/>
              <w:rPr/>
            </w:pPr>
            <w:r>
              <w:rPr/>
              <w:t> </w:t>
            </w:r>
          </w:p>
        </w:tc>
      </w:tr>
      <w:tr>
        <w:trPr/>
        <w:tc>
          <w:tcPr>
            <w:tcW w:w="1261"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Unrealized gain on investments, net of</w:t>
              <w:br/>
              <w:t>  income taxes of $0</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3,479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3,479</w:t>
            </w:r>
          </w:p>
        </w:tc>
        <w:tc>
          <w:tcPr>
            <w:tcW w:w="211" w:type="dxa"/>
            <w:tcBorders/>
            <w:shd w:fill="FFFFFF" w:val="clear"/>
            <w:vAlign w:val="center"/>
          </w:tcPr>
          <w:p>
            <w:pPr>
              <w:pStyle w:val="TableContents"/>
              <w:bidi w:val="0"/>
              <w:spacing w:before="0" w:after="283"/>
              <w:jc w:val="left"/>
              <w:rPr/>
            </w:pPr>
            <w:r>
              <w:rPr/>
              <w:t> </w:t>
            </w:r>
          </w:p>
        </w:tc>
      </w:tr>
      <w:tr>
        <w:trPr/>
        <w:tc>
          <w:tcPr>
            <w:tcW w:w="1261"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(157,228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(157,228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r>
      <w:tr>
        <w:trPr/>
        <w:tc>
          <w:tcPr>
            <w:tcW w:w="1261"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Balances at June 30, 2023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49,841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910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1,890,409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8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(8,385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(799,609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1,082,465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61"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 xml:space="preserve">Issuance of common stock under stock </w:t>
              <w:br/>
              <w:t>  plans</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1,316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1,316</w:t>
            </w:r>
          </w:p>
        </w:tc>
        <w:tc>
          <w:tcPr>
            <w:tcW w:w="211" w:type="dxa"/>
            <w:tcBorders/>
            <w:shd w:fill="CFF0FC" w:val="clear"/>
            <w:vAlign w:val="center"/>
          </w:tcPr>
          <w:p>
            <w:pPr>
              <w:pStyle w:val="TableContents"/>
              <w:bidi w:val="0"/>
              <w:spacing w:before="0" w:after="283"/>
              <w:jc w:val="left"/>
              <w:rPr/>
            </w:pPr>
            <w:r>
              <w:rPr/>
              <w:t> </w:t>
            </w:r>
          </w:p>
        </w:tc>
      </w:tr>
      <w:tr>
        <w:trPr/>
        <w:tc>
          <w:tcPr>
            <w:tcW w:w="1261"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Restricted stock units taxes paid in cash</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(3,468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(3,468</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r>
      <w:tr>
        <w:trPr/>
        <w:tc>
          <w:tcPr>
            <w:tcW w:w="1261"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Stock-based compensation</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112,482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112,482</w:t>
            </w:r>
          </w:p>
        </w:tc>
        <w:tc>
          <w:tcPr>
            <w:tcW w:w="211" w:type="dxa"/>
            <w:tcBorders/>
            <w:shd w:fill="CFF0FC" w:val="clear"/>
            <w:vAlign w:val="center"/>
          </w:tcPr>
          <w:p>
            <w:pPr>
              <w:pStyle w:val="TableContents"/>
              <w:bidi w:val="0"/>
              <w:spacing w:before="0" w:after="283"/>
              <w:jc w:val="left"/>
              <w:rPr/>
            </w:pPr>
            <w:r>
              <w:rPr/>
              <w:t> </w:t>
            </w:r>
          </w:p>
        </w:tc>
      </w:tr>
      <w:tr>
        <w:trPr/>
        <w:tc>
          <w:tcPr>
            <w:tcW w:w="1261"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Cumulative translation adjustment</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(2,832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(2,832</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r>
      <w:tr>
        <w:trPr/>
        <w:tc>
          <w:tcPr>
            <w:tcW w:w="1261"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Unrealized gain on investments, net of</w:t>
              <w:br/>
              <w:t>  income taxes of $0</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1,839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1,839</w:t>
            </w:r>
          </w:p>
        </w:tc>
        <w:tc>
          <w:tcPr>
            <w:tcW w:w="211" w:type="dxa"/>
            <w:tcBorders/>
            <w:shd w:fill="CFF0FC" w:val="clear"/>
            <w:vAlign w:val="center"/>
          </w:tcPr>
          <w:p>
            <w:pPr>
              <w:pStyle w:val="TableContents"/>
              <w:bidi w:val="0"/>
              <w:spacing w:before="0" w:after="283"/>
              <w:jc w:val="left"/>
              <w:rPr/>
            </w:pPr>
            <w:r>
              <w:rPr/>
              <w:t> </w:t>
            </w:r>
          </w:p>
        </w:tc>
      </w:tr>
      <w:tr>
        <w:trPr/>
        <w:tc>
          <w:tcPr>
            <w:tcW w:w="1261"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(5,463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(5,463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r>
      <w:tr>
        <w:trPr/>
        <w:tc>
          <w:tcPr>
            <w:tcW w:w="1261"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Balances at September 30, 2023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50,114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910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2,000,739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8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(9,378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(805,072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1,186,339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tbl>
      <w:tblPr>
        <w:tblW w:w="10361" w:type="dxa"/>
        <w:jc w:val="left"/>
        <w:tblInd w:w="0" w:type="dxa"/>
        <w:tblLayout w:type="fixed"/>
        <w:tblCellMar>
          <w:top w:w="28" w:type="dxa"/>
          <w:left w:w="28" w:type="dxa"/>
          <w:bottom w:w="28" w:type="dxa"/>
          <w:right w:w="28" w:type="dxa"/>
        </w:tblCellMar>
      </w:tblPr>
      <w:tblGrid>
        <w:gridCol w:w="1261"/>
        <w:gridCol w:w="146"/>
        <w:gridCol w:w="676"/>
        <w:gridCol w:w="146"/>
        <w:gridCol w:w="146"/>
        <w:gridCol w:w="211"/>
        <w:gridCol w:w="346"/>
        <w:gridCol w:w="146"/>
        <w:gridCol w:w="146"/>
        <w:gridCol w:w="146"/>
        <w:gridCol w:w="421"/>
        <w:gridCol w:w="146"/>
        <w:gridCol w:w="146"/>
        <w:gridCol w:w="211"/>
        <w:gridCol w:w="346"/>
        <w:gridCol w:w="146"/>
        <w:gridCol w:w="146"/>
        <w:gridCol w:w="211"/>
        <w:gridCol w:w="931"/>
        <w:gridCol w:w="166"/>
        <w:gridCol w:w="146"/>
        <w:gridCol w:w="244"/>
        <w:gridCol w:w="852"/>
        <w:gridCol w:w="166"/>
        <w:gridCol w:w="146"/>
        <w:gridCol w:w="211"/>
        <w:gridCol w:w="841"/>
        <w:gridCol w:w="166"/>
        <w:gridCol w:w="146"/>
        <w:gridCol w:w="211"/>
        <w:gridCol w:w="781"/>
        <w:gridCol w:w="211"/>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61" w:type="dxa"/>
            <w:tcBorders/>
            <w:shd w:fill="FFFFFF" w:val="clear"/>
            <w:vAlign w:val="center"/>
          </w:tcPr>
          <w:p>
            <w:pPr>
              <w:pStyle w:val="TableContents"/>
              <w:bidi w:val="0"/>
              <w:spacing w:before="0" w:after="283"/>
              <w:jc w:val="right"/>
              <w:rPr/>
            </w:pPr>
            <w:r>
              <w:rPr/>
              <w:t> </w:t>
            </w:r>
          </w:p>
        </w:tc>
        <w:tc>
          <w:tcPr>
            <w:tcW w:w="16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w:t>
              <w:br/>
              <w:t>Stock, $0.001</w:t>
              <w:b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Treasury Stock, $0.001</w:t>
              <w:b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6"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br/>
              <w:t>Other</w:t>
              <w:b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1261" w:type="dxa"/>
            <w:tcBorders/>
            <w:shd w:fill="FFFFFF" w:val="cle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Balances at December 31, 2021</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47,390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346"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910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1,436,089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852"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(1,339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(560,998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873,799</w:t>
            </w:r>
          </w:p>
        </w:tc>
        <w:tc>
          <w:tcPr>
            <w:tcW w:w="211" w:type="dxa"/>
            <w:tcBorders/>
            <w:shd w:fill="CFF0FC" w:val="clear"/>
            <w:vAlign w:val="center"/>
          </w:tcPr>
          <w:p>
            <w:pPr>
              <w:pStyle w:val="TableContents"/>
              <w:bidi w:val="0"/>
              <w:spacing w:before="0" w:after="283"/>
              <w:jc w:val="left"/>
              <w:rPr/>
            </w:pPr>
            <w:r>
              <w:rPr/>
              <w:t> </w:t>
            </w:r>
          </w:p>
        </w:tc>
      </w:tr>
      <w:tr>
        <w:trPr/>
        <w:tc>
          <w:tcPr>
            <w:tcW w:w="1261"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 xml:space="preserve">Issuance of common stock under stock </w:t>
              <w:br/>
              <w:t>  plans</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506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20,692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20,693</w:t>
            </w:r>
          </w:p>
        </w:tc>
        <w:tc>
          <w:tcPr>
            <w:tcW w:w="211" w:type="dxa"/>
            <w:tcBorders/>
            <w:shd w:fill="FFFFFF" w:val="clear"/>
            <w:vAlign w:val="center"/>
          </w:tcPr>
          <w:p>
            <w:pPr>
              <w:pStyle w:val="TableContents"/>
              <w:bidi w:val="0"/>
              <w:spacing w:before="0" w:after="283"/>
              <w:jc w:val="left"/>
              <w:rPr/>
            </w:pPr>
            <w:r>
              <w:rPr/>
              <w:t> </w:t>
            </w:r>
          </w:p>
        </w:tc>
      </w:tr>
      <w:tr>
        <w:trPr/>
        <w:tc>
          <w:tcPr>
            <w:tcW w:w="1261"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Restricted stock units taxes paid in cash</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(7,763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(7,763</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r>
      <w:tr>
        <w:trPr/>
        <w:tc>
          <w:tcPr>
            <w:tcW w:w="1261"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Stock-based compensation</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130,549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130,549</w:t>
            </w:r>
          </w:p>
        </w:tc>
        <w:tc>
          <w:tcPr>
            <w:tcW w:w="211" w:type="dxa"/>
            <w:tcBorders/>
            <w:shd w:fill="FFFFFF" w:val="clear"/>
            <w:vAlign w:val="center"/>
          </w:tcPr>
          <w:p>
            <w:pPr>
              <w:pStyle w:val="TableContents"/>
              <w:bidi w:val="0"/>
              <w:spacing w:before="0" w:after="283"/>
              <w:jc w:val="left"/>
              <w:rPr/>
            </w:pPr>
            <w:r>
              <w:rPr/>
              <w:t> </w:t>
            </w:r>
          </w:p>
        </w:tc>
      </w:tr>
      <w:tr>
        <w:trPr/>
        <w:tc>
          <w:tcPr>
            <w:tcW w:w="1261"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Conversion of the 2025 Notes</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(691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(691</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r>
      <w:tr>
        <w:trPr/>
        <w:tc>
          <w:tcPr>
            <w:tcW w:w="1261"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Conversion of the 2022 Notes</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(60,422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(60,422</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r>
      <w:tr>
        <w:trPr/>
        <w:tc>
          <w:tcPr>
            <w:tcW w:w="1261"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Settlement of Convertible Note Hedges</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60,483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60,483</w:t>
            </w:r>
          </w:p>
        </w:tc>
        <w:tc>
          <w:tcPr>
            <w:tcW w:w="211" w:type="dxa"/>
            <w:tcBorders/>
            <w:shd w:fill="CFF0FC" w:val="clear"/>
            <w:vAlign w:val="center"/>
          </w:tcPr>
          <w:p>
            <w:pPr>
              <w:pStyle w:val="TableContents"/>
              <w:bidi w:val="0"/>
              <w:spacing w:before="0" w:after="283"/>
              <w:jc w:val="left"/>
              <w:rPr/>
            </w:pPr>
            <w:r>
              <w:rPr/>
              <w:t> </w:t>
            </w:r>
          </w:p>
        </w:tc>
      </w:tr>
      <w:tr>
        <w:trPr/>
        <w:tc>
          <w:tcPr>
            <w:tcW w:w="1261"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 xml:space="preserve">Cumulative adjustment from adoption </w:t>
              <w:br/>
              <w:t>  of convertible debt standard</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(101,167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31,366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(69,801</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r>
      <w:tr>
        <w:trPr/>
        <w:tc>
          <w:tcPr>
            <w:tcW w:w="1261"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Cumulative translation adjustment</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(3,025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(3,025</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r>
      <w:tr>
        <w:trPr/>
        <w:tc>
          <w:tcPr>
            <w:tcW w:w="1261"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Unrealized loss on investments, net of</w:t>
              <w:br/>
              <w:t>  income taxes of $0</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(6,653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(6,653</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r>
      <w:tr>
        <w:trPr/>
        <w:tc>
          <w:tcPr>
            <w:tcW w:w="1261"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(65,702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(65,702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r>
      <w:tr>
        <w:trPr/>
        <w:tc>
          <w:tcPr>
            <w:tcW w:w="1261"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Balances at June 30, 2022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47,896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910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1,477,770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8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(11,017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(595,334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871,467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61"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 xml:space="preserve">Issuance of common stock under stock </w:t>
              <w:br/>
              <w:t>  plans</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799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799</w:t>
            </w:r>
          </w:p>
        </w:tc>
        <w:tc>
          <w:tcPr>
            <w:tcW w:w="211" w:type="dxa"/>
            <w:tcBorders/>
            <w:shd w:fill="CFF0FC" w:val="clear"/>
            <w:vAlign w:val="center"/>
          </w:tcPr>
          <w:p>
            <w:pPr>
              <w:pStyle w:val="TableContents"/>
              <w:bidi w:val="0"/>
              <w:spacing w:before="0" w:after="283"/>
              <w:jc w:val="left"/>
              <w:rPr/>
            </w:pPr>
            <w:r>
              <w:rPr/>
              <w:t> </w:t>
            </w:r>
          </w:p>
        </w:tc>
      </w:tr>
      <w:tr>
        <w:trPr/>
        <w:tc>
          <w:tcPr>
            <w:tcW w:w="1261"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Restricted stock units taxes paid in cash</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(2,191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(2,191</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r>
      <w:tr>
        <w:trPr/>
        <w:tc>
          <w:tcPr>
            <w:tcW w:w="1261"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Stock-based compensation</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74,527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74,527</w:t>
            </w:r>
          </w:p>
        </w:tc>
        <w:tc>
          <w:tcPr>
            <w:tcW w:w="211" w:type="dxa"/>
            <w:tcBorders/>
            <w:shd w:fill="CFF0FC" w:val="clear"/>
            <w:vAlign w:val="center"/>
          </w:tcPr>
          <w:p>
            <w:pPr>
              <w:pStyle w:val="TableContents"/>
              <w:bidi w:val="0"/>
              <w:spacing w:before="0" w:after="283"/>
              <w:jc w:val="left"/>
              <w:rPr/>
            </w:pPr>
            <w:r>
              <w:rPr/>
              <w:t> </w:t>
            </w:r>
          </w:p>
        </w:tc>
      </w:tr>
      <w:tr>
        <w:trPr/>
        <w:tc>
          <w:tcPr>
            <w:tcW w:w="1261"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Settlement of Warrants</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w:t>
            </w:r>
          </w:p>
        </w:tc>
        <w:tc>
          <w:tcPr>
            <w:tcW w:w="211" w:type="dxa"/>
            <w:tcBorders/>
            <w:shd w:fill="FFFFFF" w:val="clear"/>
            <w:vAlign w:val="center"/>
          </w:tcPr>
          <w:p>
            <w:pPr>
              <w:pStyle w:val="TableContents"/>
              <w:bidi w:val="0"/>
              <w:spacing w:before="0" w:after="283"/>
              <w:jc w:val="left"/>
              <w:rPr/>
            </w:pPr>
            <w:r>
              <w:rPr/>
              <w:t> </w:t>
            </w:r>
          </w:p>
        </w:tc>
      </w:tr>
      <w:tr>
        <w:trPr/>
        <w:tc>
          <w:tcPr>
            <w:tcW w:w="1261"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Cumulative translation adjustment</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(2,793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(2,793</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r>
      <w:tr>
        <w:trPr/>
        <w:tc>
          <w:tcPr>
            <w:tcW w:w="1261"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Unrealized loss on investments, net of</w:t>
              <w:br/>
              <w:t>  income taxes of $0</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(3,701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(3,701</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r>
      <w:tr>
        <w:trPr/>
        <w:tc>
          <w:tcPr>
            <w:tcW w:w="1261"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(31,411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(31,411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r>
      <w:tr>
        <w:trPr/>
        <w:tc>
          <w:tcPr>
            <w:tcW w:w="1261"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Balances at September 30, 2022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48,255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910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1,550,905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8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(17,511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(626,745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906,697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The accompanying notes are an integral part of the consolidated financial statements.</w:t>
      </w:r>
    </w:p>
    <w:p>
      <w:pPr>
        <w:pStyle w:val="TextBody"/>
        <w:bidi w:val="0"/>
        <w:spacing w:before="40" w:after="283"/>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HubSpot, Inc.</w:t>
      </w:r>
    </w:p>
    <w:p>
      <w:pPr>
        <w:pStyle w:val="TextBody"/>
        <w:bidi w:val="0"/>
        <w:jc w:val="center"/>
        <w:rPr>
          <w:rFonts w:ascii="Times New Roman" w:hAnsi="Times New Roman"/>
          <w:b/>
          <w:color w:val="000000"/>
          <w:sz w:val="20"/>
        </w:rPr>
      </w:pPr>
      <w:bookmarkStart w:id="8" w:name="unaudited_consolidated_statements_cash_f"/>
      <w:bookmarkEnd w:id="8"/>
      <w:r>
        <w:rPr>
          <w:rFonts w:ascii="Times New Roman" w:hAnsi="Times New Roman"/>
          <w:b/>
          <w:color w:val="000000"/>
          <w:sz w:val="20"/>
        </w:rPr>
        <w:t>Unaudited Consolidated Statements of Cash Flows</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5970"/>
        <w:gridCol w:w="146"/>
        <w:gridCol w:w="243"/>
        <w:gridCol w:w="1102"/>
        <w:gridCol w:w="206"/>
        <w:gridCol w:w="181"/>
        <w:gridCol w:w="243"/>
        <w:gridCol w:w="1102"/>
        <w:gridCol w:w="1012"/>
      </w:tblGrid>
      <w:tr>
        <w:trPr/>
        <w:tc>
          <w:tcPr>
            <w:tcW w:w="59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59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w:t>
            </w:r>
          </w:p>
        </w:tc>
        <w:tc>
          <w:tcPr>
            <w:tcW w:w="10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13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0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70"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Activities:</w:t>
            </w:r>
          </w:p>
        </w:tc>
        <w:tc>
          <w:tcPr>
            <w:tcW w:w="146" w:type="dxa"/>
            <w:tcBorders/>
            <w:shd w:fill="CFF0FC" w:val="clear"/>
            <w:vAlign w:val="center"/>
          </w:tcPr>
          <w:p>
            <w:pPr>
              <w:pStyle w:val="TableContents"/>
              <w:bidi w:val="0"/>
              <w:spacing w:before="0" w:after="283"/>
              <w:jc w:val="left"/>
              <w:rPr/>
            </w:pPr>
            <w:r>
              <w:rPr/>
              <w:t> </w:t>
            </w:r>
          </w:p>
        </w:tc>
        <w:tc>
          <w:tcPr>
            <w:tcW w:w="1345" w:type="dxa"/>
            <w:gridSpan w:val="2"/>
            <w:tcBorders/>
            <w:shd w:fill="CFF0FC" w:val="clear"/>
            <w:vAlign w:val="center"/>
          </w:tcPr>
          <w:p>
            <w:pPr>
              <w:pStyle w:val="TableContents"/>
              <w:bidi w:val="0"/>
              <w:spacing w:before="0" w:after="283"/>
              <w:jc w:val="right"/>
              <w:rPr/>
            </w:pPr>
            <w:r>
              <w:rPr/>
              <w:t> </w:t>
            </w:r>
          </w:p>
        </w:tc>
        <w:tc>
          <w:tcPr>
            <w:tcW w:w="20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1345" w:type="dxa"/>
            <w:gridSpan w:val="2"/>
            <w:tcBorders/>
            <w:shd w:fill="CFF0FC" w:val="clear"/>
            <w:vAlign w:val="center"/>
          </w:tcPr>
          <w:p>
            <w:pPr>
              <w:pStyle w:val="TableContents"/>
              <w:bidi w:val="0"/>
              <w:spacing w:before="0" w:after="283"/>
              <w:jc w:val="right"/>
              <w:rPr/>
            </w:pPr>
            <w:r>
              <w:rPr/>
              <w:t> </w:t>
            </w:r>
          </w:p>
        </w:tc>
        <w:tc>
          <w:tcPr>
            <w:tcW w:w="1012" w:type="dxa"/>
            <w:tcBorders/>
            <w:shd w:fill="CFF0FC" w:val="clear"/>
            <w:vAlign w:val="center"/>
          </w:tcPr>
          <w:p>
            <w:pPr>
              <w:pStyle w:val="TableContents"/>
              <w:bidi w:val="0"/>
              <w:spacing w:before="0" w:after="283"/>
              <w:ind w:left="0" w:right="0" w:firstLine="200"/>
              <w:jc w:val="right"/>
              <w:rPr/>
            </w:pPr>
            <w:r>
              <w:rPr/>
              <w:t> </w:t>
            </w:r>
          </w:p>
        </w:tc>
      </w:tr>
      <w:tr>
        <w:trPr/>
        <w:tc>
          <w:tcPr>
            <w:tcW w:w="597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(162,691</w:t>
            </w:r>
          </w:p>
        </w:tc>
        <w:tc>
          <w:tcPr>
            <w:tcW w:w="20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81"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10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(97,113</w:t>
            </w:r>
          </w:p>
        </w:tc>
        <w:tc>
          <w:tcPr>
            <w:tcW w:w="1012"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597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Adjustments to reconcile net loss to net cash and cash equivalents provided</w:t>
              <w:br/>
              <w:t>   by operating activities, net of acquisitions</w:t>
            </w:r>
          </w:p>
        </w:tc>
        <w:tc>
          <w:tcPr>
            <w:tcW w:w="146" w:type="dxa"/>
            <w:tcBorders/>
            <w:shd w:fill="CFF0FC" w:val="clear"/>
            <w:vAlign w:val="center"/>
          </w:tcPr>
          <w:p>
            <w:pPr>
              <w:pStyle w:val="TableContents"/>
              <w:bidi w:val="0"/>
              <w:spacing w:before="0" w:after="283"/>
              <w:jc w:val="left"/>
              <w:rPr/>
            </w:pPr>
            <w:r>
              <w:rPr/>
              <w:t> </w:t>
            </w:r>
          </w:p>
        </w:tc>
        <w:tc>
          <w:tcPr>
            <w:tcW w:w="1345" w:type="dxa"/>
            <w:gridSpan w:val="2"/>
            <w:tcBorders/>
            <w:shd w:fill="CFF0FC" w:val="clear"/>
            <w:vAlign w:val="center"/>
          </w:tcPr>
          <w:p>
            <w:pPr>
              <w:pStyle w:val="TableContents"/>
              <w:bidi w:val="0"/>
              <w:spacing w:before="0" w:after="283"/>
              <w:jc w:val="right"/>
              <w:rPr/>
            </w:pPr>
            <w:r>
              <w:rPr/>
              <w:t> </w:t>
            </w:r>
          </w:p>
        </w:tc>
        <w:tc>
          <w:tcPr>
            <w:tcW w:w="20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1345" w:type="dxa"/>
            <w:gridSpan w:val="2"/>
            <w:tcBorders/>
            <w:shd w:fill="CFF0FC" w:val="clear"/>
            <w:vAlign w:val="center"/>
          </w:tcPr>
          <w:p>
            <w:pPr>
              <w:pStyle w:val="TableContents"/>
              <w:bidi w:val="0"/>
              <w:spacing w:before="0" w:after="283"/>
              <w:jc w:val="right"/>
              <w:rPr/>
            </w:pPr>
            <w:r>
              <w:rPr/>
              <w:t> </w:t>
            </w:r>
          </w:p>
        </w:tc>
        <w:tc>
          <w:tcPr>
            <w:tcW w:w="1012" w:type="dxa"/>
            <w:tcBorders/>
            <w:shd w:fill="CFF0FC" w:val="clear"/>
            <w:vAlign w:val="center"/>
          </w:tcPr>
          <w:p>
            <w:pPr>
              <w:pStyle w:val="TableContents"/>
              <w:bidi w:val="0"/>
              <w:spacing w:before="0" w:after="283"/>
              <w:ind w:left="0" w:right="0" w:firstLine="400"/>
              <w:jc w:val="right"/>
              <w:rPr/>
            </w:pPr>
            <w:r>
              <w:rPr/>
              <w:t> </w:t>
            </w:r>
          </w:p>
        </w:tc>
      </w:tr>
      <w:tr>
        <w:trPr/>
        <w:tc>
          <w:tcPr>
            <w:tcW w:w="5970"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53,508</w:t>
            </w:r>
          </w:p>
        </w:tc>
        <w:tc>
          <w:tcPr>
            <w:tcW w:w="20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42,625</w:t>
            </w:r>
          </w:p>
        </w:tc>
        <w:tc>
          <w:tcPr>
            <w:tcW w:w="1012" w:type="dxa"/>
            <w:tcBorders/>
            <w:shd w:fill="FFFFFF" w:val="clear"/>
            <w:vAlign w:val="center"/>
          </w:tcPr>
          <w:p>
            <w:pPr>
              <w:pStyle w:val="TableContents"/>
              <w:bidi w:val="0"/>
              <w:spacing w:before="0" w:after="283"/>
              <w:ind w:left="0" w:right="0" w:firstLine="400"/>
              <w:jc w:val="left"/>
              <w:rPr/>
            </w:pPr>
            <w:r>
              <w:rPr/>
              <w:t> </w:t>
            </w:r>
          </w:p>
        </w:tc>
      </w:tr>
      <w:tr>
        <w:trPr/>
        <w:tc>
          <w:tcPr>
            <w:tcW w:w="5970"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Stock-based compensation</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110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318,545</w:t>
            </w:r>
          </w:p>
        </w:tc>
        <w:tc>
          <w:tcPr>
            <w:tcW w:w="20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110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199,081</w:t>
            </w:r>
          </w:p>
        </w:tc>
        <w:tc>
          <w:tcPr>
            <w:tcW w:w="1012" w:type="dxa"/>
            <w:tcBorders/>
            <w:shd w:fill="CFF0FC" w:val="clear"/>
            <w:vAlign w:val="center"/>
          </w:tcPr>
          <w:p>
            <w:pPr>
              <w:pStyle w:val="TableContents"/>
              <w:bidi w:val="0"/>
              <w:spacing w:before="0" w:after="283"/>
              <w:ind w:left="0" w:right="0" w:firstLine="400"/>
              <w:jc w:val="left"/>
              <w:rPr/>
            </w:pPr>
            <w:r>
              <w:rPr/>
              <w:t> </w:t>
            </w:r>
          </w:p>
        </w:tc>
      </w:tr>
      <w:tr>
        <w:trPr/>
        <w:tc>
          <w:tcPr>
            <w:tcW w:w="5970"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Restructuring charges</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64,938</w:t>
            </w:r>
          </w:p>
        </w:tc>
        <w:tc>
          <w:tcPr>
            <w:tcW w:w="20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color w:val="000000"/>
              </w:rPr>
            </w:pPr>
            <w:r>
              <w:rPr>
                <w:color w:val="000000"/>
              </w:rPr>
              <w:t>—</w:t>
            </w:r>
          </w:p>
        </w:tc>
        <w:tc>
          <w:tcPr>
            <w:tcW w:w="1012" w:type="dxa"/>
            <w:tcBorders/>
            <w:shd w:fill="FFFFFF" w:val="clear"/>
            <w:vAlign w:val="center"/>
          </w:tcPr>
          <w:p>
            <w:pPr>
              <w:pStyle w:val="TableContents"/>
              <w:bidi w:val="0"/>
              <w:spacing w:before="0" w:after="283"/>
              <w:ind w:left="0" w:right="0" w:firstLine="400"/>
              <w:jc w:val="left"/>
              <w:rPr/>
            </w:pPr>
            <w:r>
              <w:rPr/>
              <w:t> </w:t>
            </w:r>
          </w:p>
        </w:tc>
      </w:tr>
      <w:tr>
        <w:trPr/>
        <w:tc>
          <w:tcPr>
            <w:tcW w:w="5970"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Gain on strategic investments</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1102" w:type="dxa"/>
            <w:tcBorders/>
            <w:shd w:fill="CFF0FC" w:val="clear"/>
            <w:vAlign w:val="center"/>
          </w:tcPr>
          <w:p>
            <w:pPr>
              <w:pStyle w:val="TableContents"/>
              <w:bidi w:val="0"/>
              <w:spacing w:before="0" w:after="283"/>
              <w:jc w:val="right"/>
              <w:rPr>
                <w:color w:val="000000"/>
              </w:rPr>
            </w:pPr>
            <w:r>
              <w:rPr>
                <w:color w:val="000000"/>
              </w:rPr>
              <w:t>—</w:t>
            </w:r>
          </w:p>
        </w:tc>
        <w:tc>
          <w:tcPr>
            <w:tcW w:w="20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110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(4,200</w:t>
            </w:r>
          </w:p>
        </w:tc>
        <w:tc>
          <w:tcPr>
            <w:tcW w:w="1012"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16"/>
              </w:rPr>
            </w:pPr>
            <w:r>
              <w:rPr>
                <w:rFonts w:ascii="Times New Roman" w:hAnsi="Times New Roman"/>
                <w:b w:val="false"/>
                <w:color w:val="000000"/>
                <w:sz w:val="16"/>
              </w:rPr>
              <w:t>)</w:t>
            </w:r>
          </w:p>
        </w:tc>
      </w:tr>
      <w:tr>
        <w:trPr/>
        <w:tc>
          <w:tcPr>
            <w:tcW w:w="5970"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Provision for (benefit from) deferred income taxes</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4,943</w:t>
            </w:r>
          </w:p>
        </w:tc>
        <w:tc>
          <w:tcPr>
            <w:tcW w:w="20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(589</w:t>
            </w:r>
          </w:p>
        </w:tc>
        <w:tc>
          <w:tcPr>
            <w:tcW w:w="1012"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16"/>
              </w:rPr>
            </w:pPr>
            <w:r>
              <w:rPr>
                <w:rFonts w:ascii="Times New Roman" w:hAnsi="Times New Roman"/>
                <w:b w:val="false"/>
                <w:color w:val="000000"/>
                <w:sz w:val="16"/>
              </w:rPr>
              <w:t>)</w:t>
            </w:r>
          </w:p>
        </w:tc>
      </w:tr>
      <w:tr>
        <w:trPr/>
        <w:tc>
          <w:tcPr>
            <w:tcW w:w="5970"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Amortization of debt discount and issuance costs</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110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1,477</w:t>
            </w:r>
          </w:p>
        </w:tc>
        <w:tc>
          <w:tcPr>
            <w:tcW w:w="20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110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1,509</w:t>
            </w:r>
          </w:p>
        </w:tc>
        <w:tc>
          <w:tcPr>
            <w:tcW w:w="1012" w:type="dxa"/>
            <w:tcBorders/>
            <w:shd w:fill="CFF0FC" w:val="clear"/>
            <w:vAlign w:val="center"/>
          </w:tcPr>
          <w:p>
            <w:pPr>
              <w:pStyle w:val="TableContents"/>
              <w:bidi w:val="0"/>
              <w:spacing w:before="0" w:after="283"/>
              <w:ind w:left="0" w:right="0" w:firstLine="400"/>
              <w:jc w:val="left"/>
              <w:rPr/>
            </w:pPr>
            <w:r>
              <w:rPr/>
              <w:t> </w:t>
            </w:r>
          </w:p>
        </w:tc>
      </w:tr>
      <w:tr>
        <w:trPr/>
        <w:tc>
          <w:tcPr>
            <w:tcW w:w="5970"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Accretion of bond discount</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(30,213</w:t>
            </w:r>
          </w:p>
        </w:tc>
        <w:tc>
          <w:tcPr>
            <w:tcW w:w="20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81"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(3,267</w:t>
            </w:r>
          </w:p>
        </w:tc>
        <w:tc>
          <w:tcPr>
            <w:tcW w:w="1012"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16"/>
              </w:rPr>
            </w:pPr>
            <w:r>
              <w:rPr>
                <w:rFonts w:ascii="Times New Roman" w:hAnsi="Times New Roman"/>
                <w:b w:val="false"/>
                <w:color w:val="000000"/>
                <w:sz w:val="16"/>
              </w:rPr>
              <w:t>)</w:t>
            </w:r>
          </w:p>
        </w:tc>
      </w:tr>
      <w:tr>
        <w:trPr/>
        <w:tc>
          <w:tcPr>
            <w:tcW w:w="5970"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Unrealized currency translation</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110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(1,380</w:t>
            </w:r>
          </w:p>
        </w:tc>
        <w:tc>
          <w:tcPr>
            <w:tcW w:w="20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81"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110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480</w:t>
            </w:r>
          </w:p>
        </w:tc>
        <w:tc>
          <w:tcPr>
            <w:tcW w:w="1012" w:type="dxa"/>
            <w:tcBorders/>
            <w:shd w:fill="CFF0FC" w:val="clear"/>
            <w:vAlign w:val="center"/>
          </w:tcPr>
          <w:p>
            <w:pPr>
              <w:pStyle w:val="TableContents"/>
              <w:bidi w:val="0"/>
              <w:spacing w:before="0" w:after="283"/>
              <w:ind w:left="0" w:right="0" w:firstLine="400"/>
              <w:jc w:val="left"/>
              <w:rPr/>
            </w:pPr>
            <w:r>
              <w:rPr/>
              <w:t> </w:t>
            </w:r>
          </w:p>
        </w:tc>
      </w:tr>
      <w:tr>
        <w:trPr/>
        <w:tc>
          <w:tcPr>
            <w:tcW w:w="5970"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Changes in assets and liabilities</w:t>
            </w:r>
          </w:p>
        </w:tc>
        <w:tc>
          <w:tcPr>
            <w:tcW w:w="146" w:type="dxa"/>
            <w:tcBorders/>
            <w:shd w:fill="FFFFFF" w:val="clear"/>
            <w:vAlign w:val="center"/>
          </w:tcPr>
          <w:p>
            <w:pPr>
              <w:pStyle w:val="TableContents"/>
              <w:bidi w:val="0"/>
              <w:spacing w:before="0" w:after="283"/>
              <w:jc w:val="left"/>
              <w:rPr/>
            </w:pPr>
            <w:r>
              <w:rPr/>
              <w:t> </w:t>
            </w:r>
          </w:p>
        </w:tc>
        <w:tc>
          <w:tcPr>
            <w:tcW w:w="1345" w:type="dxa"/>
            <w:gridSpan w:val="2"/>
            <w:tcBorders/>
            <w:shd w:fill="FFFFFF" w:val="clear"/>
            <w:vAlign w:val="center"/>
          </w:tcPr>
          <w:p>
            <w:pPr>
              <w:pStyle w:val="TableContents"/>
              <w:bidi w:val="0"/>
              <w:spacing w:before="0" w:after="283"/>
              <w:jc w:val="right"/>
              <w:rPr/>
            </w:pPr>
            <w:r>
              <w:rPr/>
              <w:t> </w:t>
            </w:r>
          </w:p>
        </w:tc>
        <w:tc>
          <w:tcPr>
            <w:tcW w:w="20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1345" w:type="dxa"/>
            <w:gridSpan w:val="2"/>
            <w:tcBorders/>
            <w:shd w:fill="FFFFFF" w:val="clear"/>
            <w:vAlign w:val="center"/>
          </w:tcPr>
          <w:p>
            <w:pPr>
              <w:pStyle w:val="TableContents"/>
              <w:bidi w:val="0"/>
              <w:spacing w:before="0" w:after="283"/>
              <w:jc w:val="right"/>
              <w:rPr/>
            </w:pPr>
            <w:r>
              <w:rPr/>
              <w:t> </w:t>
            </w:r>
          </w:p>
        </w:tc>
        <w:tc>
          <w:tcPr>
            <w:tcW w:w="1012" w:type="dxa"/>
            <w:tcBorders/>
            <w:shd w:fill="FFFFFF" w:val="clear"/>
            <w:vAlign w:val="center"/>
          </w:tcPr>
          <w:p>
            <w:pPr>
              <w:pStyle w:val="TableContents"/>
              <w:bidi w:val="0"/>
              <w:spacing w:before="0" w:after="283"/>
              <w:ind w:left="0" w:right="0" w:firstLine="600"/>
              <w:jc w:val="right"/>
              <w:rPr/>
            </w:pPr>
            <w:r>
              <w:rPr/>
              <w:t> </w:t>
            </w:r>
          </w:p>
        </w:tc>
      </w:tr>
      <w:tr>
        <w:trPr/>
        <w:tc>
          <w:tcPr>
            <w:tcW w:w="5970"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16"/>
              </w:rPr>
            </w:pPr>
            <w:r>
              <w:rPr>
                <w:rFonts w:ascii="Times New Roman" w:hAnsi="Times New Roman"/>
                <w:b w:val="false"/>
                <w:color w:val="000000"/>
                <w:sz w:val="16"/>
              </w:rPr>
              <w:t>Accounts receivable</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110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13,178</w:t>
            </w:r>
          </w:p>
        </w:tc>
        <w:tc>
          <w:tcPr>
            <w:tcW w:w="20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110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(20,135</w:t>
            </w:r>
          </w:p>
        </w:tc>
        <w:tc>
          <w:tcPr>
            <w:tcW w:w="1012" w:type="dxa"/>
            <w:tcBorders/>
            <w:shd w:fill="CFF0FC" w:val="clear"/>
            <w:vAlign w:val="center"/>
          </w:tcPr>
          <w:p>
            <w:pPr>
              <w:pStyle w:val="TableContents"/>
              <w:bidi w:val="0"/>
              <w:spacing w:before="0" w:after="283"/>
              <w:ind w:left="0" w:right="0" w:firstLine="600"/>
              <w:jc w:val="left"/>
              <w:rPr>
                <w:rFonts w:ascii="Times New Roman" w:hAnsi="Times New Roman"/>
                <w:b w:val="false"/>
                <w:color w:val="000000"/>
                <w:sz w:val="16"/>
              </w:rPr>
            </w:pPr>
            <w:r>
              <w:rPr>
                <w:rFonts w:ascii="Times New Roman" w:hAnsi="Times New Roman"/>
                <w:b w:val="false"/>
                <w:color w:val="000000"/>
                <w:sz w:val="16"/>
              </w:rPr>
              <w:t>)</w:t>
            </w:r>
          </w:p>
        </w:tc>
      </w:tr>
      <w:tr>
        <w:trPr/>
        <w:tc>
          <w:tcPr>
            <w:tcW w:w="5970"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16"/>
              </w:rPr>
            </w:pPr>
            <w:r>
              <w:rPr>
                <w:rFonts w:ascii="Times New Roman" w:hAnsi="Times New Roman"/>
                <w:b w:val="false"/>
                <w:color w:val="000000"/>
                <w:sz w:val="16"/>
              </w:rPr>
              <w:t>Prepaid expenses and other assets</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(36,023</w:t>
            </w:r>
          </w:p>
        </w:tc>
        <w:tc>
          <w:tcPr>
            <w:tcW w:w="20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81"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(8,863</w:t>
            </w:r>
          </w:p>
        </w:tc>
        <w:tc>
          <w:tcPr>
            <w:tcW w:w="1012" w:type="dxa"/>
            <w:tcBorders/>
            <w:shd w:fill="FFFFFF" w:val="clear"/>
            <w:vAlign w:val="center"/>
          </w:tcPr>
          <w:p>
            <w:pPr>
              <w:pStyle w:val="TableContents"/>
              <w:bidi w:val="0"/>
              <w:spacing w:before="0" w:after="283"/>
              <w:ind w:left="0" w:right="0" w:firstLine="600"/>
              <w:jc w:val="left"/>
              <w:rPr>
                <w:rFonts w:ascii="Times New Roman" w:hAnsi="Times New Roman"/>
                <w:b w:val="false"/>
                <w:color w:val="000000"/>
                <w:sz w:val="16"/>
              </w:rPr>
            </w:pPr>
            <w:r>
              <w:rPr>
                <w:rFonts w:ascii="Times New Roman" w:hAnsi="Times New Roman"/>
                <w:b w:val="false"/>
                <w:color w:val="000000"/>
                <w:sz w:val="16"/>
              </w:rPr>
              <w:t>)</w:t>
            </w:r>
          </w:p>
        </w:tc>
      </w:tr>
      <w:tr>
        <w:trPr/>
        <w:tc>
          <w:tcPr>
            <w:tcW w:w="5970"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16"/>
              </w:rPr>
            </w:pPr>
            <w:r>
              <w:rPr>
                <w:rFonts w:ascii="Times New Roman" w:hAnsi="Times New Roman"/>
                <w:b w:val="false"/>
                <w:color w:val="000000"/>
                <w:sz w:val="16"/>
              </w:rPr>
              <w:t>Deferred commission expense</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110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(54,335</w:t>
            </w:r>
          </w:p>
        </w:tc>
        <w:tc>
          <w:tcPr>
            <w:tcW w:w="20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81"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110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(22,210</w:t>
            </w:r>
          </w:p>
        </w:tc>
        <w:tc>
          <w:tcPr>
            <w:tcW w:w="1012" w:type="dxa"/>
            <w:tcBorders/>
            <w:shd w:fill="CFF0FC" w:val="clear"/>
            <w:vAlign w:val="center"/>
          </w:tcPr>
          <w:p>
            <w:pPr>
              <w:pStyle w:val="TableContents"/>
              <w:bidi w:val="0"/>
              <w:spacing w:before="0" w:after="283"/>
              <w:ind w:left="0" w:right="0" w:firstLine="600"/>
              <w:jc w:val="left"/>
              <w:rPr>
                <w:rFonts w:ascii="Times New Roman" w:hAnsi="Times New Roman"/>
                <w:b w:val="false"/>
                <w:color w:val="000000"/>
                <w:sz w:val="16"/>
              </w:rPr>
            </w:pPr>
            <w:r>
              <w:rPr>
                <w:rFonts w:ascii="Times New Roman" w:hAnsi="Times New Roman"/>
                <w:b w:val="false"/>
                <w:color w:val="000000"/>
                <w:sz w:val="16"/>
              </w:rPr>
              <w:t>)</w:t>
            </w:r>
          </w:p>
        </w:tc>
      </w:tr>
      <w:tr>
        <w:trPr/>
        <w:tc>
          <w:tcPr>
            <w:tcW w:w="5970"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16"/>
              </w:rPr>
            </w:pPr>
            <w:r>
              <w:rPr>
                <w:rFonts w:ascii="Times New Roman" w:hAnsi="Times New Roman"/>
                <w:b w:val="false"/>
                <w:color w:val="000000"/>
                <w:sz w:val="16"/>
              </w:rPr>
              <w:t>Right-of-use assets</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23,244</w:t>
            </w:r>
          </w:p>
        </w:tc>
        <w:tc>
          <w:tcPr>
            <w:tcW w:w="20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19,622</w:t>
            </w:r>
          </w:p>
        </w:tc>
        <w:tc>
          <w:tcPr>
            <w:tcW w:w="1012" w:type="dxa"/>
            <w:tcBorders/>
            <w:shd w:fill="FFFFFF" w:val="clear"/>
            <w:vAlign w:val="center"/>
          </w:tcPr>
          <w:p>
            <w:pPr>
              <w:pStyle w:val="TableContents"/>
              <w:bidi w:val="0"/>
              <w:spacing w:before="0" w:after="283"/>
              <w:ind w:left="0" w:right="0" w:firstLine="600"/>
              <w:jc w:val="left"/>
              <w:rPr/>
            </w:pPr>
            <w:r>
              <w:rPr/>
              <w:t> </w:t>
            </w:r>
          </w:p>
        </w:tc>
      </w:tr>
      <w:tr>
        <w:trPr/>
        <w:tc>
          <w:tcPr>
            <w:tcW w:w="5970"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16"/>
              </w:rPr>
            </w:pPr>
            <w:r>
              <w:rPr>
                <w:rFonts w:ascii="Times New Roman" w:hAnsi="Times New Roman"/>
                <w:b w:val="false"/>
                <w:color w:val="000000"/>
                <w:sz w:val="16"/>
              </w:rPr>
              <w:t>Accounts payable</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110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(5,165</w:t>
            </w:r>
          </w:p>
        </w:tc>
        <w:tc>
          <w:tcPr>
            <w:tcW w:w="20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81"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110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10,660</w:t>
            </w:r>
          </w:p>
        </w:tc>
        <w:tc>
          <w:tcPr>
            <w:tcW w:w="1012" w:type="dxa"/>
            <w:tcBorders/>
            <w:shd w:fill="CFF0FC" w:val="clear"/>
            <w:vAlign w:val="center"/>
          </w:tcPr>
          <w:p>
            <w:pPr>
              <w:pStyle w:val="TableContents"/>
              <w:bidi w:val="0"/>
              <w:spacing w:before="0" w:after="283"/>
              <w:ind w:left="0" w:right="0" w:firstLine="600"/>
              <w:jc w:val="left"/>
              <w:rPr/>
            </w:pPr>
            <w:r>
              <w:rPr/>
              <w:t> </w:t>
            </w:r>
          </w:p>
        </w:tc>
      </w:tr>
      <w:tr>
        <w:trPr/>
        <w:tc>
          <w:tcPr>
            <w:tcW w:w="5970"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16"/>
              </w:rPr>
            </w:pPr>
            <w:r>
              <w:rPr>
                <w:rFonts w:ascii="Times New Roman" w:hAnsi="Times New Roman"/>
                <w:b w:val="false"/>
                <w:color w:val="000000"/>
                <w:sz w:val="16"/>
              </w:rPr>
              <w:t>Accrued expenses and other liabilities</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44,867</w:t>
            </w:r>
          </w:p>
        </w:tc>
        <w:tc>
          <w:tcPr>
            <w:tcW w:w="20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16,455</w:t>
            </w:r>
          </w:p>
        </w:tc>
        <w:tc>
          <w:tcPr>
            <w:tcW w:w="1012" w:type="dxa"/>
            <w:tcBorders/>
            <w:shd w:fill="FFFFFF" w:val="clear"/>
            <w:vAlign w:val="center"/>
          </w:tcPr>
          <w:p>
            <w:pPr>
              <w:pStyle w:val="TableContents"/>
              <w:bidi w:val="0"/>
              <w:spacing w:before="0" w:after="283"/>
              <w:ind w:left="0" w:right="0" w:firstLine="600"/>
              <w:jc w:val="left"/>
              <w:rPr/>
            </w:pPr>
            <w:r>
              <w:rPr/>
              <w:t> </w:t>
            </w:r>
          </w:p>
        </w:tc>
      </w:tr>
      <w:tr>
        <w:trPr/>
        <w:tc>
          <w:tcPr>
            <w:tcW w:w="5970"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16"/>
              </w:rPr>
            </w:pPr>
            <w:r>
              <w:rPr>
                <w:rFonts w:ascii="Times New Roman" w:hAnsi="Times New Roman"/>
                <w:b w:val="false"/>
                <w:color w:val="000000"/>
                <w:sz w:val="16"/>
              </w:rPr>
              <w:t>Operating lease liabilities</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110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(28,933</w:t>
            </w:r>
          </w:p>
        </w:tc>
        <w:tc>
          <w:tcPr>
            <w:tcW w:w="20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81"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110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(14,589</w:t>
            </w:r>
          </w:p>
        </w:tc>
        <w:tc>
          <w:tcPr>
            <w:tcW w:w="1012" w:type="dxa"/>
            <w:tcBorders/>
            <w:shd w:fill="CFF0FC" w:val="clear"/>
            <w:vAlign w:val="center"/>
          </w:tcPr>
          <w:p>
            <w:pPr>
              <w:pStyle w:val="TableContents"/>
              <w:bidi w:val="0"/>
              <w:spacing w:before="0" w:after="283"/>
              <w:ind w:left="0" w:right="0" w:firstLine="600"/>
              <w:jc w:val="left"/>
              <w:rPr>
                <w:rFonts w:ascii="Times New Roman" w:hAnsi="Times New Roman"/>
                <w:b w:val="false"/>
                <w:color w:val="000000"/>
                <w:sz w:val="16"/>
              </w:rPr>
            </w:pPr>
            <w:r>
              <w:rPr>
                <w:rFonts w:ascii="Times New Roman" w:hAnsi="Times New Roman"/>
                <w:b w:val="false"/>
                <w:color w:val="000000"/>
                <w:sz w:val="16"/>
              </w:rPr>
              <w:t>)</w:t>
            </w:r>
          </w:p>
        </w:tc>
      </w:tr>
      <w:tr>
        <w:trPr/>
        <w:tc>
          <w:tcPr>
            <w:tcW w:w="5970"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16"/>
              </w:rPr>
            </w:pPr>
            <w:r>
              <w:rPr>
                <w:rFonts w:ascii="Times New Roman" w:hAnsi="Times New Roman"/>
                <w:b w:val="false"/>
                <w:color w:val="000000"/>
                <w:sz w:val="16"/>
              </w:rPr>
              <w:t>Deferred revenue</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40,699</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63,743</w:t>
            </w:r>
          </w:p>
        </w:tc>
        <w:tc>
          <w:tcPr>
            <w:tcW w:w="10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5970" w:type="dxa"/>
            <w:tcBorders/>
            <w:shd w:fill="CFF0FC" w:val="clear"/>
            <w:vAlign w:val="center"/>
          </w:tcPr>
          <w:p>
            <w:pPr>
              <w:pStyle w:val="TableContents"/>
              <w:bidi w:val="0"/>
              <w:spacing w:before="0" w:after="283"/>
              <w:ind w:left="800" w:right="0" w:firstLine="800"/>
              <w:jc w:val="left"/>
              <w:rPr>
                <w:rFonts w:ascii="Times New Roman" w:hAnsi="Times New Roman"/>
                <w:b w:val="false"/>
                <w:color w:val="000000"/>
                <w:sz w:val="16"/>
              </w:rPr>
            </w:pPr>
            <w:r>
              <w:rPr>
                <w:rFonts w:ascii="Times New Roman" w:hAnsi="Times New Roman"/>
                <w:b w:val="false"/>
                <w:color w:val="000000"/>
                <w:sz w:val="16"/>
              </w:rPr>
              <w:t>Net cash and cash equivalents provided by operating activities</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246,659</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183,209</w:t>
            </w:r>
          </w:p>
        </w:tc>
        <w:tc>
          <w:tcPr>
            <w:tcW w:w="10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70"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Investing Activities:</w:t>
            </w:r>
          </w:p>
        </w:tc>
        <w:tc>
          <w:tcPr>
            <w:tcW w:w="146" w:type="dxa"/>
            <w:tcBorders/>
            <w:shd w:fill="FFFFFF" w:val="clear"/>
            <w:vAlign w:val="center"/>
          </w:tcPr>
          <w:p>
            <w:pPr>
              <w:pStyle w:val="TableContents"/>
              <w:bidi w:val="0"/>
              <w:spacing w:before="0" w:after="283"/>
              <w:jc w:val="left"/>
              <w:rPr/>
            </w:pPr>
            <w:r>
              <w:rPr/>
              <w:t> </w:t>
            </w:r>
          </w:p>
        </w:tc>
        <w:tc>
          <w:tcPr>
            <w:tcW w:w="1345" w:type="dxa"/>
            <w:gridSpan w:val="2"/>
            <w:tcBorders/>
            <w:shd w:fill="FFFFFF" w:val="clear"/>
            <w:vAlign w:val="center"/>
          </w:tcPr>
          <w:p>
            <w:pPr>
              <w:pStyle w:val="TableContents"/>
              <w:bidi w:val="0"/>
              <w:spacing w:before="0" w:after="283"/>
              <w:jc w:val="right"/>
              <w:rPr/>
            </w:pPr>
            <w:r>
              <w:rPr/>
              <w:t> </w:t>
            </w:r>
          </w:p>
        </w:tc>
        <w:tc>
          <w:tcPr>
            <w:tcW w:w="20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1345" w:type="dxa"/>
            <w:gridSpan w:val="2"/>
            <w:tcBorders/>
            <w:shd w:fill="FFFFFF" w:val="clear"/>
            <w:vAlign w:val="center"/>
          </w:tcPr>
          <w:p>
            <w:pPr>
              <w:pStyle w:val="TableContents"/>
              <w:bidi w:val="0"/>
              <w:spacing w:before="0" w:after="283"/>
              <w:jc w:val="right"/>
              <w:rPr/>
            </w:pPr>
            <w:r>
              <w:rPr/>
              <w:t> </w:t>
            </w:r>
          </w:p>
        </w:tc>
        <w:tc>
          <w:tcPr>
            <w:tcW w:w="1012" w:type="dxa"/>
            <w:tcBorders/>
            <w:shd w:fill="FFFFFF" w:val="clear"/>
            <w:vAlign w:val="center"/>
          </w:tcPr>
          <w:p>
            <w:pPr>
              <w:pStyle w:val="TableContents"/>
              <w:bidi w:val="0"/>
              <w:spacing w:before="0" w:after="283"/>
              <w:ind w:left="0" w:right="0" w:firstLine="200"/>
              <w:jc w:val="right"/>
              <w:rPr/>
            </w:pPr>
            <w:r>
              <w:rPr/>
              <w:t> </w:t>
            </w:r>
          </w:p>
        </w:tc>
      </w:tr>
      <w:tr>
        <w:trPr/>
        <w:tc>
          <w:tcPr>
            <w:tcW w:w="597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Purchases of investments</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110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(1,137,283</w:t>
            </w:r>
          </w:p>
        </w:tc>
        <w:tc>
          <w:tcPr>
            <w:tcW w:w="20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81"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110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(1,258,919</w:t>
            </w:r>
          </w:p>
        </w:tc>
        <w:tc>
          <w:tcPr>
            <w:tcW w:w="1012"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597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Maturities of investments</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1,154,784</w:t>
            </w:r>
          </w:p>
        </w:tc>
        <w:tc>
          <w:tcPr>
            <w:tcW w:w="20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1,017,306</w:t>
            </w:r>
          </w:p>
        </w:tc>
        <w:tc>
          <w:tcPr>
            <w:tcW w:w="1012" w:type="dxa"/>
            <w:tcBorders/>
            <w:shd w:fill="FFFFFF" w:val="clear"/>
            <w:vAlign w:val="center"/>
          </w:tcPr>
          <w:p>
            <w:pPr>
              <w:pStyle w:val="TableContents"/>
              <w:bidi w:val="0"/>
              <w:spacing w:before="0" w:after="283"/>
              <w:ind w:left="0" w:right="0" w:firstLine="200"/>
              <w:jc w:val="left"/>
              <w:rPr/>
            </w:pPr>
            <w:r>
              <w:rPr/>
              <w:t> </w:t>
            </w:r>
          </w:p>
        </w:tc>
      </w:tr>
      <w:tr>
        <w:trPr/>
        <w:tc>
          <w:tcPr>
            <w:tcW w:w="597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Sale of investments</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1102" w:type="dxa"/>
            <w:tcBorders/>
            <w:shd w:fill="CFF0FC" w:val="clear"/>
            <w:vAlign w:val="center"/>
          </w:tcPr>
          <w:p>
            <w:pPr>
              <w:pStyle w:val="TableContents"/>
              <w:bidi w:val="0"/>
              <w:spacing w:before="0" w:after="283"/>
              <w:jc w:val="right"/>
              <w:rPr>
                <w:color w:val="000000"/>
              </w:rPr>
            </w:pPr>
            <w:r>
              <w:rPr>
                <w:color w:val="000000"/>
              </w:rPr>
              <w:t>—</w:t>
            </w:r>
          </w:p>
        </w:tc>
        <w:tc>
          <w:tcPr>
            <w:tcW w:w="20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110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124,998</w:t>
            </w:r>
          </w:p>
        </w:tc>
        <w:tc>
          <w:tcPr>
            <w:tcW w:w="1012" w:type="dxa"/>
            <w:tcBorders/>
            <w:shd w:fill="CFF0FC" w:val="clear"/>
            <w:vAlign w:val="center"/>
          </w:tcPr>
          <w:p>
            <w:pPr>
              <w:pStyle w:val="TableContents"/>
              <w:bidi w:val="0"/>
              <w:spacing w:before="0" w:after="283"/>
              <w:ind w:left="0" w:right="0" w:firstLine="200"/>
              <w:jc w:val="left"/>
              <w:rPr/>
            </w:pPr>
            <w:r>
              <w:rPr/>
              <w:t> </w:t>
            </w:r>
          </w:p>
        </w:tc>
      </w:tr>
      <w:tr>
        <w:trPr/>
        <w:tc>
          <w:tcPr>
            <w:tcW w:w="597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Equity method investment</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(2,250</w:t>
            </w:r>
          </w:p>
        </w:tc>
        <w:tc>
          <w:tcPr>
            <w:tcW w:w="20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81"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(1,900</w:t>
            </w:r>
          </w:p>
        </w:tc>
        <w:tc>
          <w:tcPr>
            <w:tcW w:w="1012"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597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Purchases of intangible assets</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1102" w:type="dxa"/>
            <w:tcBorders/>
            <w:shd w:fill="CFF0FC" w:val="clear"/>
            <w:vAlign w:val="center"/>
          </w:tcPr>
          <w:p>
            <w:pPr>
              <w:pStyle w:val="TableContents"/>
              <w:bidi w:val="0"/>
              <w:spacing w:before="0" w:after="283"/>
              <w:jc w:val="right"/>
              <w:rPr>
                <w:color w:val="000000"/>
              </w:rPr>
            </w:pPr>
            <w:r>
              <w:rPr>
                <w:color w:val="000000"/>
              </w:rPr>
              <w:t>—</w:t>
            </w:r>
          </w:p>
        </w:tc>
        <w:tc>
          <w:tcPr>
            <w:tcW w:w="20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110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(10,000</w:t>
            </w:r>
          </w:p>
        </w:tc>
        <w:tc>
          <w:tcPr>
            <w:tcW w:w="1012"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597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Purchases of property and equipment</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(25,031</w:t>
            </w:r>
          </w:p>
        </w:tc>
        <w:tc>
          <w:tcPr>
            <w:tcW w:w="20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81"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(31,384</w:t>
            </w:r>
          </w:p>
        </w:tc>
        <w:tc>
          <w:tcPr>
            <w:tcW w:w="1012"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597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Purchases of strategic investments</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110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(9,250</w:t>
            </w:r>
          </w:p>
        </w:tc>
        <w:tc>
          <w:tcPr>
            <w:tcW w:w="20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81"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110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(19,872</w:t>
            </w:r>
          </w:p>
        </w:tc>
        <w:tc>
          <w:tcPr>
            <w:tcW w:w="1012"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597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Capitalization of software development costs</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(49,288</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81"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(31,350</w:t>
            </w:r>
          </w:p>
        </w:tc>
        <w:tc>
          <w:tcPr>
            <w:tcW w:w="10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b w:val="false"/>
                <w:color w:val="000000"/>
                <w:sz w:val="16"/>
              </w:rPr>
            </w:pPr>
            <w:r>
              <w:rPr>
                <w:rFonts w:ascii="Times New Roman" w:hAnsi="Times New Roman"/>
                <w:b w:val="false"/>
                <w:color w:val="000000"/>
                <w:sz w:val="16"/>
              </w:rPr>
              <w:t>)</w:t>
            </w:r>
          </w:p>
        </w:tc>
      </w:tr>
      <w:tr>
        <w:trPr/>
        <w:tc>
          <w:tcPr>
            <w:tcW w:w="5970" w:type="dxa"/>
            <w:tcBorders/>
            <w:shd w:fill="CFF0FC" w:val="clear"/>
            <w:vAlign w:val="center"/>
          </w:tcPr>
          <w:p>
            <w:pPr>
              <w:pStyle w:val="TableContents"/>
              <w:bidi w:val="0"/>
              <w:spacing w:before="0" w:after="283"/>
              <w:ind w:left="800" w:right="0" w:firstLine="800"/>
              <w:jc w:val="left"/>
              <w:rPr>
                <w:rFonts w:ascii="Times New Roman" w:hAnsi="Times New Roman"/>
                <w:b w:val="false"/>
                <w:color w:val="000000"/>
                <w:sz w:val="16"/>
              </w:rPr>
            </w:pPr>
            <w:r>
              <w:rPr>
                <w:rFonts w:ascii="Times New Roman" w:hAnsi="Times New Roman"/>
                <w:b w:val="false"/>
                <w:color w:val="000000"/>
                <w:sz w:val="16"/>
              </w:rPr>
              <w:t>Net cash and cash equivalents used in investing activities</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(68,318</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81"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(211,121</w:t>
            </w:r>
          </w:p>
        </w:tc>
        <w:tc>
          <w:tcPr>
            <w:tcW w:w="10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5970"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Financing Activities:</w:t>
            </w:r>
          </w:p>
        </w:tc>
        <w:tc>
          <w:tcPr>
            <w:tcW w:w="146" w:type="dxa"/>
            <w:tcBorders/>
            <w:shd w:fill="FFFFFF" w:val="clear"/>
            <w:vAlign w:val="center"/>
          </w:tcPr>
          <w:p>
            <w:pPr>
              <w:pStyle w:val="TableContents"/>
              <w:bidi w:val="0"/>
              <w:spacing w:before="0" w:after="283"/>
              <w:jc w:val="left"/>
              <w:rPr/>
            </w:pPr>
            <w:r>
              <w:rPr/>
              <w:t> </w:t>
            </w:r>
          </w:p>
        </w:tc>
        <w:tc>
          <w:tcPr>
            <w:tcW w:w="1345" w:type="dxa"/>
            <w:gridSpan w:val="2"/>
            <w:tcBorders/>
            <w:shd w:fill="FFFFFF" w:val="clear"/>
            <w:vAlign w:val="center"/>
          </w:tcPr>
          <w:p>
            <w:pPr>
              <w:pStyle w:val="TableContents"/>
              <w:bidi w:val="0"/>
              <w:spacing w:before="0" w:after="283"/>
              <w:jc w:val="right"/>
              <w:rPr/>
            </w:pPr>
            <w:r>
              <w:rPr/>
              <w:t> </w:t>
            </w:r>
          </w:p>
        </w:tc>
        <w:tc>
          <w:tcPr>
            <w:tcW w:w="20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1345" w:type="dxa"/>
            <w:gridSpan w:val="2"/>
            <w:tcBorders/>
            <w:shd w:fill="FFFFFF" w:val="clear"/>
            <w:vAlign w:val="center"/>
          </w:tcPr>
          <w:p>
            <w:pPr>
              <w:pStyle w:val="TableContents"/>
              <w:bidi w:val="0"/>
              <w:spacing w:before="0" w:after="283"/>
              <w:jc w:val="right"/>
              <w:rPr/>
            </w:pPr>
            <w:r>
              <w:rPr/>
              <w:t> </w:t>
            </w:r>
          </w:p>
        </w:tc>
        <w:tc>
          <w:tcPr>
            <w:tcW w:w="1012" w:type="dxa"/>
            <w:tcBorders/>
            <w:shd w:fill="FFFFFF" w:val="clear"/>
            <w:vAlign w:val="center"/>
          </w:tcPr>
          <w:p>
            <w:pPr>
              <w:pStyle w:val="TableContents"/>
              <w:bidi w:val="0"/>
              <w:spacing w:before="0" w:after="283"/>
              <w:ind w:left="0" w:right="0" w:firstLine="200"/>
              <w:jc w:val="right"/>
              <w:rPr/>
            </w:pPr>
            <w:r>
              <w:rPr/>
              <w:t> </w:t>
            </w:r>
          </w:p>
        </w:tc>
      </w:tr>
      <w:tr>
        <w:trPr/>
        <w:tc>
          <w:tcPr>
            <w:tcW w:w="597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Employee taxes paid related to the net share settlement of stock-based awards</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110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(7,571</w:t>
            </w:r>
          </w:p>
        </w:tc>
        <w:tc>
          <w:tcPr>
            <w:tcW w:w="20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81"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110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(9,954</w:t>
            </w:r>
          </w:p>
        </w:tc>
        <w:tc>
          <w:tcPr>
            <w:tcW w:w="1012"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597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Proceeds related to the issuance of common stock under stock plans</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37,934</w:t>
            </w:r>
          </w:p>
        </w:tc>
        <w:tc>
          <w:tcPr>
            <w:tcW w:w="20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29,718</w:t>
            </w:r>
          </w:p>
        </w:tc>
        <w:tc>
          <w:tcPr>
            <w:tcW w:w="1012" w:type="dxa"/>
            <w:tcBorders/>
            <w:shd w:fill="FFFFFF" w:val="clear"/>
            <w:vAlign w:val="center"/>
          </w:tcPr>
          <w:p>
            <w:pPr>
              <w:pStyle w:val="TableContents"/>
              <w:bidi w:val="0"/>
              <w:spacing w:before="0" w:after="283"/>
              <w:ind w:left="0" w:right="0" w:firstLine="200"/>
              <w:jc w:val="left"/>
              <w:rPr/>
            </w:pPr>
            <w:r>
              <w:rPr/>
              <w:t> </w:t>
            </w:r>
          </w:p>
        </w:tc>
      </w:tr>
      <w:tr>
        <w:trPr/>
        <w:tc>
          <w:tcPr>
            <w:tcW w:w="597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Proceeds from settlement of Convertible Note Hedges related to the 2022 Convertible Notes</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1102" w:type="dxa"/>
            <w:tcBorders/>
            <w:shd w:fill="CFF0FC" w:val="clear"/>
            <w:vAlign w:val="center"/>
          </w:tcPr>
          <w:p>
            <w:pPr>
              <w:pStyle w:val="TableContents"/>
              <w:bidi w:val="0"/>
              <w:spacing w:before="0" w:after="283"/>
              <w:jc w:val="right"/>
              <w:rPr>
                <w:color w:val="000000"/>
              </w:rPr>
            </w:pPr>
            <w:r>
              <w:rPr>
                <w:color w:val="000000"/>
              </w:rPr>
              <w:t>—</w:t>
            </w:r>
          </w:p>
        </w:tc>
        <w:tc>
          <w:tcPr>
            <w:tcW w:w="20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110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60,483</w:t>
            </w:r>
          </w:p>
        </w:tc>
        <w:tc>
          <w:tcPr>
            <w:tcW w:w="1012" w:type="dxa"/>
            <w:tcBorders/>
            <w:shd w:fill="CFF0FC" w:val="clear"/>
            <w:vAlign w:val="center"/>
          </w:tcPr>
          <w:p>
            <w:pPr>
              <w:pStyle w:val="TableContents"/>
              <w:bidi w:val="0"/>
              <w:spacing w:before="0" w:after="283"/>
              <w:ind w:left="0" w:right="0" w:firstLine="200"/>
              <w:jc w:val="left"/>
              <w:rPr/>
            </w:pPr>
            <w:r>
              <w:rPr/>
              <w:t> </w:t>
            </w:r>
          </w:p>
        </w:tc>
      </w:tr>
      <w:tr>
        <w:trPr/>
        <w:tc>
          <w:tcPr>
            <w:tcW w:w="597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Payment for settlement of 2022 Convertible Notes</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color w:val="000000"/>
              </w:rPr>
            </w:pPr>
            <w:r>
              <w:rPr>
                <w:color w:val="000000"/>
              </w:rPr>
              <w:t>—</w:t>
            </w:r>
          </w:p>
        </w:tc>
        <w:tc>
          <w:tcPr>
            <w:tcW w:w="20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(79,807</w:t>
            </w:r>
          </w:p>
        </w:tc>
        <w:tc>
          <w:tcPr>
            <w:tcW w:w="1012"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597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Repayment of 2025 Convertible Notes attributable to the principal</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(1,619</w:t>
            </w:r>
          </w:p>
        </w:tc>
        <w:tc>
          <w:tcPr>
            <w:tcW w:w="10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b w:val="false"/>
                <w:color w:val="000000"/>
                <w:sz w:val="16"/>
              </w:rPr>
            </w:pPr>
            <w:r>
              <w:rPr>
                <w:rFonts w:ascii="Times New Roman" w:hAnsi="Times New Roman"/>
                <w:b w:val="false"/>
                <w:color w:val="000000"/>
                <w:sz w:val="16"/>
              </w:rPr>
              <w:t>)</w:t>
            </w:r>
          </w:p>
        </w:tc>
      </w:tr>
      <w:tr>
        <w:trPr/>
        <w:tc>
          <w:tcPr>
            <w:tcW w:w="5970" w:type="dxa"/>
            <w:tcBorders/>
            <w:shd w:fill="FFFFFF" w:val="clear"/>
            <w:vAlign w:val="center"/>
          </w:tcPr>
          <w:p>
            <w:pPr>
              <w:pStyle w:val="TableContents"/>
              <w:bidi w:val="0"/>
              <w:spacing w:before="0" w:after="283"/>
              <w:ind w:left="800" w:right="0" w:firstLine="800"/>
              <w:jc w:val="left"/>
              <w:rPr>
                <w:rFonts w:ascii="Times New Roman" w:hAnsi="Times New Roman"/>
                <w:b w:val="false"/>
                <w:color w:val="000000"/>
                <w:sz w:val="16"/>
              </w:rPr>
            </w:pPr>
            <w:r>
              <w:rPr>
                <w:rFonts w:ascii="Times New Roman" w:hAnsi="Times New Roman"/>
                <w:b w:val="false"/>
                <w:color w:val="000000"/>
                <w:sz w:val="16"/>
              </w:rPr>
              <w:t>Net cash and cash equivalents provided by (used in) financing activities</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30,363</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(1,179</w:t>
            </w:r>
          </w:p>
        </w:tc>
        <w:tc>
          <w:tcPr>
            <w:tcW w:w="10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597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Effect of exchange rate changes on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(4,181</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81"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(16,263</w:t>
            </w:r>
          </w:p>
        </w:tc>
        <w:tc>
          <w:tcPr>
            <w:tcW w:w="10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597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increase (decrease) in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204,523</w:t>
            </w:r>
          </w:p>
        </w:tc>
        <w:tc>
          <w:tcPr>
            <w:tcW w:w="20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(45,354</w:t>
            </w:r>
          </w:p>
        </w:tc>
        <w:tc>
          <w:tcPr>
            <w:tcW w:w="101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597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Cash, cash equivalents and restricted cash, beginning of period</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334,175</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380,042</w:t>
            </w:r>
          </w:p>
        </w:tc>
        <w:tc>
          <w:tcPr>
            <w:tcW w:w="10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7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Cash, cash equivalents and restricted cash, end of period</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1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538,698</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1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334,688</w:t>
            </w:r>
          </w:p>
        </w:tc>
        <w:tc>
          <w:tcPr>
            <w:tcW w:w="10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70"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cash flow disclosure:</w:t>
            </w:r>
          </w:p>
        </w:tc>
        <w:tc>
          <w:tcPr>
            <w:tcW w:w="146" w:type="dxa"/>
            <w:tcBorders/>
            <w:shd w:fill="CFF0FC" w:val="clear"/>
            <w:vAlign w:val="center"/>
          </w:tcPr>
          <w:p>
            <w:pPr>
              <w:pStyle w:val="TableContents"/>
              <w:bidi w:val="0"/>
              <w:spacing w:before="0" w:after="283"/>
              <w:jc w:val="left"/>
              <w:rPr/>
            </w:pPr>
            <w:r>
              <w:rPr/>
              <w:t> </w:t>
            </w:r>
          </w:p>
        </w:tc>
        <w:tc>
          <w:tcPr>
            <w:tcW w:w="1345" w:type="dxa"/>
            <w:gridSpan w:val="2"/>
            <w:tcBorders/>
            <w:shd w:fill="CFF0FC" w:val="clear"/>
            <w:vAlign w:val="center"/>
          </w:tcPr>
          <w:p>
            <w:pPr>
              <w:pStyle w:val="TableContents"/>
              <w:bidi w:val="0"/>
              <w:spacing w:before="0" w:after="283"/>
              <w:jc w:val="right"/>
              <w:rPr/>
            </w:pPr>
            <w:r>
              <w:rPr/>
              <w:t> </w:t>
            </w:r>
          </w:p>
        </w:tc>
        <w:tc>
          <w:tcPr>
            <w:tcW w:w="20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1345" w:type="dxa"/>
            <w:gridSpan w:val="2"/>
            <w:tcBorders/>
            <w:shd w:fill="CFF0FC" w:val="clear"/>
            <w:vAlign w:val="center"/>
          </w:tcPr>
          <w:p>
            <w:pPr>
              <w:pStyle w:val="TableContents"/>
              <w:bidi w:val="0"/>
              <w:spacing w:before="0" w:after="283"/>
              <w:jc w:val="right"/>
              <w:rPr/>
            </w:pPr>
            <w:r>
              <w:rPr/>
              <w:t> </w:t>
            </w:r>
          </w:p>
        </w:tc>
        <w:tc>
          <w:tcPr>
            <w:tcW w:w="1012" w:type="dxa"/>
            <w:tcBorders/>
            <w:shd w:fill="CFF0FC" w:val="clear"/>
            <w:vAlign w:val="center"/>
          </w:tcPr>
          <w:p>
            <w:pPr>
              <w:pStyle w:val="TableContents"/>
              <w:bidi w:val="0"/>
              <w:spacing w:before="0" w:after="283"/>
              <w:jc w:val="right"/>
              <w:rPr/>
            </w:pPr>
            <w:r>
              <w:rPr/>
              <w:t> </w:t>
            </w:r>
          </w:p>
        </w:tc>
      </w:tr>
      <w:tr>
        <w:trPr/>
        <w:tc>
          <w:tcPr>
            <w:tcW w:w="597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Cash paid for income taxes</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10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11,465</w:t>
            </w:r>
          </w:p>
        </w:tc>
        <w:tc>
          <w:tcPr>
            <w:tcW w:w="20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10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3,883</w:t>
            </w:r>
          </w:p>
        </w:tc>
        <w:tc>
          <w:tcPr>
            <w:tcW w:w="1012" w:type="dxa"/>
            <w:tcBorders/>
            <w:shd w:fill="FFFFFF" w:val="clear"/>
            <w:vAlign w:val="center"/>
          </w:tcPr>
          <w:p>
            <w:pPr>
              <w:pStyle w:val="TableContents"/>
              <w:bidi w:val="0"/>
              <w:spacing w:before="0" w:after="283"/>
              <w:jc w:val="left"/>
              <w:rPr/>
            </w:pPr>
            <w:r>
              <w:rPr/>
              <w:t> </w:t>
            </w:r>
          </w:p>
        </w:tc>
      </w:tr>
      <w:tr>
        <w:trPr/>
        <w:tc>
          <w:tcPr>
            <w:tcW w:w="597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Cash paid for interest</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10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861</w:t>
            </w:r>
          </w:p>
        </w:tc>
        <w:tc>
          <w:tcPr>
            <w:tcW w:w="20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10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885</w:t>
            </w:r>
          </w:p>
        </w:tc>
        <w:tc>
          <w:tcPr>
            <w:tcW w:w="1012" w:type="dxa"/>
            <w:tcBorders/>
            <w:shd w:fill="CFF0FC" w:val="clear"/>
            <w:vAlign w:val="center"/>
          </w:tcPr>
          <w:p>
            <w:pPr>
              <w:pStyle w:val="TableContents"/>
              <w:bidi w:val="0"/>
              <w:spacing w:before="0" w:after="283"/>
              <w:jc w:val="left"/>
              <w:rPr/>
            </w:pPr>
            <w:r>
              <w:rPr/>
              <w:t> </w:t>
            </w:r>
          </w:p>
        </w:tc>
      </w:tr>
      <w:tr>
        <w:trPr/>
        <w:tc>
          <w:tcPr>
            <w:tcW w:w="597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Right-of-use assets obtained in exchange for operating lease liabilities</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10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4,668</w:t>
            </w:r>
          </w:p>
        </w:tc>
        <w:tc>
          <w:tcPr>
            <w:tcW w:w="20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10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5,136</w:t>
            </w:r>
          </w:p>
        </w:tc>
        <w:tc>
          <w:tcPr>
            <w:tcW w:w="1012" w:type="dxa"/>
            <w:tcBorders/>
            <w:shd w:fill="FFFFFF" w:val="clear"/>
            <w:vAlign w:val="center"/>
          </w:tcPr>
          <w:p>
            <w:pPr>
              <w:pStyle w:val="TableContents"/>
              <w:bidi w:val="0"/>
              <w:spacing w:before="0" w:after="283"/>
              <w:jc w:val="left"/>
              <w:rPr/>
            </w:pPr>
            <w:r>
              <w:rPr/>
              <w:t> </w:t>
            </w:r>
          </w:p>
        </w:tc>
      </w:tr>
      <w:tr>
        <w:trPr/>
        <w:tc>
          <w:tcPr>
            <w:tcW w:w="597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Right-of-use asset reductions related to operating lease terminations</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10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(1,210</w:t>
            </w:r>
          </w:p>
        </w:tc>
        <w:tc>
          <w:tcPr>
            <w:tcW w:w="20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81"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102" w:type="dxa"/>
            <w:tcBorders/>
            <w:shd w:fill="CFF0FC" w:val="clear"/>
            <w:vAlign w:val="center"/>
          </w:tcPr>
          <w:p>
            <w:pPr>
              <w:pStyle w:val="TableContents"/>
              <w:bidi w:val="0"/>
              <w:spacing w:before="0" w:after="283"/>
              <w:jc w:val="right"/>
              <w:rPr>
                <w:color w:val="000000"/>
              </w:rPr>
            </w:pPr>
            <w:r>
              <w:rPr>
                <w:color w:val="000000"/>
              </w:rPr>
              <w:t>—</w:t>
            </w:r>
          </w:p>
        </w:tc>
        <w:tc>
          <w:tcPr>
            <w:tcW w:w="1012" w:type="dxa"/>
            <w:tcBorders/>
            <w:shd w:fill="CFF0FC" w:val="clear"/>
            <w:vAlign w:val="center"/>
          </w:tcPr>
          <w:p>
            <w:pPr>
              <w:pStyle w:val="TableContents"/>
              <w:bidi w:val="0"/>
              <w:spacing w:before="0" w:after="283"/>
              <w:jc w:val="left"/>
              <w:rPr/>
            </w:pPr>
            <w:r>
              <w:rPr/>
              <w:t> </w:t>
            </w:r>
          </w:p>
        </w:tc>
      </w:tr>
      <w:tr>
        <w:trPr/>
        <w:tc>
          <w:tcPr>
            <w:tcW w:w="5970"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Non-cash investing and financing activities:</w:t>
            </w:r>
          </w:p>
        </w:tc>
        <w:tc>
          <w:tcPr>
            <w:tcW w:w="146" w:type="dxa"/>
            <w:tcBorders/>
            <w:shd w:fill="FFFFFF" w:val="clear"/>
            <w:vAlign w:val="center"/>
          </w:tcPr>
          <w:p>
            <w:pPr>
              <w:pStyle w:val="TableContents"/>
              <w:bidi w:val="0"/>
              <w:spacing w:before="0" w:after="283"/>
              <w:jc w:val="left"/>
              <w:rPr/>
            </w:pPr>
            <w:r>
              <w:rPr/>
              <w:t> </w:t>
            </w:r>
          </w:p>
        </w:tc>
        <w:tc>
          <w:tcPr>
            <w:tcW w:w="1345" w:type="dxa"/>
            <w:gridSpan w:val="2"/>
            <w:tcBorders/>
            <w:shd w:fill="FFFFFF" w:val="clear"/>
            <w:vAlign w:val="center"/>
          </w:tcPr>
          <w:p>
            <w:pPr>
              <w:pStyle w:val="TableContents"/>
              <w:bidi w:val="0"/>
              <w:spacing w:before="0" w:after="283"/>
              <w:jc w:val="right"/>
              <w:rPr/>
            </w:pPr>
            <w:r>
              <w:rPr/>
              <w:t> </w:t>
            </w:r>
          </w:p>
        </w:tc>
        <w:tc>
          <w:tcPr>
            <w:tcW w:w="20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1345" w:type="dxa"/>
            <w:gridSpan w:val="2"/>
            <w:tcBorders/>
            <w:shd w:fill="FFFFFF" w:val="clear"/>
            <w:vAlign w:val="center"/>
          </w:tcPr>
          <w:p>
            <w:pPr>
              <w:pStyle w:val="TableContents"/>
              <w:bidi w:val="0"/>
              <w:spacing w:before="0" w:after="283"/>
              <w:jc w:val="right"/>
              <w:rPr/>
            </w:pPr>
            <w:r>
              <w:rPr/>
              <w:t> </w:t>
            </w:r>
          </w:p>
        </w:tc>
        <w:tc>
          <w:tcPr>
            <w:tcW w:w="1012" w:type="dxa"/>
            <w:tcBorders/>
            <w:shd w:fill="FFFFFF" w:val="clear"/>
            <w:vAlign w:val="center"/>
          </w:tcPr>
          <w:p>
            <w:pPr>
              <w:pStyle w:val="TableContents"/>
              <w:bidi w:val="0"/>
              <w:spacing w:before="0" w:after="283"/>
              <w:jc w:val="right"/>
              <w:rPr/>
            </w:pPr>
            <w:r>
              <w:rPr/>
              <w:t> </w:t>
            </w:r>
          </w:p>
        </w:tc>
      </w:tr>
      <w:tr>
        <w:trPr/>
        <w:tc>
          <w:tcPr>
            <w:tcW w:w="597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Capital expenditures incurred but not yet paid</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10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7,257</w:t>
            </w:r>
          </w:p>
        </w:tc>
        <w:tc>
          <w:tcPr>
            <w:tcW w:w="20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10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1,118</w:t>
            </w:r>
          </w:p>
        </w:tc>
        <w:tc>
          <w:tcPr>
            <w:tcW w:w="1012" w:type="dxa"/>
            <w:tcBorders/>
            <w:shd w:fill="CFF0FC" w:val="clear"/>
            <w:vAlign w:val="center"/>
          </w:tcPr>
          <w:p>
            <w:pPr>
              <w:pStyle w:val="TableContents"/>
              <w:bidi w:val="0"/>
              <w:spacing w:before="0" w:after="283"/>
              <w:jc w:val="left"/>
              <w:rPr/>
            </w:pPr>
            <w:r>
              <w:rPr/>
              <w:t> </w:t>
            </w:r>
          </w:p>
        </w:tc>
      </w:tr>
      <w:tr>
        <w:trPr/>
        <w:tc>
          <w:tcPr>
            <w:tcW w:w="597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Asset retirement obligations</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10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(201</w:t>
            </w:r>
          </w:p>
        </w:tc>
        <w:tc>
          <w:tcPr>
            <w:tcW w:w="20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81"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10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1,135</w:t>
            </w:r>
          </w:p>
        </w:tc>
        <w:tc>
          <w:tcPr>
            <w:tcW w:w="1012" w:type="dxa"/>
            <w:tcBorders/>
            <w:shd w:fill="FFFFFF" w:val="clear"/>
            <w:vAlign w:val="center"/>
          </w:tcPr>
          <w:p>
            <w:pPr>
              <w:pStyle w:val="TableContents"/>
              <w:bidi w:val="0"/>
              <w:spacing w:before="0" w:after="283"/>
              <w:jc w:val="left"/>
              <w:rPr/>
            </w:pPr>
            <w:r>
              <w:rPr/>
              <w:t> </w:t>
            </w:r>
          </w:p>
        </w:tc>
      </w:tr>
      <w:tr>
        <w:trPr/>
        <w:tc>
          <w:tcPr>
            <w:tcW w:w="597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45" w:type="dxa"/>
            <w:gridSpan w:val="2"/>
            <w:tcBorders/>
            <w:shd w:fill="CFF0FC" w:val="clear"/>
            <w:vAlign w:val="center"/>
          </w:tcPr>
          <w:p>
            <w:pPr>
              <w:pStyle w:val="TableContents"/>
              <w:bidi w:val="0"/>
              <w:spacing w:before="0" w:after="283"/>
              <w:jc w:val="right"/>
              <w:rPr/>
            </w:pPr>
            <w:r>
              <w:rPr/>
              <w:t> </w:t>
            </w:r>
          </w:p>
        </w:tc>
        <w:tc>
          <w:tcPr>
            <w:tcW w:w="20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1345" w:type="dxa"/>
            <w:gridSpan w:val="2"/>
            <w:tcBorders/>
            <w:shd w:fill="CFF0FC" w:val="clear"/>
            <w:vAlign w:val="center"/>
          </w:tcPr>
          <w:p>
            <w:pPr>
              <w:pStyle w:val="TableContents"/>
              <w:bidi w:val="0"/>
              <w:spacing w:before="0" w:after="283"/>
              <w:jc w:val="right"/>
              <w:rPr/>
            </w:pPr>
            <w:r>
              <w:rPr/>
              <w:t> </w:t>
            </w:r>
          </w:p>
        </w:tc>
        <w:tc>
          <w:tcPr>
            <w:tcW w:w="1012" w:type="dxa"/>
            <w:tcBorders/>
            <w:shd w:fill="CFF0FC" w:val="clear"/>
            <w:vAlign w:val="center"/>
          </w:tcPr>
          <w:p>
            <w:pPr>
              <w:pStyle w:val="TableContents"/>
              <w:bidi w:val="0"/>
              <w:spacing w:before="0" w:after="283"/>
              <w:jc w:val="right"/>
              <w:rPr/>
            </w:pPr>
            <w:r>
              <w:rPr/>
              <w:t> </w:t>
            </w:r>
          </w:p>
        </w:tc>
      </w:tr>
    </w:tbl>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The accompanying notes are an integral part of the consolidated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HubSpot, Inc.</w:t>
      </w:r>
    </w:p>
    <w:p>
      <w:pPr>
        <w:pStyle w:val="TextBody"/>
        <w:bidi w:val="0"/>
        <w:jc w:val="center"/>
        <w:rPr>
          <w:rFonts w:ascii="Times New Roman" w:hAnsi="Times New Roman"/>
          <w:b/>
          <w:color w:val="000000"/>
          <w:sz w:val="20"/>
        </w:rPr>
      </w:pPr>
      <w:bookmarkStart w:id="9" w:name="notes_to_unaudited_consolida_ted_financi"/>
      <w:bookmarkEnd w:id="9"/>
      <w:r>
        <w:rPr>
          <w:rFonts w:ascii="Times New Roman" w:hAnsi="Times New Roman"/>
          <w:b/>
          <w:color w:val="000000"/>
          <w:sz w:val="20"/>
        </w:rPr>
        <w:t>Notes to Unaudited Consolidated Financial Statements</w:t>
      </w:r>
    </w:p>
    <w:p>
      <w:pPr>
        <w:pStyle w:val="TextBody"/>
        <w:bidi w:val="0"/>
        <w:jc w:val="left"/>
        <w:rPr/>
      </w:pPr>
      <w:r>
        <w:rPr/>
        <w:t> </w:t>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 Organization and Operations</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 xml:space="preserve">HubSpot, Inc. (the “Company”) provides </w:t>
      </w:r>
      <w:r>
        <w:rPr>
          <w:rFonts w:ascii="Times New Roman" w:hAnsi="Times New Roman"/>
          <w:b w:val="false"/>
          <w:color w:val="212529"/>
          <w:sz w:val="20"/>
        </w:rPr>
        <w:t xml:space="preserve">a customer platform that helps businesses connect and grow better. The Company delivers seamless connection for customer-facing teams with a unified platform that includes AI-powered engagement hubs, a smart customer relationship management (“CRM”) Platform, a connected ecosystem with integrations, a community network, and educational content. </w:t>
      </w:r>
      <w:r>
        <w:rPr>
          <w:rFonts w:ascii="Times New Roman" w:hAnsi="Times New Roman"/>
          <w:b w:val="false"/>
          <w:color w:val="000000"/>
          <w:sz w:val="20"/>
        </w:rPr>
        <w:t>The Company’s CRM Platform comprised of Marketing Hub, Sales Hub, Service Hub, content management system ("CMS") Hub, Operations Hub, and Commerce Hub, features integrated applications, tools, and a native payment solution, that enable businesses to create a cohesive and adaptable customer experience.</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 xml:space="preserve">The accompanying unaudited consolidated </w:t>
      </w:r>
      <w:r>
        <w:rPr>
          <w:rFonts w:ascii="Times New Roman" w:hAnsi="Times New Roman"/>
          <w:b w:val="false"/>
          <w:color w:val="212529"/>
          <w:sz w:val="20"/>
        </w:rPr>
        <w:t xml:space="preserve">financial statements have been prepared in accordance with generally accepted accounting principles in the United States (“GAAP”) applicable to interim periods, under the rules and regulations of the United States Securities and Exchange Commission (“SEC”). In the opinion of management, the Company has prepared the accompanying unaudited consolidated financial statements on a basis substantially consistent with the audited consolidated financial statements of the Company as of and for the year ended </w:t>
      </w:r>
      <w:r>
        <w:rPr>
          <w:rFonts w:ascii="Times New Roman" w:hAnsi="Times New Roman"/>
          <w:b w:val="false"/>
          <w:color w:val="000000"/>
          <w:sz w:val="20"/>
        </w:rPr>
        <w:t>December 31, 2022, and these consolidated financial statements include all adjustments, consisting only of normal recurring adjustments, necessary for a fair statement of the results of the interim periods presented. All intercompany balances and transactions have been eliminated in consolidation.</w:t>
      </w:r>
      <w:r>
        <w:rPr>
          <w:rFonts w:ascii="Times New Roman" w:hAnsi="Times New Roman"/>
          <w:color w:val="000000"/>
          <w:sz w:val="2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The results of operations for the interim periods presented are not necessarily indicative of the results to be expected for any subsequent quarter or for the entire year ending December 31, 2023. The year-end balance sheet data was derived from audited financial statements, but this Form 10-Q does not include all disclosures required under GAAP. Certain information and note disclosures normally included in annual financial statements prepared in accordance with GAAP have been omitted under the rules and regulations of the SEC.</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These interim financial statements should be read in conjunction with the audited consolidated financial statements and related notes contained in the Company’s Annual Report on Form 10-K filed with the SEC on February 16, 2023. There have been no changes in the Company’s significant accounting policies from those that were disclosed in the Company’s Annual Report on Form 10-K that have had a material impact on our consolidated financial statements and related notes.</w:t>
      </w:r>
      <w:r>
        <w:rPr>
          <w:rFonts w:ascii="Times New Roman" w:hAnsi="Times New Roman"/>
          <w:color w:val="000000"/>
          <w:sz w:val="20"/>
        </w:rPr>
        <w:t xml:space="preserve">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The Company has implemented all applicable accounting pronouncements that are in effect and there are no new accounting pronouncements that have been issued that would have a material impact on its financial position or results of operations.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2. Revenues</w:t>
      </w:r>
    </w:p>
    <w:p>
      <w:pPr>
        <w:pStyle w:val="TextBody"/>
        <w:bidi w:val="0"/>
        <w:spacing w:before="240" w:after="283"/>
        <w:jc w:val="both"/>
        <w:rPr>
          <w:rFonts w:ascii="Times New Roman" w:hAnsi="Times New Roman"/>
          <w:sz w:val="20"/>
        </w:rPr>
      </w:pPr>
      <w:r>
        <w:rPr>
          <w:rFonts w:ascii="Times New Roman" w:hAnsi="Times New Roman"/>
          <w:b/>
          <w:i/>
          <w:color w:val="000000"/>
          <w:sz w:val="20"/>
        </w:rPr>
        <w:t>Disaggregation of Revenue</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Company provides disaggregation of revenue based on geographic region (Note 13) and based on the subscription versus professional services and other classification on the consolidated statements of operations as it believes these best depict how the nature, amount, timing and uncertainty of revenue and cash flows are affected by economic factors.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Deferred Revenue and Deferred Commission Expense</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Amounts that have been invoiced are recorded in accounts receivable and deferred revenue or revenue, depending on whether the revenue recognition criteria have been met. Deferred revenue represents amounts billed for which revenue has not yet been recognized. Deferred revenue that will be recognized during the succeeding 12-month period is recorded as current deferred revenue, and the remaining portion is recorded as long-term deferred revenue. Deferred revenue during the nine months ended September 30, 2023 increased by $36.7</w:t>
      </w:r>
      <w:r>
        <w:rPr>
          <w:rFonts w:ascii="Times New Roman" w:hAnsi="Times New Roman"/>
          <w:color w:val="000000"/>
          <w:sz w:val="20"/>
        </w:rPr>
        <w:t xml:space="preserve"> </w:t>
      </w:r>
      <w:r>
        <w:rPr>
          <w:rFonts w:ascii="Times New Roman" w:hAnsi="Times New Roman"/>
          <w:b w:val="false"/>
          <w:color w:val="000000"/>
          <w:sz w:val="20"/>
        </w:rPr>
        <w:t>million resulting from $594.3</w:t>
      </w:r>
      <w:r>
        <w:rPr>
          <w:rFonts w:ascii="Times New Roman" w:hAnsi="Times New Roman"/>
          <w:color w:val="000000"/>
          <w:sz w:val="20"/>
        </w:rPr>
        <w:t xml:space="preserve"> </w:t>
      </w:r>
      <w:r>
        <w:rPr>
          <w:rFonts w:ascii="Times New Roman" w:hAnsi="Times New Roman"/>
          <w:b w:val="false"/>
          <w:color w:val="000000"/>
          <w:sz w:val="20"/>
        </w:rPr>
        <w:t>million of additional invoicing and was offset by revenue recognized of $557.6</w:t>
      </w:r>
      <w:r>
        <w:rPr>
          <w:rFonts w:ascii="Times New Roman" w:hAnsi="Times New Roman"/>
          <w:color w:val="000000"/>
          <w:sz w:val="20"/>
        </w:rPr>
        <w:t xml:space="preserve"> </w:t>
      </w:r>
      <w:r>
        <w:rPr>
          <w:rFonts w:ascii="Times New Roman" w:hAnsi="Times New Roman"/>
          <w:b w:val="false"/>
          <w:color w:val="000000"/>
          <w:sz w:val="20"/>
        </w:rPr>
        <w:t>million during the same period. $328.8</w:t>
      </w:r>
      <w:r>
        <w:rPr>
          <w:rFonts w:ascii="Times New Roman" w:hAnsi="Times New Roman"/>
          <w:color w:val="000000"/>
          <w:sz w:val="20"/>
        </w:rPr>
        <w:t xml:space="preserve"> </w:t>
      </w:r>
      <w:r>
        <w:rPr>
          <w:rFonts w:ascii="Times New Roman" w:hAnsi="Times New Roman"/>
          <w:b w:val="false"/>
          <w:color w:val="000000"/>
          <w:sz w:val="20"/>
        </w:rPr>
        <w:t>million of revenue was recognized during the three months ended September 30, 2023 that was included in deferred revenue at the beginning of the period. $506.4</w:t>
      </w:r>
      <w:r>
        <w:rPr>
          <w:rFonts w:ascii="Times New Roman" w:hAnsi="Times New Roman"/>
          <w:color w:val="000000"/>
          <w:sz w:val="20"/>
        </w:rPr>
        <w:t xml:space="preserve"> </w:t>
      </w:r>
      <w:r>
        <w:rPr>
          <w:rFonts w:ascii="Times New Roman" w:hAnsi="Times New Roman"/>
          <w:b w:val="false"/>
          <w:color w:val="000000"/>
          <w:sz w:val="20"/>
        </w:rPr>
        <w:t>million of revenue was recognized during the nine months ended September 30, 2023 that was included in deferred revenue at the beginning of the period. As of September 30, 2023, approximately $687.0</w:t>
      </w:r>
      <w:r>
        <w:rPr>
          <w:rFonts w:ascii="Times New Roman" w:hAnsi="Times New Roman"/>
          <w:color w:val="000000"/>
          <w:sz w:val="20"/>
        </w:rPr>
        <w:t xml:space="preserve"> </w:t>
      </w:r>
      <w:r>
        <w:rPr>
          <w:rFonts w:ascii="Times New Roman" w:hAnsi="Times New Roman"/>
          <w:b w:val="false"/>
          <w:color w:val="000000"/>
          <w:sz w:val="20"/>
        </w:rPr>
        <w:t>million of revenue is expected to be recognized from remaining performance obligations for contracts with original performance obligations that exceed one year. The Company expects to recognize revenue on approximately 91%</w:t>
      </w:r>
      <w:r>
        <w:rPr>
          <w:rFonts w:ascii="Times New Roman" w:hAnsi="Times New Roman"/>
          <w:color w:val="000000"/>
          <w:sz w:val="20"/>
        </w:rPr>
        <w:t xml:space="preserve"> </w:t>
      </w:r>
      <w:r>
        <w:rPr>
          <w:rFonts w:ascii="Times New Roman" w:hAnsi="Times New Roman"/>
          <w:b w:val="false"/>
          <w:color w:val="000000"/>
          <w:sz w:val="20"/>
        </w:rPr>
        <w:t>of these remaining performance obligations over the next 24 months, with the balance recognized thereafter.</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Additional contract liabilities of $3.7</w:t>
      </w:r>
      <w:r>
        <w:rPr>
          <w:rFonts w:ascii="Times New Roman" w:hAnsi="Times New Roman"/>
          <w:color w:val="000000"/>
          <w:sz w:val="20"/>
        </w:rPr>
        <w:t xml:space="preserve"> </w:t>
      </w:r>
      <w:r>
        <w:rPr>
          <w:rFonts w:ascii="Times New Roman" w:hAnsi="Times New Roman"/>
          <w:b w:val="false"/>
          <w:color w:val="000000"/>
          <w:sz w:val="20"/>
        </w:rPr>
        <w:t>million and $3.0</w:t>
      </w:r>
      <w:r>
        <w:rPr>
          <w:rFonts w:ascii="Times New Roman" w:hAnsi="Times New Roman"/>
          <w:color w:val="000000"/>
          <w:sz w:val="20"/>
        </w:rPr>
        <w:t xml:space="preserve"> </w:t>
      </w:r>
      <w:r>
        <w:rPr>
          <w:rFonts w:ascii="Times New Roman" w:hAnsi="Times New Roman"/>
          <w:b w:val="false"/>
          <w:color w:val="000000"/>
          <w:sz w:val="20"/>
        </w:rPr>
        <w:t>million were included in accrued expenses and other current liabilities on the consolidated balance sheet as of September 30, 2023 and December 31, 2022.</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incremental direct costs of obtaining a contract, which primarily consist of sales and partner commissions paid for new subscription contracts, are deferred and amortized on a straight-line basis over a period of approximately two to four years. The two</w:t>
      </w:r>
      <w:r>
        <w:rPr>
          <w:rFonts w:ascii="Times New Roman" w:hAnsi="Times New Roman"/>
          <w:color w:val="000000"/>
          <w:sz w:val="20"/>
        </w:rPr>
        <w:t xml:space="preserve"> </w:t>
      </w:r>
      <w:r>
        <w:rPr>
          <w:rFonts w:ascii="Times New Roman" w:hAnsi="Times New Roman"/>
          <w:b w:val="false"/>
          <w:color w:val="000000"/>
          <w:sz w:val="20"/>
        </w:rPr>
        <w:t>to four-year</w:t>
      </w:r>
      <w:r>
        <w:rPr>
          <w:rFonts w:ascii="Times New Roman" w:hAnsi="Times New Roman"/>
          <w:color w:val="000000"/>
          <w:sz w:val="20"/>
        </w:rPr>
        <w:t xml:space="preserve"> </w:t>
      </w:r>
      <w:r>
        <w:rPr>
          <w:rFonts w:ascii="Times New Roman" w:hAnsi="Times New Roman"/>
          <w:b w:val="false"/>
          <w:color w:val="000000"/>
          <w:sz w:val="20"/>
        </w:rPr>
        <w:t>period has been determined by taking into consideration the type of product sold, the commitment term of the customer contract, the nature of the Company’s technology development life-cycle, and an estimated customer relationship period. Sales and partner commissions for upgrade contracts are deferred and amortized on a straight-line basis over the remaining estimated customer relationship period of the related customer. Deferred commission expense that will be recorded as expense during the succeeding 12-month period is recorded as current deferred commission expense, and the remaining portion is recorded as long-term deferred commission expense.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Deferred commission expense during the three months ended September 30, 2023 increased by $15.0</w:t>
      </w:r>
      <w:r>
        <w:rPr>
          <w:rFonts w:ascii="Times New Roman" w:hAnsi="Times New Roman"/>
          <w:color w:val="000000"/>
          <w:sz w:val="20"/>
        </w:rPr>
        <w:t xml:space="preserve"> </w:t>
      </w:r>
      <w:r>
        <w:rPr>
          <w:rFonts w:ascii="Times New Roman" w:hAnsi="Times New Roman"/>
          <w:b w:val="false"/>
          <w:color w:val="000000"/>
          <w:sz w:val="20"/>
        </w:rPr>
        <w:t>million as a result of deferring incremental costs of obtaining a contract of $42.1</w:t>
      </w:r>
      <w:r>
        <w:rPr>
          <w:rFonts w:ascii="Times New Roman" w:hAnsi="Times New Roman"/>
          <w:color w:val="000000"/>
          <w:sz w:val="20"/>
        </w:rPr>
        <w:t xml:space="preserve"> </w:t>
      </w:r>
      <w:r>
        <w:rPr>
          <w:rFonts w:ascii="Times New Roman" w:hAnsi="Times New Roman"/>
          <w:b w:val="false"/>
          <w:color w:val="000000"/>
          <w:sz w:val="20"/>
        </w:rPr>
        <w:t>million and was offset by amortization of $27.1</w:t>
      </w:r>
      <w:r>
        <w:rPr>
          <w:rFonts w:ascii="Times New Roman" w:hAnsi="Times New Roman"/>
          <w:color w:val="000000"/>
          <w:sz w:val="20"/>
        </w:rPr>
        <w:t xml:space="preserve"> </w:t>
      </w:r>
      <w:r>
        <w:rPr>
          <w:rFonts w:ascii="Times New Roman" w:hAnsi="Times New Roman"/>
          <w:b w:val="false"/>
          <w:color w:val="000000"/>
          <w:sz w:val="20"/>
        </w:rPr>
        <w:t>million during the same period. Deferred commission expense during the nine months ended September 30, 2023 increased by $52.8</w:t>
      </w:r>
      <w:r>
        <w:rPr>
          <w:rFonts w:ascii="Times New Roman" w:hAnsi="Times New Roman"/>
          <w:color w:val="000000"/>
          <w:sz w:val="20"/>
        </w:rPr>
        <w:t xml:space="preserve"> </w:t>
      </w:r>
      <w:r>
        <w:rPr>
          <w:rFonts w:ascii="Times New Roman" w:hAnsi="Times New Roman"/>
          <w:b w:val="false"/>
          <w:color w:val="000000"/>
          <w:sz w:val="20"/>
        </w:rPr>
        <w:t>million as a result of deferring incremental costs of obtaining a contract of 125.0</w:t>
      </w:r>
      <w:r>
        <w:rPr>
          <w:rFonts w:ascii="Times New Roman" w:hAnsi="Times New Roman"/>
          <w:color w:val="000000"/>
          <w:sz w:val="20"/>
        </w:rPr>
        <w:t xml:space="preserve"> </w:t>
      </w:r>
      <w:r>
        <w:rPr>
          <w:rFonts w:ascii="Times New Roman" w:hAnsi="Times New Roman"/>
          <w:b w:val="false"/>
          <w:color w:val="000000"/>
          <w:sz w:val="20"/>
        </w:rPr>
        <w:t>million and was offset by amortization of 72.2</w:t>
      </w:r>
      <w:r>
        <w:rPr>
          <w:rFonts w:ascii="Times New Roman" w:hAnsi="Times New Roman"/>
          <w:color w:val="000000"/>
          <w:sz w:val="20"/>
        </w:rPr>
        <w:t xml:space="preserve"> </w:t>
      </w:r>
      <w:r>
        <w:rPr>
          <w:rFonts w:ascii="Times New Roman" w:hAnsi="Times New Roman"/>
          <w:b w:val="false"/>
          <w:color w:val="000000"/>
          <w:sz w:val="20"/>
        </w:rPr>
        <w:t>million during the same period.</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3. Net Loss per Share</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Basic net loss per share is computed by dividing net loss by the weighted average number of common shares outstanding for the period. Diluted net loss per share is computed by giving effect to all potential dilutive common stock equivalents outstanding for the period. For purposes of this calculation, options to purchase common stock, restricted stock units (“RSUs”), shares issued pursuant to the Employee Stock Purchase Plan (“ESPP”), performance restricted stock units (“PSUs”), the Warrants (defined in Note 8), the Conversion Option of the 2022 Notes, and the Conversion Option of the 2025 Notes (the “Conversion Options”) (Note 8) are considered to be potential common stock equivalents.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 reconciliation of the denominator used in the calculation of basic and diluted net loss per share is as follows:</w:t>
      </w:r>
    </w:p>
    <w:tbl>
      <w:tblPr>
        <w:tblW w:w="10205" w:type="dxa"/>
        <w:jc w:val="left"/>
        <w:tblInd w:w="0" w:type="dxa"/>
        <w:tblLayout w:type="fixed"/>
        <w:tblCellMar>
          <w:top w:w="28" w:type="dxa"/>
          <w:left w:w="28" w:type="dxa"/>
          <w:bottom w:w="28" w:type="dxa"/>
          <w:right w:w="28" w:type="dxa"/>
        </w:tblCellMar>
      </w:tblPr>
      <w:tblGrid>
        <w:gridCol w:w="4490"/>
        <w:gridCol w:w="258"/>
        <w:gridCol w:w="828"/>
        <w:gridCol w:w="202"/>
        <w:gridCol w:w="178"/>
        <w:gridCol w:w="258"/>
        <w:gridCol w:w="901"/>
        <w:gridCol w:w="166"/>
        <w:gridCol w:w="146"/>
        <w:gridCol w:w="234"/>
        <w:gridCol w:w="933"/>
        <w:gridCol w:w="183"/>
        <w:gridCol w:w="162"/>
        <w:gridCol w:w="234"/>
        <w:gridCol w:w="816"/>
        <w:gridCol w:w="216"/>
      </w:tblGrid>
      <w:tr>
        <w:trPr/>
        <w:tc>
          <w:tcPr>
            <w:tcW w:w="449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4490" w:type="dxa"/>
            <w:tcBorders/>
            <w:shd w:fill="FFFFFF" w:val="clear"/>
            <w:vAlign w:val="center"/>
          </w:tcPr>
          <w:p>
            <w:pPr>
              <w:pStyle w:val="TableContents"/>
              <w:bidi w:val="0"/>
              <w:spacing w:before="0" w:after="283"/>
              <w:jc w:val="left"/>
              <w:rPr/>
            </w:pPr>
            <w:r>
              <w:rPr/>
              <w:t> </w:t>
            </w:r>
          </w:p>
        </w:tc>
        <w:tc>
          <w:tcPr>
            <w:tcW w:w="26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90" w:type="dxa"/>
            <w:tcBorders/>
            <w:shd w:fill="FFFFFF" w:val="clear"/>
            <w:vAlign w:val="center"/>
          </w:tcPr>
          <w:p>
            <w:pPr>
              <w:pStyle w:val="TableContents"/>
              <w:bidi w:val="0"/>
              <w:spacing w:before="0" w:after="283"/>
              <w:jc w:val="left"/>
              <w:rPr/>
            </w:pPr>
            <w:r>
              <w:rPr/>
              <w:t> </w:t>
            </w:r>
          </w:p>
        </w:tc>
        <w:tc>
          <w:tcPr>
            <w:tcW w:w="10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vAlign w:val="center"/>
          </w:tcPr>
          <w:p>
            <w:pPr>
              <w:pStyle w:val="TableContents"/>
              <w:bidi w:val="0"/>
              <w:spacing w:before="0" w:after="283"/>
              <w:jc w:val="center"/>
              <w:rPr/>
            </w:pPr>
            <w:r>
              <w:rPr/>
              <w:t> </w:t>
            </w:r>
          </w:p>
        </w:tc>
        <w:tc>
          <w:tcPr>
            <w:tcW w:w="11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9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(5,463</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8" w:type="dxa"/>
            <w:tcBorders/>
            <w:shd w:fill="CFF0FC" w:val="cle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(31,411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(162,691</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2" w:type="dxa"/>
            <w:tcBorders/>
            <w:shd w:fill="CFF0FC" w:val="cle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(97,113</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49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Weighted-average common shares outstanding — basic</w:t>
            </w:r>
          </w:p>
        </w:tc>
        <w:tc>
          <w:tcPr>
            <w:tcW w:w="258"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50,051</w:t>
            </w:r>
          </w:p>
        </w:tc>
        <w:tc>
          <w:tcPr>
            <w:tcW w:w="202"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48,067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4"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49,719</w:t>
            </w:r>
          </w:p>
        </w:tc>
        <w:tc>
          <w:tcPr>
            <w:tcW w:w="183"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47,821</w:t>
            </w:r>
          </w:p>
        </w:tc>
        <w:tc>
          <w:tcPr>
            <w:tcW w:w="216" w:type="dxa"/>
            <w:tcBorders/>
            <w:shd w:fill="FFFFFF" w:val="clear"/>
            <w:vAlign w:val="center"/>
          </w:tcPr>
          <w:p>
            <w:pPr>
              <w:pStyle w:val="TableContents"/>
              <w:bidi w:val="0"/>
              <w:spacing w:before="0" w:after="283"/>
              <w:jc w:val="left"/>
              <w:rPr/>
            </w:pPr>
            <w:r>
              <w:rPr/>
              <w:t> </w:t>
            </w:r>
          </w:p>
        </w:tc>
      </w:tr>
      <w:tr>
        <w:trPr/>
        <w:tc>
          <w:tcPr>
            <w:tcW w:w="449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 xml:space="preserve">Dilutive effect of share equivalents resulting from stock </w:t>
              <w:br/>
              <w:t xml:space="preserve">   options, RSUs, ESPP, PSUs, Warrants and the </w:t>
              <w:br/>
              <w:t>   Conversion Options</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Weighted-average common shares, outstanding — diluted</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50,051</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48,067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49,719</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47,821</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9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 per share, basic and diluted</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(0.11</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8" w:type="dxa"/>
            <w:tcBorders/>
            <w:shd w:fill="CFF0FC" w:val="cle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(3.27</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2" w:type="dxa"/>
            <w:tcBorders/>
            <w:shd w:fill="CFF0FC" w:val="cle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(2.03</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Since the Company incurred net losses for each of the periods presented, diluted net loss per share is the same as basic net loss per share. All of the Company’s outstanding stock options, RSUs, PSUs, and shares issuable under the ESPP, as well as the Warrants and Conversion Options were excluded in the calculation of diluted net loss per share as the effect would be anti-dilutive.</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Company uses the treasury stock method and the average market price per share during the period for calculating any potential dilutive effect of the Warrants. The average stock price for the three months ended September 30, 2023</w:t>
      </w:r>
      <w:r>
        <w:rPr>
          <w:rFonts w:ascii="Times New Roman" w:hAnsi="Times New Roman"/>
          <w:color w:val="000000"/>
          <w:sz w:val="20"/>
        </w:rPr>
        <w:t xml:space="preserve"> </w:t>
      </w:r>
      <w:r>
        <w:rPr>
          <w:rFonts w:ascii="Times New Roman" w:hAnsi="Times New Roman"/>
          <w:b w:val="false"/>
          <w:color w:val="000000"/>
          <w:sz w:val="20"/>
        </w:rPr>
        <w:t>was $522.44</w:t>
      </w:r>
      <w:r>
        <w:rPr>
          <w:rFonts w:ascii="Times New Roman" w:hAnsi="Times New Roman"/>
          <w:color w:val="000000"/>
          <w:sz w:val="20"/>
        </w:rPr>
        <w:t xml:space="preserve"> </w:t>
      </w:r>
      <w:r>
        <w:rPr>
          <w:rFonts w:ascii="Times New Roman" w:hAnsi="Times New Roman"/>
          <w:b w:val="false"/>
          <w:color w:val="000000"/>
          <w:sz w:val="20"/>
        </w:rPr>
        <w:t>and for the nine months ended September 30, 2023</w:t>
      </w:r>
      <w:r>
        <w:rPr>
          <w:rFonts w:ascii="Times New Roman" w:hAnsi="Times New Roman"/>
          <w:color w:val="000000"/>
          <w:sz w:val="20"/>
        </w:rPr>
        <w:t xml:space="preserve"> </w:t>
      </w:r>
      <w:r>
        <w:rPr>
          <w:rFonts w:ascii="Times New Roman" w:hAnsi="Times New Roman"/>
          <w:b w:val="false"/>
          <w:color w:val="000000"/>
          <w:sz w:val="20"/>
        </w:rPr>
        <w:t>was $452.38. The Company uses the if-converted method when calculating any potential dilutive effect of the Conversion Options, which assumes conversion of outstanding convertible securities at the beginning of the reporting period or date of issuance, if the convertible security was issued during the period.</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Because the last reported sale price of the Company’s common stock for at least 20</w:t>
      </w:r>
      <w:r>
        <w:rPr>
          <w:rFonts w:ascii="Times New Roman" w:hAnsi="Times New Roman"/>
          <w:color w:val="000000"/>
          <w:sz w:val="20"/>
        </w:rPr>
        <w:t xml:space="preserve"> </w:t>
      </w:r>
      <w:r>
        <w:rPr>
          <w:rFonts w:ascii="Times New Roman" w:hAnsi="Times New Roman"/>
          <w:b w:val="false"/>
          <w:color w:val="000000"/>
          <w:sz w:val="20"/>
        </w:rPr>
        <w:t>trading days during the period of 30</w:t>
      </w:r>
      <w:r>
        <w:rPr>
          <w:rFonts w:ascii="Times New Roman" w:hAnsi="Times New Roman"/>
          <w:color w:val="000000"/>
          <w:sz w:val="20"/>
        </w:rPr>
        <w:t xml:space="preserve"> </w:t>
      </w:r>
      <w:r>
        <w:rPr>
          <w:rFonts w:ascii="Times New Roman" w:hAnsi="Times New Roman"/>
          <w:b w:val="false"/>
          <w:color w:val="000000"/>
          <w:sz w:val="20"/>
        </w:rPr>
        <w:t>consecutive trading days ending on the last trading day of the calendar quarter ended September 30, 2023</w:t>
      </w:r>
      <w:r>
        <w:rPr>
          <w:rFonts w:ascii="Times New Roman" w:hAnsi="Times New Roman"/>
          <w:color w:val="000000"/>
          <w:sz w:val="20"/>
        </w:rPr>
        <w:t xml:space="preserve"> </w:t>
      </w:r>
      <w:r>
        <w:rPr>
          <w:rFonts w:ascii="Times New Roman" w:hAnsi="Times New Roman"/>
          <w:b w:val="false"/>
          <w:color w:val="000000"/>
          <w:sz w:val="20"/>
        </w:rPr>
        <w:t>was equal to or greater than 130% of the applicable conversion price of $282.52</w:t>
      </w:r>
      <w:r>
        <w:rPr>
          <w:rFonts w:ascii="Times New Roman" w:hAnsi="Times New Roman"/>
          <w:color w:val="000000"/>
          <w:sz w:val="20"/>
        </w:rPr>
        <w:t xml:space="preserve"> </w:t>
      </w:r>
      <w:r>
        <w:rPr>
          <w:rFonts w:ascii="Times New Roman" w:hAnsi="Times New Roman"/>
          <w:b w:val="false"/>
          <w:color w:val="000000"/>
          <w:sz w:val="20"/>
        </w:rPr>
        <w:t>on each applicable trading day, the 2025 Notes (defined in Note 8) are convertible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at the option of the holders thereof during the calendar quarter ending December 31, 2023. As of November 3, 2023, the Company had not received any material conversion notices.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following table contains all potentially dilutive common stock equivalents.</w:t>
      </w:r>
      <w:r>
        <w:rPr>
          <w:rFonts w:ascii="Times New Roman" w:hAnsi="Times New Roman"/>
          <w:color w:val="000000"/>
          <w:sz w:val="20"/>
        </w:rPr>
        <w:t xml:space="preserve"> </w:t>
      </w:r>
    </w:p>
    <w:tbl>
      <w:tblPr>
        <w:tblW w:w="6339" w:type="dxa"/>
        <w:jc w:val="left"/>
        <w:tblInd w:w="0" w:type="dxa"/>
        <w:tblLayout w:type="fixed"/>
        <w:tblCellMar>
          <w:top w:w="28" w:type="dxa"/>
          <w:left w:w="28" w:type="dxa"/>
          <w:bottom w:w="28" w:type="dxa"/>
          <w:right w:w="28" w:type="dxa"/>
        </w:tblCellMar>
      </w:tblPr>
      <w:tblGrid>
        <w:gridCol w:w="4276"/>
        <w:gridCol w:w="146"/>
        <w:gridCol w:w="146"/>
        <w:gridCol w:w="571"/>
        <w:gridCol w:w="146"/>
        <w:gridCol w:w="146"/>
        <w:gridCol w:w="146"/>
        <w:gridCol w:w="571"/>
        <w:gridCol w:w="191"/>
      </w:tblGrid>
      <w:tr>
        <w:trPr/>
        <w:tc>
          <w:tcPr>
            <w:tcW w:w="4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shd w:fill="FFFFFF" w:val="clear"/>
            <w:vAlign w:val="center"/>
          </w:tcPr>
          <w:p>
            <w:pPr>
              <w:pStyle w:val="TableContents"/>
              <w:bidi w:val="0"/>
              <w:spacing w:before="0" w:after="283"/>
              <w:jc w:val="center"/>
              <w:rPr/>
            </w:pPr>
            <w:r>
              <w:rPr/>
              <w:t> </w:t>
            </w:r>
          </w:p>
        </w:tc>
      </w:tr>
      <w:tr>
        <w:trPr/>
        <w:tc>
          <w:tcPr>
            <w:tcW w:w="42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42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Options to purchase common shares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522</w:t>
            </w:r>
          </w:p>
        </w:tc>
        <w:tc>
          <w:tcPr>
            <w:tcW w:w="191" w:type="dxa"/>
            <w:tcBorders/>
            <w:shd w:fill="CFF0FC" w:val="clear"/>
            <w:vAlign w:val="center"/>
          </w:tcPr>
          <w:p>
            <w:pPr>
              <w:pStyle w:val="TableContents"/>
              <w:bidi w:val="0"/>
              <w:spacing w:before="0" w:after="283"/>
              <w:jc w:val="left"/>
              <w:rPr/>
            </w:pPr>
            <w:r>
              <w:rPr/>
              <w:t> </w:t>
            </w:r>
          </w:p>
        </w:tc>
      </w:tr>
      <w:tr>
        <w:trPr/>
        <w:tc>
          <w:tcPr>
            <w:tcW w:w="42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RSUs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1,601</w:t>
            </w:r>
          </w:p>
        </w:tc>
        <w:tc>
          <w:tcPr>
            <w:tcW w:w="191" w:type="dxa"/>
            <w:tcBorders/>
            <w:shd w:fill="FFFFFF" w:val="clear"/>
            <w:vAlign w:val="center"/>
          </w:tcPr>
          <w:p>
            <w:pPr>
              <w:pStyle w:val="TableContents"/>
              <w:bidi w:val="0"/>
              <w:spacing w:before="0" w:after="283"/>
              <w:jc w:val="left"/>
              <w:rPr/>
            </w:pPr>
            <w:r>
              <w:rPr/>
              <w:t> </w:t>
            </w:r>
          </w:p>
        </w:tc>
      </w:tr>
      <w:tr>
        <w:trPr/>
        <w:tc>
          <w:tcPr>
            <w:tcW w:w="42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Conversion Option of the 2022 Notes and Warrants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844</w:t>
            </w:r>
          </w:p>
        </w:tc>
        <w:tc>
          <w:tcPr>
            <w:tcW w:w="191" w:type="dxa"/>
            <w:tcBorders/>
            <w:shd w:fill="CFF0FC" w:val="clear"/>
            <w:vAlign w:val="center"/>
          </w:tcPr>
          <w:p>
            <w:pPr>
              <w:pStyle w:val="TableContents"/>
              <w:bidi w:val="0"/>
              <w:spacing w:before="0" w:after="283"/>
              <w:jc w:val="left"/>
              <w:rPr/>
            </w:pPr>
            <w:r>
              <w:rPr/>
              <w:t> </w:t>
            </w:r>
          </w:p>
        </w:tc>
      </w:tr>
      <w:tr>
        <w:trPr/>
        <w:tc>
          <w:tcPr>
            <w:tcW w:w="42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Conversion Option of the 2025 Notes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1,625</w:t>
            </w:r>
          </w:p>
        </w:tc>
        <w:tc>
          <w:tcPr>
            <w:tcW w:w="191" w:type="dxa"/>
            <w:tcBorders/>
            <w:shd w:fill="FFFFFF" w:val="clear"/>
            <w:vAlign w:val="center"/>
          </w:tcPr>
          <w:p>
            <w:pPr>
              <w:pStyle w:val="TableContents"/>
              <w:bidi w:val="0"/>
              <w:spacing w:before="0" w:after="283"/>
              <w:jc w:val="left"/>
              <w:rPr/>
            </w:pPr>
            <w:r>
              <w:rPr/>
              <w:t> </w:t>
            </w:r>
          </w:p>
        </w:tc>
      </w:tr>
      <w:tr>
        <w:trPr/>
        <w:tc>
          <w:tcPr>
            <w:tcW w:w="42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PSUs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42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ESPP</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4. Fair Value of Financial Instruments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The Company measures certain financial assets at fair value. Fair value is determined based upon the exit price that would be received to sell an asset or paid to transfer a liability in an orderly transaction between market participants, as determined by either the principal market or the most advantageous market. Inputs used in the valuation techniques to derive fair values are classified based on a three-level hierarchy, as follows: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Level 1 — Quoted prices in active markets for identical assets or liabilities.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Level 2 — Observable inputs other than Level 1 prices such as quoted prices for similar assets or liabilities; quoted prices in markets with insufficient volume or infrequent transactions (less active markets); or model-derived valuations in which all significant inputs are observable or can be derived principally from or corroborated by observable market data for substantially the full term of the assets or liabilities.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Level 3 — Unobservable inputs to the valuation methodology that are significant to the measurement of fair value of assets or liabilities.</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The following table details the fair value measurements within the fair value hierarchy of the Company’s financial assets and liabilities at September 30, 2023 and December 31, 2022:</w:t>
        <w:br/>
      </w:r>
      <w:r>
        <w:rPr>
          <w:rFonts w:ascii="Times New Roman" w:hAnsi="Times New Roman"/>
          <w:color w:val="000000"/>
          <w:sz w:val="20"/>
        </w:rPr>
        <w:t> </w:t>
      </w:r>
    </w:p>
    <w:tbl>
      <w:tblPr>
        <w:tblW w:w="8460" w:type="dxa"/>
        <w:jc w:val="left"/>
        <w:tblInd w:w="0" w:type="dxa"/>
        <w:tblLayout w:type="fixed"/>
        <w:tblCellMar>
          <w:top w:w="28" w:type="dxa"/>
          <w:left w:w="28" w:type="dxa"/>
          <w:bottom w:w="28" w:type="dxa"/>
          <w:right w:w="28" w:type="dxa"/>
        </w:tblCellMar>
      </w:tblPr>
      <w:tblGrid>
        <w:gridCol w:w="3141"/>
        <w:gridCol w:w="146"/>
        <w:gridCol w:w="211"/>
        <w:gridCol w:w="781"/>
        <w:gridCol w:w="146"/>
        <w:gridCol w:w="146"/>
        <w:gridCol w:w="211"/>
        <w:gridCol w:w="931"/>
        <w:gridCol w:w="146"/>
        <w:gridCol w:w="146"/>
        <w:gridCol w:w="239"/>
        <w:gridCol w:w="391"/>
        <w:gridCol w:w="146"/>
        <w:gridCol w:w="146"/>
        <w:gridCol w:w="211"/>
        <w:gridCol w:w="931"/>
        <w:gridCol w:w="391"/>
      </w:tblGrid>
      <w:tr>
        <w:trPr/>
        <w:tc>
          <w:tcPr>
            <w:tcW w:w="3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78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782"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31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equivalents and investments:</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14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Money market funds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215,494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215,494</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14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Commercial paper</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21,845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21,845</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14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Corporate bonds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227,155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227,155</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14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U.S. Government agency securities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85,894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85,894</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14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U.S. Treasury securities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886,446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886,446</w:t>
            </w:r>
          </w:p>
        </w:tc>
        <w:tc>
          <w:tcPr>
            <w:tcW w:w="391" w:type="dxa"/>
            <w:tcBorders/>
            <w:shd w:fill="FFFFFF" w:val="clear"/>
            <w:vAlign w:val="center"/>
          </w:tcPr>
          <w:p>
            <w:pPr>
              <w:pStyle w:val="TableContents"/>
              <w:bidi w:val="0"/>
              <w:spacing w:before="0" w:after="283"/>
              <w:jc w:val="left"/>
              <w:rPr/>
            </w:pPr>
            <w:r>
              <w:rPr/>
              <w:t> </w:t>
            </w:r>
          </w:p>
        </w:tc>
      </w:tr>
      <w:tr>
        <w:trPr/>
        <w:tc>
          <w:tcPr>
            <w:tcW w:w="31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Restricted cash:</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14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Money market funds</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3,153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215,494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1,224,493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1,439,987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pPr>
      <w:r>
        <w:rPr/>
        <w:t> </w:t>
      </w:r>
    </w:p>
    <w:tbl>
      <w:tblPr>
        <w:tblW w:w="8355" w:type="dxa"/>
        <w:jc w:val="left"/>
        <w:tblInd w:w="0" w:type="dxa"/>
        <w:tblLayout w:type="fixed"/>
        <w:tblCellMar>
          <w:top w:w="28" w:type="dxa"/>
          <w:left w:w="28" w:type="dxa"/>
          <w:bottom w:w="28" w:type="dxa"/>
          <w:right w:w="28" w:type="dxa"/>
        </w:tblCellMar>
      </w:tblPr>
      <w:tblGrid>
        <w:gridCol w:w="3141"/>
        <w:gridCol w:w="146"/>
        <w:gridCol w:w="211"/>
        <w:gridCol w:w="676"/>
        <w:gridCol w:w="146"/>
        <w:gridCol w:w="146"/>
        <w:gridCol w:w="211"/>
        <w:gridCol w:w="931"/>
        <w:gridCol w:w="146"/>
        <w:gridCol w:w="146"/>
        <w:gridCol w:w="239"/>
        <w:gridCol w:w="391"/>
        <w:gridCol w:w="146"/>
        <w:gridCol w:w="146"/>
        <w:gridCol w:w="211"/>
        <w:gridCol w:w="931"/>
        <w:gridCol w:w="391"/>
      </w:tblGrid>
      <w:tr>
        <w:trPr/>
        <w:tc>
          <w:tcPr>
            <w:tcW w:w="3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77" w:type="dxa"/>
            <w:gridSpan w:val="14"/>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31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77" w:type="dxa"/>
            <w:gridSpan w:val="14"/>
            <w:tcBorders/>
            <w:shd w:fill="CFF0FC"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CFF0FC" w:val="clear"/>
            <w:vAlign w:val="center"/>
          </w:tcPr>
          <w:p>
            <w:pPr>
              <w:pStyle w:val="TableContents"/>
              <w:bidi w:val="0"/>
              <w:spacing w:before="0" w:after="283"/>
              <w:jc w:val="center"/>
              <w:rPr/>
            </w:pPr>
            <w:r>
              <w:rPr/>
              <w:t> </w:t>
            </w:r>
          </w:p>
        </w:tc>
      </w:tr>
      <w:tr>
        <w:trPr/>
        <w:tc>
          <w:tcPr>
            <w:tcW w:w="31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equivalents and investments:</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314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Money market funds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11,518</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14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Commercial paper</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16,036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16,036</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14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Corporate bonds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261,918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261,918</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14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U.S. Government agency securities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39,965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39,965</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14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U.S. Treasury securities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876,534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876,534</w:t>
            </w:r>
          </w:p>
        </w:tc>
        <w:tc>
          <w:tcPr>
            <w:tcW w:w="391" w:type="dxa"/>
            <w:tcBorders/>
            <w:shd w:fill="CFF0FC" w:val="clear"/>
            <w:vAlign w:val="center"/>
          </w:tcPr>
          <w:p>
            <w:pPr>
              <w:pStyle w:val="TableContents"/>
              <w:bidi w:val="0"/>
              <w:spacing w:before="0" w:after="283"/>
              <w:jc w:val="left"/>
              <w:rPr/>
            </w:pPr>
            <w:r>
              <w:rPr/>
              <w:t> </w:t>
            </w:r>
          </w:p>
        </w:tc>
      </w:tr>
      <w:tr>
        <w:trPr/>
        <w:tc>
          <w:tcPr>
            <w:tcW w:w="31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Restricted cash:</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3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314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Money market funds</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3,153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1,197,606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1,209,124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sz w:val="20"/>
        </w:rPr>
      </w:pPr>
      <w:r>
        <w:rPr>
          <w:rFonts w:ascii="Times New Roman" w:hAnsi="Times New Roman"/>
          <w:b w:val="false"/>
          <w:color w:val="000000"/>
          <w:sz w:val="20"/>
        </w:rPr>
        <w:t>The Company considers all highly liquid investments purchased with an original maturity of three months or less to be cash equivalents. The fair value of the Company’s investments in certain money market funds is their face value and such instruments are classified as Level 1 and are included in cash and cash equivalents on the consolidated balance sheets. At September 30, 2023 and December 31, 2022, Level 2 securities were priced by pricing vendors. These pricing vendors utilize the most recent observable market information in pricing these securities or, if specific prices are not available for these securities, use other observable inputs like market transactions involving identical or comparable securities.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As of September 30, 2023, the fair value of the 2025 Notes was $818.5</w:t>
      </w:r>
      <w:r>
        <w:rPr>
          <w:rFonts w:ascii="Times New Roman" w:hAnsi="Times New Roman"/>
          <w:color w:val="000000"/>
          <w:sz w:val="20"/>
        </w:rPr>
        <w:t xml:space="preserve"> </w:t>
      </w:r>
      <w:r>
        <w:rPr>
          <w:rFonts w:ascii="Times New Roman" w:hAnsi="Times New Roman"/>
          <w:b w:val="false"/>
          <w:color w:val="000000"/>
          <w:sz w:val="20"/>
        </w:rPr>
        <w:t>million. The fair value was determined based on the quoted price of the 2025 Notes in an inactive market on the last trading day of the reporting period and has been classified as Level 2 within the fair value hierarchy.</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For certain other financial instruments, including accounts receivable, accounts payable, and other current liabilities, the carrying amounts approximate their fair value due to the relatively short maturity of these balances.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Restricted cash is comprised of money market funds related to landlord guarantees for leased facilities. These restricted cash balances have been excluded from our cash and cash equivalents balance on our consolidated balance sheets.</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Strategic investments consist of non-controlling equity and debt investments in privately held companies. The Company elected the measurement alternative for these investments without readily determinable fair values and for which the Company does not have the ability to exercise significant influence. These investments are accounted for under the cost method of accounting. Under the cost method of accounting, the non-marketable equity securities are carried at cost less any impairment, plus or minus adjustments resulting from observable price changes in orderly transactions for the identical or a similar investment of the same issuer, which is recorded within the statement of operations. The Company holds $52.9</w:t>
      </w:r>
      <w:r>
        <w:rPr>
          <w:rFonts w:ascii="Times New Roman" w:hAnsi="Times New Roman"/>
          <w:color w:val="000000"/>
          <w:sz w:val="20"/>
        </w:rPr>
        <w:t xml:space="preserve"> </w:t>
      </w:r>
      <w:r>
        <w:rPr>
          <w:rFonts w:ascii="Times New Roman" w:hAnsi="Times New Roman"/>
          <w:b w:val="false"/>
          <w:color w:val="000000"/>
          <w:sz w:val="20"/>
        </w:rPr>
        <w:t>million of strategic investments without readily determinable fair values at September 30, 2023 and $43.6</w:t>
      </w:r>
      <w:r>
        <w:rPr>
          <w:rFonts w:ascii="Times New Roman" w:hAnsi="Times New Roman"/>
          <w:color w:val="000000"/>
          <w:sz w:val="20"/>
        </w:rPr>
        <w:t xml:space="preserve"> </w:t>
      </w:r>
      <w:r>
        <w:rPr>
          <w:rFonts w:ascii="Times New Roman" w:hAnsi="Times New Roman"/>
          <w:b w:val="false"/>
          <w:color w:val="000000"/>
          <w:sz w:val="20"/>
        </w:rPr>
        <w:t>million of strategic investments without readily determinable fair values at December 31, 2022. These investments are included in other assets on the consolidated balance sheets.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During the nine months ended September 30, 2022, an acquisition of an entity in which the Company held a strategic investment was completed, which resulted in an observable price change. The Company adjusted the fair value of its investment and recognized a gain of $4.2</w:t>
      </w:r>
      <w:r>
        <w:rPr>
          <w:rFonts w:ascii="Times New Roman" w:hAnsi="Times New Roman"/>
          <w:color w:val="000000"/>
          <w:sz w:val="20"/>
        </w:rPr>
        <w:t xml:space="preserve"> </w:t>
      </w:r>
      <w:r>
        <w:rPr>
          <w:rFonts w:ascii="Times New Roman" w:hAnsi="Times New Roman"/>
          <w:b w:val="false"/>
          <w:color w:val="000000"/>
          <w:sz w:val="20"/>
        </w:rPr>
        <w:t>million reported in the consolidated statements of operations as other income. There were no other material adjustments to the carrying value of the strategic investments resulting from impairments or observable price changes in the three and nine months ended September 30, 2023 and 2022.</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The following tables summarize the composition of our short- and long-term investments at September 30, 2023 and December 31, 2022.</w:t>
      </w:r>
      <w:r>
        <w:rPr>
          <w:rFonts w:ascii="Times New Roman" w:hAnsi="Times New Roman"/>
          <w:color w:val="000000"/>
          <w:sz w:val="20"/>
        </w:rPr>
        <w:t xml:space="preserve"> </w:t>
      </w:r>
    </w:p>
    <w:tbl>
      <w:tblPr>
        <w:tblW w:w="8630" w:type="dxa"/>
        <w:jc w:val="left"/>
        <w:tblInd w:w="0" w:type="dxa"/>
        <w:tblLayout w:type="fixed"/>
        <w:tblCellMar>
          <w:top w:w="28" w:type="dxa"/>
          <w:left w:w="28" w:type="dxa"/>
          <w:bottom w:w="28" w:type="dxa"/>
          <w:right w:w="28" w:type="dxa"/>
        </w:tblCellMar>
      </w:tblPr>
      <w:tblGrid>
        <w:gridCol w:w="2941"/>
        <w:gridCol w:w="346"/>
        <w:gridCol w:w="211"/>
        <w:gridCol w:w="931"/>
        <w:gridCol w:w="146"/>
        <w:gridCol w:w="146"/>
        <w:gridCol w:w="335"/>
        <w:gridCol w:w="551"/>
        <w:gridCol w:w="146"/>
        <w:gridCol w:w="146"/>
        <w:gridCol w:w="222"/>
        <w:gridCol w:w="664"/>
        <w:gridCol w:w="166"/>
        <w:gridCol w:w="146"/>
        <w:gridCol w:w="211"/>
        <w:gridCol w:w="931"/>
        <w:gridCol w:w="391"/>
      </w:tblGrid>
      <w:tr>
        <w:trPr/>
        <w:tc>
          <w:tcPr>
            <w:tcW w:w="29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pPr>
            <w:r>
              <w:rPr/>
              <w:t> </w:t>
            </w:r>
          </w:p>
        </w:tc>
        <w:tc>
          <w:tcPr>
            <w:tcW w:w="49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pPr>
            <w:r>
              <w:rPr/>
              <w:t> </w:t>
            </w:r>
          </w:p>
        </w:tc>
        <w:tc>
          <w:tcPr>
            <w:tcW w:w="4952"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29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Commercial paper</w:t>
            </w:r>
          </w:p>
        </w:tc>
        <w:tc>
          <w:tcPr>
            <w:tcW w:w="3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12,892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5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6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12,892</w:t>
            </w:r>
          </w:p>
        </w:tc>
        <w:tc>
          <w:tcPr>
            <w:tcW w:w="391" w:type="dxa"/>
            <w:tcBorders/>
            <w:shd w:fill="CFF0FC" w:val="clear"/>
            <w:vAlign w:val="center"/>
          </w:tcPr>
          <w:p>
            <w:pPr>
              <w:pStyle w:val="TableContents"/>
              <w:bidi w:val="0"/>
              <w:spacing w:before="0" w:after="283"/>
              <w:jc w:val="left"/>
              <w:rPr/>
            </w:pPr>
            <w:r>
              <w:rPr/>
              <w:t> </w:t>
            </w:r>
          </w:p>
        </w:tc>
      </w:tr>
      <w:tr>
        <w:trPr/>
        <w:tc>
          <w:tcPr>
            <w:tcW w:w="29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Corporate bonds</w:t>
            </w:r>
          </w:p>
        </w:tc>
        <w:tc>
          <w:tcPr>
            <w:tcW w:w="3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229,363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(2,208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227,155</w:t>
            </w:r>
          </w:p>
        </w:tc>
        <w:tc>
          <w:tcPr>
            <w:tcW w:w="391" w:type="dxa"/>
            <w:tcBorders/>
            <w:shd w:fill="FFFFFF" w:val="clear"/>
            <w:vAlign w:val="center"/>
          </w:tcPr>
          <w:p>
            <w:pPr>
              <w:pStyle w:val="TableContents"/>
              <w:bidi w:val="0"/>
              <w:spacing w:before="0" w:after="283"/>
              <w:jc w:val="left"/>
              <w:rPr/>
            </w:pPr>
            <w:r>
              <w:rPr/>
              <w:t> </w:t>
            </w:r>
          </w:p>
        </w:tc>
      </w:tr>
      <w:tr>
        <w:trPr/>
        <w:tc>
          <w:tcPr>
            <w:tcW w:w="29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U.S. Government agency securities</w:t>
            </w:r>
          </w:p>
        </w:tc>
        <w:tc>
          <w:tcPr>
            <w:tcW w:w="3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86,755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pPr>
            <w:r>
              <w:rPr/>
              <w:t> </w:t>
            </w:r>
          </w:p>
        </w:tc>
        <w:tc>
          <w:tcPr>
            <w:tcW w:w="55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85,894</w:t>
            </w:r>
          </w:p>
        </w:tc>
        <w:tc>
          <w:tcPr>
            <w:tcW w:w="391" w:type="dxa"/>
            <w:tcBorders/>
            <w:shd w:fill="CFF0FC" w:val="clear"/>
            <w:vAlign w:val="center"/>
          </w:tcPr>
          <w:p>
            <w:pPr>
              <w:pStyle w:val="TableContents"/>
              <w:bidi w:val="0"/>
              <w:spacing w:before="0" w:after="283"/>
              <w:jc w:val="left"/>
              <w:rPr/>
            </w:pPr>
            <w:r>
              <w:rPr/>
              <w:t> </w:t>
            </w:r>
          </w:p>
        </w:tc>
      </w:tr>
      <w:tr>
        <w:trPr/>
        <w:tc>
          <w:tcPr>
            <w:tcW w:w="29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U.S. Treasury securities</w:t>
            </w:r>
          </w:p>
        </w:tc>
        <w:tc>
          <w:tcPr>
            <w:tcW w:w="3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887,854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886,446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Total</w:t>
            </w:r>
          </w:p>
        </w:tc>
        <w:tc>
          <w:tcPr>
            <w:tcW w:w="346" w:type="dxa"/>
            <w:tcBorders/>
            <w:shd w:fill="CFF0FC" w:val="clear"/>
            <w:vAlign w:val="center"/>
          </w:tcPr>
          <w:p>
            <w:pPr>
              <w:pStyle w:val="TableContents"/>
              <w:bidi w:val="0"/>
              <w:spacing w:before="0" w:after="283"/>
              <w:ind w:left="200" w:right="0" w:firstLine="20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1,216,864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1,212,387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pPr>
      <w:r>
        <w:rPr/>
        <w:t> </w:t>
      </w:r>
    </w:p>
    <w:tbl>
      <w:tblPr>
        <w:tblW w:w="8630" w:type="dxa"/>
        <w:jc w:val="left"/>
        <w:tblInd w:w="0" w:type="dxa"/>
        <w:tblLayout w:type="fixed"/>
        <w:tblCellMar>
          <w:top w:w="28" w:type="dxa"/>
          <w:left w:w="28" w:type="dxa"/>
          <w:bottom w:w="28" w:type="dxa"/>
          <w:right w:w="28" w:type="dxa"/>
        </w:tblCellMar>
      </w:tblPr>
      <w:tblGrid>
        <w:gridCol w:w="2941"/>
        <w:gridCol w:w="346"/>
        <w:gridCol w:w="211"/>
        <w:gridCol w:w="931"/>
        <w:gridCol w:w="146"/>
        <w:gridCol w:w="146"/>
        <w:gridCol w:w="335"/>
        <w:gridCol w:w="551"/>
        <w:gridCol w:w="146"/>
        <w:gridCol w:w="146"/>
        <w:gridCol w:w="222"/>
        <w:gridCol w:w="664"/>
        <w:gridCol w:w="166"/>
        <w:gridCol w:w="146"/>
        <w:gridCol w:w="211"/>
        <w:gridCol w:w="931"/>
        <w:gridCol w:w="391"/>
      </w:tblGrid>
      <w:tr>
        <w:trPr/>
        <w:tc>
          <w:tcPr>
            <w:tcW w:w="29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pPr>
            <w:r>
              <w:rPr/>
              <w:t> </w:t>
            </w:r>
          </w:p>
        </w:tc>
        <w:tc>
          <w:tcPr>
            <w:tcW w:w="49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pPr>
            <w:r>
              <w:rPr/>
              <w:t> </w:t>
            </w:r>
          </w:p>
        </w:tc>
        <w:tc>
          <w:tcPr>
            <w:tcW w:w="4952"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29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Commercial paper</w:t>
            </w:r>
          </w:p>
        </w:tc>
        <w:tc>
          <w:tcPr>
            <w:tcW w:w="3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16,036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5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6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16,036</w:t>
            </w:r>
          </w:p>
        </w:tc>
        <w:tc>
          <w:tcPr>
            <w:tcW w:w="391" w:type="dxa"/>
            <w:tcBorders/>
            <w:shd w:fill="CFF0FC" w:val="clear"/>
            <w:vAlign w:val="center"/>
          </w:tcPr>
          <w:p>
            <w:pPr>
              <w:pStyle w:val="TableContents"/>
              <w:bidi w:val="0"/>
              <w:spacing w:before="0" w:after="283"/>
              <w:jc w:val="left"/>
              <w:rPr/>
            </w:pPr>
            <w:r>
              <w:rPr/>
              <w:t> </w:t>
            </w:r>
          </w:p>
        </w:tc>
      </w:tr>
      <w:tr>
        <w:trPr/>
        <w:tc>
          <w:tcPr>
            <w:tcW w:w="29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Corporate bonds</w:t>
            </w:r>
          </w:p>
        </w:tc>
        <w:tc>
          <w:tcPr>
            <w:tcW w:w="3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265,875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(3,966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261,918</w:t>
            </w:r>
          </w:p>
        </w:tc>
        <w:tc>
          <w:tcPr>
            <w:tcW w:w="391" w:type="dxa"/>
            <w:tcBorders/>
            <w:shd w:fill="FFFFFF" w:val="clear"/>
            <w:vAlign w:val="center"/>
          </w:tcPr>
          <w:p>
            <w:pPr>
              <w:pStyle w:val="TableContents"/>
              <w:bidi w:val="0"/>
              <w:spacing w:before="0" w:after="283"/>
              <w:jc w:val="left"/>
              <w:rPr/>
            </w:pPr>
            <w:r>
              <w:rPr/>
              <w:t> </w:t>
            </w:r>
          </w:p>
        </w:tc>
      </w:tr>
      <w:tr>
        <w:trPr/>
        <w:tc>
          <w:tcPr>
            <w:tcW w:w="29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U.S. Government agency securities</w:t>
            </w:r>
          </w:p>
        </w:tc>
        <w:tc>
          <w:tcPr>
            <w:tcW w:w="3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40,908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5" w:type="dxa"/>
            <w:tcBorders/>
            <w:shd w:fill="CFF0FC" w:val="clear"/>
            <w:vAlign w:val="center"/>
          </w:tcPr>
          <w:p>
            <w:pPr>
              <w:pStyle w:val="TableContents"/>
              <w:bidi w:val="0"/>
              <w:spacing w:before="0" w:after="283"/>
              <w:jc w:val="left"/>
              <w:rPr/>
            </w:pPr>
            <w:r>
              <w:rPr/>
              <w:t> </w:t>
            </w:r>
          </w:p>
        </w:tc>
        <w:tc>
          <w:tcPr>
            <w:tcW w:w="55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39,965</w:t>
            </w:r>
          </w:p>
        </w:tc>
        <w:tc>
          <w:tcPr>
            <w:tcW w:w="391" w:type="dxa"/>
            <w:tcBorders/>
            <w:shd w:fill="CFF0FC" w:val="clear"/>
            <w:vAlign w:val="center"/>
          </w:tcPr>
          <w:p>
            <w:pPr>
              <w:pStyle w:val="TableContents"/>
              <w:bidi w:val="0"/>
              <w:spacing w:before="0" w:after="283"/>
              <w:jc w:val="left"/>
              <w:rPr/>
            </w:pPr>
            <w:r>
              <w:rPr/>
              <w:t> </w:t>
            </w:r>
          </w:p>
        </w:tc>
      </w:tr>
      <w:tr>
        <w:trPr/>
        <w:tc>
          <w:tcPr>
            <w:tcW w:w="29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U.S. Treasury securities</w:t>
            </w:r>
          </w:p>
        </w:tc>
        <w:tc>
          <w:tcPr>
            <w:tcW w:w="3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881,428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876,534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Total</w:t>
            </w:r>
          </w:p>
        </w:tc>
        <w:tc>
          <w:tcPr>
            <w:tcW w:w="346" w:type="dxa"/>
            <w:tcBorders/>
            <w:shd w:fill="CFF0FC" w:val="clear"/>
            <w:vAlign w:val="center"/>
          </w:tcPr>
          <w:p>
            <w:pPr>
              <w:pStyle w:val="TableContents"/>
              <w:bidi w:val="0"/>
              <w:spacing w:before="0" w:after="283"/>
              <w:ind w:left="200" w:right="0" w:firstLine="20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1,204,247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1,194,453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For all of our securities for which the amortized cost basis was greater than the fair value at September 30, 2023, the Company has concluded that there is no plan to sell the security nor is it more likely than not that the Company would be required to sell the security before its anticipated recovery. In making the determination as to whether the unrealized loss is other-than-temporary, the Company considered the length of time and extent the investment has been in an unrealized loss position, the financial condition and near-term prospects of the issuers, the issuers’ credit rating and the time to maturity.</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Contractual Maturities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The contractual maturities of short-term and long-term investments held at September 30, 2023 and December 31, 2022 are as follows:</w:t>
      </w:r>
    </w:p>
    <w:tbl>
      <w:tblPr>
        <w:tblW w:w="8682" w:type="dxa"/>
        <w:jc w:val="left"/>
        <w:tblInd w:w="0" w:type="dxa"/>
        <w:tblLayout w:type="fixed"/>
        <w:tblCellMar>
          <w:top w:w="28" w:type="dxa"/>
          <w:left w:w="28" w:type="dxa"/>
          <w:bottom w:w="28" w:type="dxa"/>
          <w:right w:w="28" w:type="dxa"/>
        </w:tblCellMar>
      </w:tblPr>
      <w:tblGrid>
        <w:gridCol w:w="2701"/>
        <w:gridCol w:w="146"/>
        <w:gridCol w:w="211"/>
        <w:gridCol w:w="931"/>
        <w:gridCol w:w="146"/>
        <w:gridCol w:w="146"/>
        <w:gridCol w:w="211"/>
        <w:gridCol w:w="931"/>
        <w:gridCol w:w="146"/>
        <w:gridCol w:w="146"/>
        <w:gridCol w:w="211"/>
        <w:gridCol w:w="931"/>
        <w:gridCol w:w="146"/>
        <w:gridCol w:w="146"/>
        <w:gridCol w:w="211"/>
        <w:gridCol w:w="931"/>
        <w:gridCol w:w="3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7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27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Due within one year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1,064,497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1,061,526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1,089,250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1,081,662</w:t>
            </w:r>
          </w:p>
        </w:tc>
        <w:tc>
          <w:tcPr>
            <w:tcW w:w="391" w:type="dxa"/>
            <w:tcBorders/>
            <w:shd w:fill="CFF0FC" w:val="cle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Due after 1 year through 2 years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152,367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150,861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114,997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112,791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0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1,216,864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1,212,387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1,204,247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1,194,453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pPr>
      <w:r>
        <w:rPr/>
        <w:t> </w:t>
      </w:r>
    </w:p>
    <w:p>
      <w:pPr>
        <w:pStyle w:val="TextBody"/>
        <w:bidi w:val="0"/>
        <w:spacing w:before="200" w:after="283"/>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5. Restricted Cash</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The following table provides a reconciliation of cash, cash equivalents, and restricted cash reported within the consolidated balance sheets that sum to the total of the same such amounts shown in the statement of cash flows for the three months ended September 30, 2023 and 2022.</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602"/>
        <w:gridCol w:w="146"/>
        <w:gridCol w:w="327"/>
        <w:gridCol w:w="1214"/>
        <w:gridCol w:w="146"/>
        <w:gridCol w:w="146"/>
        <w:gridCol w:w="327"/>
        <w:gridCol w:w="1214"/>
        <w:gridCol w:w="146"/>
        <w:gridCol w:w="146"/>
        <w:gridCol w:w="318"/>
        <w:gridCol w:w="1178"/>
        <w:gridCol w:w="295"/>
      </w:tblGrid>
      <w:tr>
        <w:trPr/>
        <w:tc>
          <w:tcPr>
            <w:tcW w:w="46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460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62"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95" w:type="dxa"/>
            <w:tcBorders/>
            <w:shd w:fill="FFFFFF" w:val="clear"/>
            <w:vAlign w:val="center"/>
          </w:tcPr>
          <w:p>
            <w:pPr>
              <w:pStyle w:val="TableContents"/>
              <w:bidi w:val="0"/>
              <w:spacing w:before="0" w:after="283"/>
              <w:jc w:val="center"/>
              <w:rPr/>
            </w:pPr>
            <w:r>
              <w:rPr/>
              <w:t> </w:t>
            </w:r>
          </w:p>
        </w:tc>
      </w:tr>
      <w:tr>
        <w:trPr/>
        <w:tc>
          <w:tcPr>
            <w:tcW w:w="460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32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1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535,545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1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331,659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331,022</w:t>
            </w:r>
          </w:p>
        </w:tc>
        <w:tc>
          <w:tcPr>
            <w:tcW w:w="295" w:type="dxa"/>
            <w:tcBorders/>
            <w:shd w:fill="CFF0FC" w:val="clear"/>
            <w:vAlign w:val="center"/>
          </w:tcPr>
          <w:p>
            <w:pPr>
              <w:pStyle w:val="TableContents"/>
              <w:bidi w:val="0"/>
              <w:spacing w:before="0" w:after="283"/>
              <w:jc w:val="left"/>
              <w:rPr/>
            </w:pPr>
            <w:r>
              <w:rPr/>
              <w:t> </w:t>
            </w:r>
          </w:p>
        </w:tc>
      </w:tr>
      <w:tr>
        <w:trPr/>
        <w:tc>
          <w:tcPr>
            <w:tcW w:w="460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Restricted cash, included in prepaid expenses</w:t>
            </w:r>
            <w:r>
              <w:rPr>
                <w:rFonts w:ascii="Times New Roman" w:hAnsi="Times New Roman"/>
                <w:color w:val="000000"/>
                <w:sz w:val="20"/>
              </w:rPr>
              <w:t> </w:t>
            </w:r>
            <w:r>
              <w:rPr>
                <w:rFonts w:ascii="Times New Roman" w:hAnsi="Times New Roman"/>
                <w:b w:val="false"/>
                <w:color w:val="000000"/>
                <w:sz w:val="20"/>
              </w:rPr>
              <w:t>and other</w:t>
              <w:br/>
              <w:t>   current assets and other assets</w:t>
            </w:r>
          </w:p>
        </w:tc>
        <w:tc>
          <w:tcPr>
            <w:tcW w:w="146" w:type="dxa"/>
            <w:tcBorders/>
            <w:shd w:fill="FFFFFF" w:val="clear"/>
            <w:vAlign w:val="center"/>
          </w:tcPr>
          <w:p>
            <w:pPr>
              <w:pStyle w:val="TableContents"/>
              <w:bidi w:val="0"/>
              <w:spacing w:before="0" w:after="283"/>
              <w:jc w:val="left"/>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3,153</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602"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Total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538,698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334,688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334,175</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6. Property and Equipment, Net</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Property and equipment, net consists of the following:</w:t>
        <w:br/>
      </w:r>
      <w:r>
        <w:rPr>
          <w:rFonts w:ascii="Times New Roman" w:hAnsi="Times New Roman"/>
          <w:color w:val="000000"/>
          <w:sz w:val="20"/>
        </w:rPr>
        <w:t> </w:t>
      </w:r>
    </w:p>
    <w:tbl>
      <w:tblPr>
        <w:tblW w:w="7695" w:type="dxa"/>
        <w:jc w:val="left"/>
        <w:tblInd w:w="0" w:type="dxa"/>
        <w:tblLayout w:type="fixed"/>
        <w:tblCellMar>
          <w:top w:w="28" w:type="dxa"/>
          <w:left w:w="28" w:type="dxa"/>
          <w:bottom w:w="28" w:type="dxa"/>
          <w:right w:w="28" w:type="dxa"/>
        </w:tblCellMar>
      </w:tblPr>
      <w:tblGrid>
        <w:gridCol w:w="3781"/>
        <w:gridCol w:w="146"/>
        <w:gridCol w:w="310"/>
        <w:gridCol w:w="1235"/>
        <w:gridCol w:w="166"/>
        <w:gridCol w:w="146"/>
        <w:gridCol w:w="301"/>
        <w:gridCol w:w="1199"/>
        <w:gridCol w:w="411"/>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7"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vAlign w:val="center"/>
          </w:tcPr>
          <w:p>
            <w:pPr>
              <w:pStyle w:val="TableContents"/>
              <w:bidi w:val="0"/>
              <w:spacing w:before="0" w:after="283"/>
              <w:jc w:val="center"/>
              <w:rPr/>
            </w:pPr>
            <w:r>
              <w:rPr/>
              <w:t> </w:t>
            </w:r>
          </w:p>
        </w:tc>
      </w:tr>
      <w:tr>
        <w:trPr/>
        <w:tc>
          <w:tcPr>
            <w:tcW w:w="37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Computer equipment and purchased software</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16,029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9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17,710</w:t>
            </w:r>
          </w:p>
        </w:tc>
        <w:tc>
          <w:tcPr>
            <w:tcW w:w="411" w:type="dxa"/>
            <w:tcBorders/>
            <w:shd w:fill="CFF0FC" w:val="clear"/>
            <w:vAlign w:val="center"/>
          </w:tcPr>
          <w:p>
            <w:pPr>
              <w:pStyle w:val="TableContents"/>
              <w:bidi w:val="0"/>
              <w:spacing w:before="0" w:after="283"/>
              <w:jc w:val="left"/>
              <w:rPr/>
            </w:pPr>
            <w:r>
              <w:rPr/>
              <w:t> </w:t>
            </w:r>
          </w:p>
        </w:tc>
      </w:tr>
      <w:tr>
        <w:trPr/>
        <w:tc>
          <w:tcPr>
            <w:tcW w:w="37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Employee related computer equipment</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46,966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46,399</w:t>
            </w:r>
          </w:p>
        </w:tc>
        <w:tc>
          <w:tcPr>
            <w:tcW w:w="411" w:type="dxa"/>
            <w:tcBorders/>
            <w:shd w:fill="FFFFFF" w:val="clear"/>
            <w:vAlign w:val="center"/>
          </w:tcPr>
          <w:p>
            <w:pPr>
              <w:pStyle w:val="TableContents"/>
              <w:bidi w:val="0"/>
              <w:spacing w:before="0" w:after="283"/>
              <w:jc w:val="left"/>
              <w:rPr/>
            </w:pPr>
            <w:r>
              <w:rPr/>
              <w:t> </w:t>
            </w:r>
          </w:p>
        </w:tc>
      </w:tr>
      <w:tr>
        <w:trPr/>
        <w:tc>
          <w:tcPr>
            <w:tcW w:w="37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Furniture and fixtures</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12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19,780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1" w:type="dxa"/>
            <w:tcBorders/>
            <w:shd w:fill="CFF0FC" w:val="clear"/>
            <w:vAlign w:val="center"/>
          </w:tcPr>
          <w:p>
            <w:pPr>
              <w:pStyle w:val="TableContents"/>
              <w:bidi w:val="0"/>
              <w:spacing w:before="0" w:after="283"/>
              <w:jc w:val="left"/>
              <w:rPr/>
            </w:pPr>
            <w:r>
              <w:rPr/>
              <w:t> </w:t>
            </w:r>
          </w:p>
        </w:tc>
        <w:tc>
          <w:tcPr>
            <w:tcW w:w="119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21,232</w:t>
            </w:r>
          </w:p>
        </w:tc>
        <w:tc>
          <w:tcPr>
            <w:tcW w:w="411" w:type="dxa"/>
            <w:tcBorders/>
            <w:shd w:fill="CFF0FC" w:val="clear"/>
            <w:vAlign w:val="center"/>
          </w:tcPr>
          <w:p>
            <w:pPr>
              <w:pStyle w:val="TableContents"/>
              <w:bidi w:val="0"/>
              <w:spacing w:before="0" w:after="283"/>
              <w:jc w:val="left"/>
              <w:rPr/>
            </w:pPr>
            <w:r>
              <w:rPr/>
              <w:t> </w:t>
            </w:r>
          </w:p>
        </w:tc>
      </w:tr>
      <w:tr>
        <w:trPr/>
        <w:tc>
          <w:tcPr>
            <w:tcW w:w="37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Leasehold improvements</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101,519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98,427</w:t>
            </w:r>
          </w:p>
        </w:tc>
        <w:tc>
          <w:tcPr>
            <w:tcW w:w="411" w:type="dxa"/>
            <w:tcBorders/>
            <w:shd w:fill="FFFFFF" w:val="clear"/>
            <w:vAlign w:val="center"/>
          </w:tcPr>
          <w:p>
            <w:pPr>
              <w:pStyle w:val="TableContents"/>
              <w:bidi w:val="0"/>
              <w:spacing w:before="0" w:after="283"/>
              <w:jc w:val="left"/>
              <w:rPr/>
            </w:pPr>
            <w:r>
              <w:rPr/>
              <w:t> </w:t>
            </w:r>
          </w:p>
        </w:tc>
      </w:tr>
      <w:tr>
        <w:trPr/>
        <w:tc>
          <w:tcPr>
            <w:tcW w:w="37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Internal-use software</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12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43,924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1" w:type="dxa"/>
            <w:tcBorders/>
            <w:shd w:fill="CFF0FC" w:val="clear"/>
            <w:vAlign w:val="center"/>
          </w:tcPr>
          <w:p>
            <w:pPr>
              <w:pStyle w:val="TableContents"/>
              <w:bidi w:val="0"/>
              <w:spacing w:before="0" w:after="283"/>
              <w:jc w:val="left"/>
              <w:rPr/>
            </w:pPr>
            <w:r>
              <w:rPr/>
              <w:t> </w:t>
            </w:r>
          </w:p>
        </w:tc>
        <w:tc>
          <w:tcPr>
            <w:tcW w:w="119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32,205</w:t>
            </w:r>
          </w:p>
        </w:tc>
        <w:tc>
          <w:tcPr>
            <w:tcW w:w="411" w:type="dxa"/>
            <w:tcBorders/>
            <w:shd w:fill="CFF0FC" w:val="clear"/>
            <w:vAlign w:val="center"/>
          </w:tcPr>
          <w:p>
            <w:pPr>
              <w:pStyle w:val="TableContents"/>
              <w:bidi w:val="0"/>
              <w:spacing w:before="0" w:after="283"/>
              <w:jc w:val="left"/>
              <w:rPr/>
            </w:pPr>
            <w:r>
              <w:rPr/>
              <w:t> </w:t>
            </w:r>
          </w:p>
        </w:tc>
      </w:tr>
      <w:tr>
        <w:trPr/>
        <w:tc>
          <w:tcPr>
            <w:tcW w:w="37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Construction in progress</w:t>
            </w:r>
          </w:p>
        </w:tc>
        <w:tc>
          <w:tcPr>
            <w:tcW w:w="146" w:type="dxa"/>
            <w:tcBorders/>
            <w:shd w:fill="FFFFFF" w:val="cle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1,699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8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property and equipment</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12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241,601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1" w:type="dxa"/>
            <w:tcBorders/>
            <w:shd w:fill="CFF0FC" w:val="clear"/>
            <w:vAlign w:val="center"/>
          </w:tcPr>
          <w:p>
            <w:pPr>
              <w:pStyle w:val="TableContents"/>
              <w:bidi w:val="0"/>
              <w:spacing w:before="0" w:after="283"/>
              <w:jc w:val="left"/>
              <w:rPr/>
            </w:pPr>
            <w:r>
              <w:rPr/>
              <w:t> </w:t>
            </w:r>
          </w:p>
        </w:tc>
        <w:tc>
          <w:tcPr>
            <w:tcW w:w="119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217,672</w:t>
            </w:r>
          </w:p>
        </w:tc>
        <w:tc>
          <w:tcPr>
            <w:tcW w:w="411" w:type="dxa"/>
            <w:tcBorders/>
            <w:shd w:fill="CFF0FC" w:val="clear"/>
            <w:vAlign w:val="center"/>
          </w:tcPr>
          <w:p>
            <w:pPr>
              <w:pStyle w:val="TableContents"/>
              <w:bidi w:val="0"/>
              <w:spacing w:before="0" w:after="283"/>
              <w:jc w:val="left"/>
              <w:rPr/>
            </w:pPr>
            <w:r>
              <w:rPr/>
              <w:t> </w:t>
            </w:r>
          </w:p>
        </w:tc>
      </w:tr>
      <w:tr>
        <w:trPr/>
        <w:tc>
          <w:tcPr>
            <w:tcW w:w="37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Less accumulated depreciation</w:t>
            </w:r>
          </w:p>
        </w:tc>
        <w:tc>
          <w:tcPr>
            <w:tcW w:w="146" w:type="dxa"/>
            <w:tcBorders/>
            <w:shd w:fill="FFFFFF" w:val="cle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(136,652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(112,445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78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104,949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105,227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sz w:val="20"/>
        </w:rPr>
      </w:pPr>
      <w:r>
        <w:rPr>
          <w:rFonts w:ascii="Times New Roman" w:hAnsi="Times New Roman"/>
          <w:b w:val="false"/>
          <w:color w:val="000000"/>
          <w:sz w:val="20"/>
        </w:rPr>
        <w:t>Depreciation and amortization expense on property and equipment was $7.7</w:t>
      </w:r>
      <w:r>
        <w:rPr>
          <w:rFonts w:ascii="Times New Roman" w:hAnsi="Times New Roman"/>
          <w:color w:val="000000"/>
          <w:sz w:val="20"/>
        </w:rPr>
        <w:t xml:space="preserve"> </w:t>
      </w:r>
      <w:r>
        <w:rPr>
          <w:rFonts w:ascii="Times New Roman" w:hAnsi="Times New Roman"/>
          <w:b w:val="false"/>
          <w:color w:val="000000"/>
          <w:sz w:val="20"/>
        </w:rPr>
        <w:t>million for the three months ended September 30, 2023, $21.8</w:t>
      </w:r>
      <w:r>
        <w:rPr>
          <w:rFonts w:ascii="Times New Roman" w:hAnsi="Times New Roman"/>
          <w:color w:val="000000"/>
          <w:sz w:val="20"/>
        </w:rPr>
        <w:t xml:space="preserve"> </w:t>
      </w:r>
      <w:r>
        <w:rPr>
          <w:rFonts w:ascii="Times New Roman" w:hAnsi="Times New Roman"/>
          <w:b w:val="false"/>
          <w:color w:val="000000"/>
          <w:sz w:val="20"/>
        </w:rPr>
        <w:t>million for the nine months ended September 30, 2023, $7.4</w:t>
      </w:r>
      <w:r>
        <w:rPr>
          <w:rFonts w:ascii="Times New Roman" w:hAnsi="Times New Roman"/>
          <w:color w:val="000000"/>
          <w:sz w:val="20"/>
        </w:rPr>
        <w:t xml:space="preserve"> </w:t>
      </w:r>
      <w:r>
        <w:rPr>
          <w:rFonts w:ascii="Times New Roman" w:hAnsi="Times New Roman"/>
          <w:b w:val="false"/>
          <w:color w:val="000000"/>
          <w:sz w:val="20"/>
        </w:rPr>
        <w:t>million for the three months ended September 30, 2022, and $20.6</w:t>
      </w:r>
      <w:r>
        <w:rPr>
          <w:rFonts w:ascii="Times New Roman" w:hAnsi="Times New Roman"/>
          <w:color w:val="000000"/>
          <w:sz w:val="20"/>
        </w:rPr>
        <w:t xml:space="preserve"> </w:t>
      </w:r>
      <w:r>
        <w:rPr>
          <w:rFonts w:ascii="Times New Roman" w:hAnsi="Times New Roman"/>
          <w:b w:val="false"/>
          <w:color w:val="000000"/>
          <w:sz w:val="20"/>
        </w:rPr>
        <w:t>million for the nine months ended September 30, 2022.</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As part of the Restructuring Plan (defined in Note 15), the Company disposed of $0.1</w:t>
      </w:r>
      <w:r>
        <w:rPr>
          <w:rFonts w:ascii="Times New Roman" w:hAnsi="Times New Roman"/>
          <w:color w:val="000000"/>
          <w:sz w:val="20"/>
        </w:rPr>
        <w:t xml:space="preserve"> </w:t>
      </w:r>
      <w:r>
        <w:rPr>
          <w:rFonts w:ascii="Times New Roman" w:hAnsi="Times New Roman"/>
          <w:b w:val="false"/>
          <w:color w:val="000000"/>
          <w:sz w:val="20"/>
        </w:rPr>
        <w:t>million of fixed assets, net, in the three months ended September 30, 2023</w:t>
      </w:r>
      <w:r>
        <w:rPr>
          <w:rFonts w:ascii="Times New Roman" w:hAnsi="Times New Roman"/>
          <w:color w:val="000000"/>
          <w:sz w:val="20"/>
        </w:rPr>
        <w:t xml:space="preserve"> </w:t>
      </w:r>
      <w:r>
        <w:rPr>
          <w:rFonts w:ascii="Times New Roman" w:hAnsi="Times New Roman"/>
          <w:b w:val="false"/>
          <w:color w:val="000000"/>
          <w:sz w:val="20"/>
        </w:rPr>
        <w:t>and $1.4</w:t>
      </w:r>
      <w:r>
        <w:rPr>
          <w:rFonts w:ascii="Times New Roman" w:hAnsi="Times New Roman"/>
          <w:color w:val="000000"/>
          <w:sz w:val="20"/>
        </w:rPr>
        <w:t xml:space="preserve"> </w:t>
      </w:r>
      <w:r>
        <w:rPr>
          <w:rFonts w:ascii="Times New Roman" w:hAnsi="Times New Roman"/>
          <w:b w:val="false"/>
          <w:color w:val="000000"/>
          <w:sz w:val="20"/>
        </w:rPr>
        <w:t>million in the nine months ended September 30, 2023. The Company also recorded accelerated depreciation expense for fixed assets in connection with the lease abandonments as part of the Restructuring Plan. See Note 15 for more information.</w:t>
      </w:r>
      <w:r>
        <w:rPr>
          <w:rFonts w:ascii="Times New Roman" w:hAnsi="Times New Roman"/>
          <w:color w:val="000000"/>
          <w:sz w:val="20"/>
        </w:rPr>
        <w:t xml:space="preserve">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7. Capitalized Software Development Costs</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 xml:space="preserve">Capitalized software development costs, exclusive of those recorded within property and equipment, consisted of the following: </w:t>
        <w:br/>
      </w:r>
      <w:r>
        <w:rPr>
          <w:rFonts w:ascii="Times New Roman" w:hAnsi="Times New Roman"/>
          <w:color w:val="000000"/>
          <w:sz w:val="20"/>
        </w:rPr>
        <w:t> </w:t>
      </w:r>
    </w:p>
    <w:tbl>
      <w:tblPr>
        <w:tblW w:w="7805" w:type="dxa"/>
        <w:jc w:val="left"/>
        <w:tblInd w:w="0" w:type="dxa"/>
        <w:tblLayout w:type="fixed"/>
        <w:tblCellMar>
          <w:top w:w="28" w:type="dxa"/>
          <w:left w:w="28" w:type="dxa"/>
          <w:bottom w:w="28" w:type="dxa"/>
          <w:right w:w="28" w:type="dxa"/>
        </w:tblCellMar>
      </w:tblPr>
      <w:tblGrid>
        <w:gridCol w:w="3891"/>
        <w:gridCol w:w="146"/>
        <w:gridCol w:w="310"/>
        <w:gridCol w:w="1235"/>
        <w:gridCol w:w="166"/>
        <w:gridCol w:w="146"/>
        <w:gridCol w:w="301"/>
        <w:gridCol w:w="1199"/>
        <w:gridCol w:w="411"/>
      </w:tblGrid>
      <w:tr>
        <w:trPr/>
        <w:tc>
          <w:tcPr>
            <w:tcW w:w="3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8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7"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vAlign w:val="center"/>
          </w:tcPr>
          <w:p>
            <w:pPr>
              <w:pStyle w:val="TableContents"/>
              <w:bidi w:val="0"/>
              <w:spacing w:before="0" w:after="283"/>
              <w:jc w:val="center"/>
              <w:rPr/>
            </w:pPr>
            <w:r>
              <w:rPr/>
              <w:t> </w:t>
            </w:r>
          </w:p>
        </w:tc>
      </w:tr>
      <w:tr>
        <w:trPr/>
        <w:tc>
          <w:tcPr>
            <w:tcW w:w="38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Gross capitalized software development costs</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235,146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9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174,732</w:t>
            </w:r>
          </w:p>
        </w:tc>
        <w:tc>
          <w:tcPr>
            <w:tcW w:w="411" w:type="dxa"/>
            <w:tcBorders/>
            <w:shd w:fill="CFF0FC" w:val="clear"/>
            <w:vAlign w:val="center"/>
          </w:tcPr>
          <w:p>
            <w:pPr>
              <w:pStyle w:val="TableContents"/>
              <w:bidi w:val="0"/>
              <w:spacing w:before="0" w:after="283"/>
              <w:jc w:val="left"/>
              <w:rPr/>
            </w:pPr>
            <w:r>
              <w:rPr/>
              <w:t> </w:t>
            </w:r>
          </w:p>
        </w:tc>
      </w:tr>
      <w:tr>
        <w:trPr/>
        <w:tc>
          <w:tcPr>
            <w:tcW w:w="38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Accumulated amortization</w:t>
            </w:r>
          </w:p>
        </w:tc>
        <w:tc>
          <w:tcPr>
            <w:tcW w:w="146" w:type="dxa"/>
            <w:tcBorders/>
            <w:shd w:fill="FFFFFF" w:val="cle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(138,577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(110,942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89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Capitalized software development costs, net</w:t>
            </w:r>
          </w:p>
        </w:tc>
        <w:tc>
          <w:tcPr>
            <w:tcW w:w="146" w:type="dxa"/>
            <w:tcBorders/>
            <w:shd w:fill="CFF0FC" w:val="clear"/>
            <w:vAlign w:val="center"/>
          </w:tcPr>
          <w:p>
            <w:pPr>
              <w:pStyle w:val="TableContents"/>
              <w:bidi w:val="0"/>
              <w:spacing w:before="0" w:after="283"/>
              <w:jc w:val="left"/>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96,569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63,790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sz w:val="20"/>
        </w:rPr>
      </w:pPr>
      <w:r>
        <w:rPr>
          <w:rFonts w:ascii="Times New Roman" w:hAnsi="Times New Roman"/>
          <w:b w:val="false"/>
          <w:color w:val="000000"/>
          <w:sz w:val="20"/>
        </w:rPr>
        <w:t>These capitalized software development costs are associated with software developed for customer purchase. Capitalized software development costs recorded within property and equipment are associated with software developed for Company use.</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Amortization of capitalized software development costs, exclusive of costs recorded within property and equipment, was $12.6</w:t>
      </w:r>
      <w:r>
        <w:rPr>
          <w:rFonts w:ascii="Times New Roman" w:hAnsi="Times New Roman"/>
          <w:color w:val="000000"/>
          <w:sz w:val="20"/>
        </w:rPr>
        <w:t xml:space="preserve"> </w:t>
      </w:r>
      <w:r>
        <w:rPr>
          <w:rFonts w:ascii="Times New Roman" w:hAnsi="Times New Roman"/>
          <w:b w:val="false"/>
          <w:color w:val="000000"/>
          <w:sz w:val="20"/>
        </w:rPr>
        <w:t>million for the three months ended September 30, 2023, $33.1</w:t>
      </w:r>
      <w:r>
        <w:rPr>
          <w:rFonts w:ascii="Times New Roman" w:hAnsi="Times New Roman"/>
          <w:color w:val="000000"/>
          <w:sz w:val="20"/>
        </w:rPr>
        <w:t xml:space="preserve"> </w:t>
      </w:r>
      <w:r>
        <w:rPr>
          <w:rFonts w:ascii="Times New Roman" w:hAnsi="Times New Roman"/>
          <w:b w:val="false"/>
          <w:color w:val="000000"/>
          <w:sz w:val="20"/>
        </w:rPr>
        <w:t>million for the nine months ended September 30, 2023, $8.5</w:t>
      </w:r>
      <w:r>
        <w:rPr>
          <w:rFonts w:ascii="Times New Roman" w:hAnsi="Times New Roman"/>
          <w:color w:val="000000"/>
          <w:sz w:val="20"/>
        </w:rPr>
        <w:t xml:space="preserve"> </w:t>
      </w:r>
      <w:r>
        <w:rPr>
          <w:rFonts w:ascii="Times New Roman" w:hAnsi="Times New Roman"/>
          <w:b w:val="false"/>
          <w:color w:val="000000"/>
          <w:sz w:val="20"/>
        </w:rPr>
        <w:t>million for three months ended September 30, 2022, and $23.1</w:t>
      </w:r>
      <w:r>
        <w:rPr>
          <w:rFonts w:ascii="Times New Roman" w:hAnsi="Times New Roman"/>
          <w:color w:val="000000"/>
          <w:sz w:val="20"/>
        </w:rPr>
        <w:t xml:space="preserve"> </w:t>
      </w:r>
      <w:r>
        <w:rPr>
          <w:rFonts w:ascii="Times New Roman" w:hAnsi="Times New Roman"/>
          <w:b w:val="false"/>
          <w:color w:val="000000"/>
          <w:sz w:val="20"/>
        </w:rPr>
        <w:t>million for the nine months ended September 30, 2022.</w:t>
      </w:r>
    </w:p>
    <w:p>
      <w:pPr>
        <w:pStyle w:val="TextBody"/>
        <w:bidi w:val="0"/>
        <w:spacing w:before="40" w:after="283"/>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8. Convertible Senior Notes</w:t>
      </w:r>
    </w:p>
    <w:p>
      <w:pPr>
        <w:pStyle w:val="TextBody"/>
        <w:bidi w:val="0"/>
        <w:spacing w:before="200" w:after="283"/>
        <w:jc w:val="left"/>
        <w:rPr>
          <w:rFonts w:ascii="Times New Roman" w:hAnsi="Times New Roman"/>
          <w:sz w:val="20"/>
        </w:rPr>
      </w:pPr>
      <w:r>
        <w:rPr>
          <w:rFonts w:ascii="Times New Roman" w:hAnsi="Times New Roman"/>
          <w:b/>
          <w:i/>
          <w:color w:val="000000"/>
          <w:sz w:val="20"/>
        </w:rPr>
        <w:t>2025 Convertible Senior Notes and Capped Call Options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In June 2020, the Company issued $400</w:t>
      </w:r>
      <w:r>
        <w:rPr>
          <w:rFonts w:ascii="Times New Roman" w:hAnsi="Times New Roman"/>
          <w:color w:val="000000"/>
          <w:sz w:val="20"/>
        </w:rPr>
        <w:t xml:space="preserve"> </w:t>
      </w:r>
      <w:r>
        <w:rPr>
          <w:rFonts w:ascii="Times New Roman" w:hAnsi="Times New Roman"/>
          <w:b w:val="false"/>
          <w:color w:val="000000"/>
          <w:sz w:val="20"/>
        </w:rPr>
        <w:t>million aggregate principal amount of 0.375% convertible senior notes due June 1, 2025</w:t>
      </w:r>
      <w:r>
        <w:rPr>
          <w:rFonts w:ascii="Times New Roman" w:hAnsi="Times New Roman"/>
          <w:color w:val="000000"/>
          <w:sz w:val="20"/>
        </w:rPr>
        <w:t xml:space="preserve"> </w:t>
      </w:r>
      <w:r>
        <w:rPr>
          <w:rFonts w:ascii="Times New Roman" w:hAnsi="Times New Roman"/>
          <w:b w:val="false"/>
          <w:color w:val="000000"/>
          <w:sz w:val="20"/>
        </w:rPr>
        <w:t>(the “2025 Notes”) in a private offering and an additional $60</w:t>
      </w:r>
      <w:r>
        <w:rPr>
          <w:rFonts w:ascii="Times New Roman" w:hAnsi="Times New Roman"/>
          <w:color w:val="000000"/>
          <w:sz w:val="20"/>
        </w:rPr>
        <w:t xml:space="preserve"> </w:t>
      </w:r>
      <w:r>
        <w:rPr>
          <w:rFonts w:ascii="Times New Roman" w:hAnsi="Times New Roman"/>
          <w:b w:val="false"/>
          <w:color w:val="000000"/>
          <w:sz w:val="20"/>
        </w:rPr>
        <w:t>million aggregate principal amount of the 2025 Notes pursuant to the exercise in full of the over-allotment options of the initial purchasers. The interest rate is fixed at 0.375% per annum and is payable semi-annually in arrears on June 1 and December 1 of each year.</w:t>
      </w:r>
      <w:r>
        <w:rPr>
          <w:rFonts w:ascii="Times New Roman" w:hAnsi="Times New Roman"/>
          <w:color w:val="000000"/>
          <w:sz w:val="20"/>
        </w:rPr>
        <w:t xml:space="preserve"> </w:t>
      </w:r>
      <w:r>
        <w:rPr>
          <w:rFonts w:ascii="Times New Roman" w:hAnsi="Times New Roman"/>
          <w:b w:val="false"/>
          <w:color w:val="000000"/>
          <w:sz w:val="20"/>
        </w:rPr>
        <w:t>The total net proceeds from the debt offering, after deducting initial purchase discounts and debt issuance costs, were approximately $450.1</w:t>
      </w:r>
      <w:r>
        <w:rPr>
          <w:rFonts w:ascii="Times New Roman" w:hAnsi="Times New Roman"/>
          <w:color w:val="000000"/>
          <w:sz w:val="20"/>
        </w:rPr>
        <w:t xml:space="preserve"> </w:t>
      </w:r>
      <w:r>
        <w:rPr>
          <w:rFonts w:ascii="Times New Roman" w:hAnsi="Times New Roman"/>
          <w:b w:val="false"/>
          <w:color w:val="000000"/>
          <w:sz w:val="20"/>
        </w:rPr>
        <w:t>million.</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Each $1,000</w:t>
      </w:r>
      <w:r>
        <w:rPr>
          <w:rFonts w:ascii="Times New Roman" w:hAnsi="Times New Roman"/>
          <w:color w:val="000000"/>
          <w:sz w:val="20"/>
        </w:rPr>
        <w:t xml:space="preserve"> </w:t>
      </w:r>
      <w:r>
        <w:rPr>
          <w:rFonts w:ascii="Times New Roman" w:hAnsi="Times New Roman"/>
          <w:b w:val="false"/>
          <w:color w:val="000000"/>
          <w:sz w:val="20"/>
        </w:rPr>
        <w:t>of principal amount of the 2025 Notes will initially be convertible into 3.5396</w:t>
      </w:r>
      <w:r>
        <w:rPr>
          <w:rFonts w:ascii="Times New Roman" w:hAnsi="Times New Roman"/>
          <w:color w:val="000000"/>
          <w:sz w:val="20"/>
        </w:rPr>
        <w:t xml:space="preserve"> </w:t>
      </w:r>
      <w:r>
        <w:rPr>
          <w:rFonts w:ascii="Times New Roman" w:hAnsi="Times New Roman"/>
          <w:b w:val="false"/>
          <w:color w:val="000000"/>
          <w:sz w:val="20"/>
        </w:rPr>
        <w:t>shares of the Company’s common stock (the “Conversion Option of the 2025 Notes”), which is equivalent to an initial conversion price of approximately $282.52</w:t>
      </w:r>
      <w:r>
        <w:rPr>
          <w:rFonts w:ascii="Times New Roman" w:hAnsi="Times New Roman"/>
          <w:color w:val="000000"/>
          <w:sz w:val="20"/>
        </w:rPr>
        <w:t xml:space="preserve"> </w:t>
      </w:r>
      <w:r>
        <w:rPr>
          <w:rFonts w:ascii="Times New Roman" w:hAnsi="Times New Roman"/>
          <w:b w:val="false"/>
          <w:color w:val="000000"/>
          <w:sz w:val="20"/>
        </w:rPr>
        <w:t xml:space="preserve">per share, subject to adjustment upon the occurrence of certain specified events. On or after March 1, 2025 until the close of business on the second scheduled trading day immediately preceding the maturity date, holders may convert their 2025 Notes at any time. The 2025 Notes will be convertible at the option of the holders prior to the close of business on the business day immediately preceding March 1, 2025 under certain circumstances as described in the indenture governing the 2025 Notes (the “Indenture”). Upon conversion, the Company will pay or deliver, as the case may be, cash, shares of the Company’s common stock or a combination of cash and shares of the Company’s common stock, at the Company’s election. The Company expects to settle the principal amount of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the 2025 Notes in cash.</w:t>
      </w:r>
      <w:r>
        <w:rPr>
          <w:rFonts w:ascii="Times New Roman" w:hAnsi="Times New Roman"/>
          <w:color w:val="000000"/>
          <w:sz w:val="20"/>
        </w:rPr>
        <w:t xml:space="preserve"> </w:t>
      </w:r>
      <w:r>
        <w:rPr>
          <w:rFonts w:ascii="Times New Roman" w:hAnsi="Times New Roman"/>
          <w:b w:val="false"/>
          <w:color w:val="000000"/>
          <w:sz w:val="20"/>
        </w:rPr>
        <w:t>Because the last reported sale price of the Company’s common stock for at least 20</w:t>
      </w:r>
      <w:r>
        <w:rPr>
          <w:rFonts w:ascii="Times New Roman" w:hAnsi="Times New Roman"/>
          <w:color w:val="000000"/>
          <w:sz w:val="20"/>
        </w:rPr>
        <w:t xml:space="preserve"> </w:t>
      </w:r>
      <w:r>
        <w:rPr>
          <w:rFonts w:ascii="Times New Roman" w:hAnsi="Times New Roman"/>
          <w:b w:val="false"/>
          <w:color w:val="000000"/>
          <w:sz w:val="20"/>
        </w:rPr>
        <w:t>trading days during the period of 30</w:t>
      </w:r>
      <w:r>
        <w:rPr>
          <w:rFonts w:ascii="Times New Roman" w:hAnsi="Times New Roman"/>
          <w:color w:val="000000"/>
          <w:sz w:val="20"/>
        </w:rPr>
        <w:t xml:space="preserve"> </w:t>
      </w:r>
      <w:r>
        <w:rPr>
          <w:rFonts w:ascii="Times New Roman" w:hAnsi="Times New Roman"/>
          <w:b w:val="false"/>
          <w:color w:val="000000"/>
          <w:sz w:val="20"/>
        </w:rPr>
        <w:t>consecutive trading days ending on the last trading day of the calendar quarter ended September 30, 2023</w:t>
      </w:r>
      <w:r>
        <w:rPr>
          <w:rFonts w:ascii="Times New Roman" w:hAnsi="Times New Roman"/>
          <w:color w:val="000000"/>
          <w:sz w:val="20"/>
        </w:rPr>
        <w:t xml:space="preserve"> </w:t>
      </w:r>
      <w:r>
        <w:rPr>
          <w:rFonts w:ascii="Times New Roman" w:hAnsi="Times New Roman"/>
          <w:b w:val="false"/>
          <w:color w:val="000000"/>
          <w:sz w:val="20"/>
        </w:rPr>
        <w:t>was equal to or greater than 130% of the applicable conversion price on each applicable trading day, the 2025 Notes are convertible at the option of the holders thereof during the calendar quarter ending December 31, 2023. As of November 3, 2023, the Company has not received any material conversion notices.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The net carrying amount of the liability component of the 2025 Notes is as follows:</w:t>
        <w:br/>
      </w:r>
      <w:r>
        <w:rPr>
          <w:rFonts w:ascii="Times New Roman" w:hAnsi="Times New Roman"/>
          <w:color w:val="000000"/>
          <w:sz w:val="20"/>
        </w:rPr>
        <w:t> </w:t>
      </w:r>
    </w:p>
    <w:tbl>
      <w:tblPr>
        <w:tblW w:w="7110" w:type="dxa"/>
        <w:jc w:val="left"/>
        <w:tblInd w:w="0" w:type="dxa"/>
        <w:tblLayout w:type="fixed"/>
        <w:tblCellMar>
          <w:top w:w="28" w:type="dxa"/>
          <w:left w:w="28" w:type="dxa"/>
          <w:bottom w:w="28" w:type="dxa"/>
          <w:right w:w="28" w:type="dxa"/>
        </w:tblCellMar>
      </w:tblPr>
      <w:tblGrid>
        <w:gridCol w:w="2356"/>
        <w:gridCol w:w="146"/>
        <w:gridCol w:w="418"/>
        <w:gridCol w:w="1547"/>
        <w:gridCol w:w="166"/>
        <w:gridCol w:w="146"/>
        <w:gridCol w:w="408"/>
        <w:gridCol w:w="1512"/>
        <w:gridCol w:w="411"/>
      </w:tblGrid>
      <w:tr>
        <w:trPr/>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3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97"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vAlign w:val="center"/>
          </w:tcPr>
          <w:p>
            <w:pPr>
              <w:pStyle w:val="TableContents"/>
              <w:bidi w:val="0"/>
              <w:spacing w:before="0" w:after="283"/>
              <w:jc w:val="center"/>
              <w:rPr/>
            </w:pPr>
            <w:r>
              <w:rPr/>
              <w:t> </w:t>
            </w:r>
          </w:p>
        </w:tc>
      </w:tr>
      <w:tr>
        <w:trPr/>
        <w:tc>
          <w:tcPr>
            <w:tcW w:w="23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Principal</w:t>
            </w:r>
          </w:p>
        </w:tc>
        <w:tc>
          <w:tcPr>
            <w:tcW w:w="146" w:type="dxa"/>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4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459,078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0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1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459,083</w:t>
            </w:r>
          </w:p>
        </w:tc>
        <w:tc>
          <w:tcPr>
            <w:tcW w:w="411" w:type="dxa"/>
            <w:tcBorders/>
            <w:shd w:fill="CFF0FC" w:val="clear"/>
            <w:vAlign w:val="center"/>
          </w:tcPr>
          <w:p>
            <w:pPr>
              <w:pStyle w:val="TableContents"/>
              <w:bidi w:val="0"/>
              <w:spacing w:before="0" w:after="283"/>
              <w:jc w:val="left"/>
              <w:rPr/>
            </w:pPr>
            <w:r>
              <w:rPr/>
              <w:t> </w:t>
            </w:r>
          </w:p>
        </w:tc>
      </w:tr>
      <w:tr>
        <w:trPr/>
        <w:tc>
          <w:tcPr>
            <w:tcW w:w="23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Unamortized issuance costs</w:t>
            </w:r>
          </w:p>
        </w:tc>
        <w:tc>
          <w:tcPr>
            <w:tcW w:w="146" w:type="dxa"/>
            <w:tcBorders/>
            <w:shd w:fill="FFFFFF" w:val="clear"/>
            <w:vAlign w:val="center"/>
          </w:tcPr>
          <w:p>
            <w:pPr>
              <w:pStyle w:val="TableContents"/>
              <w:bidi w:val="0"/>
              <w:spacing w:before="0" w:after="283"/>
              <w:jc w:val="left"/>
              <w:rPr/>
            </w:pPr>
            <w:r>
              <w:rPr/>
              <w:t> </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4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(4,856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35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carrying amount</w:t>
            </w:r>
          </w:p>
        </w:tc>
        <w:tc>
          <w:tcPr>
            <w:tcW w:w="146" w:type="dxa"/>
            <w:tcBorders/>
            <w:shd w:fill="CFF0FC" w:val="clear"/>
            <w:vAlign w:val="center"/>
          </w:tcPr>
          <w:p>
            <w:pPr>
              <w:pStyle w:val="TableContents"/>
              <w:bidi w:val="0"/>
              <w:spacing w:before="0" w:after="283"/>
              <w:jc w:val="left"/>
              <w:rPr/>
            </w:pPr>
            <w:r>
              <w:rPr/>
              <w:t> </w:t>
            </w:r>
          </w:p>
        </w:tc>
        <w:tc>
          <w:tcPr>
            <w:tcW w:w="4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455,699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454,227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sz w:val="20"/>
        </w:rPr>
      </w:pPr>
      <w:r>
        <w:rPr>
          <w:rFonts w:ascii="Times New Roman" w:hAnsi="Times New Roman"/>
          <w:b w:val="false"/>
          <w:color w:val="000000"/>
          <w:sz w:val="20"/>
        </w:rPr>
        <w:t>Interest expense related to the 2025 Notes is as follows:</w:t>
        <w:br/>
      </w:r>
      <w:r>
        <w:rPr>
          <w:rFonts w:ascii="Times New Roman" w:hAnsi="Times New Roman"/>
          <w:color w:val="000000"/>
          <w:sz w:val="20"/>
        </w:rPr>
        <w:t> </w:t>
      </w:r>
    </w:p>
    <w:tbl>
      <w:tblPr>
        <w:tblW w:w="8703" w:type="dxa"/>
        <w:jc w:val="left"/>
        <w:tblInd w:w="0" w:type="dxa"/>
        <w:tblLayout w:type="fixed"/>
        <w:tblCellMar>
          <w:top w:w="28" w:type="dxa"/>
          <w:left w:w="28" w:type="dxa"/>
          <w:bottom w:w="28" w:type="dxa"/>
          <w:right w:w="28" w:type="dxa"/>
        </w:tblCellMar>
      </w:tblPr>
      <w:tblGrid>
        <w:gridCol w:w="2596"/>
        <w:gridCol w:w="146"/>
        <w:gridCol w:w="364"/>
        <w:gridCol w:w="726"/>
        <w:gridCol w:w="252"/>
        <w:gridCol w:w="252"/>
        <w:gridCol w:w="364"/>
        <w:gridCol w:w="726"/>
        <w:gridCol w:w="146"/>
        <w:gridCol w:w="146"/>
        <w:gridCol w:w="295"/>
        <w:gridCol w:w="798"/>
        <w:gridCol w:w="204"/>
        <w:gridCol w:w="204"/>
        <w:gridCol w:w="295"/>
        <w:gridCol w:w="798"/>
        <w:gridCol w:w="3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2" w:type="dxa"/>
            <w:tcBorders/>
            <w:shd w:fill="FFFFFF" w:val="clear"/>
            <w:vAlign w:val="center"/>
          </w:tcPr>
          <w:p>
            <w:pPr>
              <w:pStyle w:val="TableContents"/>
              <w:bidi w:val="0"/>
              <w:spacing w:before="0" w:after="283"/>
              <w:jc w:val="center"/>
              <w:rPr/>
            </w:pPr>
            <w:r>
              <w:rPr/>
              <w:t> </w:t>
            </w:r>
          </w:p>
        </w:tc>
        <w:tc>
          <w:tcPr>
            <w:tcW w:w="1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shd w:fill="FFFFFF" w:val="clear"/>
            <w:vAlign w:val="center"/>
          </w:tcPr>
          <w:p>
            <w:pPr>
              <w:pStyle w:val="TableContents"/>
              <w:bidi w:val="0"/>
              <w:spacing w:before="0" w:after="283"/>
              <w:jc w:val="center"/>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570" w:type="dxa"/>
            <w:gridSpan w:val="14"/>
            <w:tcBorders/>
            <w:shd w:fill="CFF0FC"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CFF0FC" w:val="clear"/>
            <w:vAlign w:val="center"/>
          </w:tcPr>
          <w:p>
            <w:pPr>
              <w:pStyle w:val="TableContents"/>
              <w:bidi w:val="0"/>
              <w:spacing w:before="0" w:after="283"/>
              <w:jc w:val="center"/>
              <w:rPr/>
            </w:pPr>
            <w:r>
              <w:rPr/>
              <w:t> </w:t>
            </w:r>
          </w:p>
        </w:tc>
      </w:tr>
      <w:tr>
        <w:trPr/>
        <w:tc>
          <w:tcPr>
            <w:tcW w:w="25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Contractual interest expense</w:t>
            </w:r>
          </w:p>
        </w:tc>
        <w:tc>
          <w:tcPr>
            <w:tcW w:w="146"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431</w:t>
            </w:r>
          </w:p>
        </w:tc>
        <w:tc>
          <w:tcPr>
            <w:tcW w:w="252"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right"/>
              <w:rPr/>
            </w:pPr>
            <w:r>
              <w:rPr/>
              <w:t> </w:t>
            </w:r>
          </w:p>
        </w:tc>
        <w:tc>
          <w:tcPr>
            <w:tcW w:w="36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1,291</w:t>
            </w:r>
          </w:p>
        </w:tc>
        <w:tc>
          <w:tcPr>
            <w:tcW w:w="204"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1,291</w:t>
            </w:r>
          </w:p>
        </w:tc>
        <w:tc>
          <w:tcPr>
            <w:tcW w:w="391" w:type="dxa"/>
            <w:tcBorders/>
            <w:shd w:fill="FFFFFF" w:val="clear"/>
            <w:vAlign w:val="center"/>
          </w:tcPr>
          <w:p>
            <w:pPr>
              <w:pStyle w:val="TableContents"/>
              <w:bidi w:val="0"/>
              <w:spacing w:before="0" w:after="283"/>
              <w:jc w:val="left"/>
              <w:rPr/>
            </w:pPr>
            <w:r>
              <w:rPr/>
              <w:t> </w:t>
            </w:r>
          </w:p>
        </w:tc>
      </w:tr>
      <w:tr>
        <w:trPr/>
        <w:tc>
          <w:tcPr>
            <w:tcW w:w="25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Amortization of issuance costs</w:t>
            </w:r>
          </w:p>
        </w:tc>
        <w:tc>
          <w:tcPr>
            <w:tcW w:w="146" w:type="dxa"/>
            <w:tcBorders/>
            <w:shd w:fill="CFF0FC" w:val="clear"/>
            <w:vAlign w:val="center"/>
          </w:tcPr>
          <w:p>
            <w:pPr>
              <w:pStyle w:val="TableContents"/>
              <w:bidi w:val="0"/>
              <w:spacing w:before="0" w:after="283"/>
              <w:jc w:val="left"/>
              <w:rPr/>
            </w:pPr>
            <w:r>
              <w:rPr/>
              <w:t> </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497</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right"/>
              <w:rPr/>
            </w:pPr>
            <w:r>
              <w:rPr/>
              <w:t> </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1,477</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9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interest expense</w:t>
            </w:r>
          </w:p>
        </w:tc>
        <w:tc>
          <w:tcPr>
            <w:tcW w:w="146" w:type="dxa"/>
            <w:tcBorders/>
            <w:shd w:fill="FFFFFF" w:val="clear"/>
            <w:vAlign w:val="center"/>
          </w:tcPr>
          <w:p>
            <w:pPr>
              <w:pStyle w:val="TableContents"/>
              <w:bidi w:val="0"/>
              <w:spacing w:before="0" w:after="283"/>
              <w:jc w:val="left"/>
              <w:rPr/>
            </w:pPr>
            <w:r>
              <w:rPr/>
              <w:t> </w:t>
            </w:r>
          </w:p>
        </w:tc>
        <w:tc>
          <w:tcPr>
            <w:tcW w:w="3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928</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right"/>
              <w:rPr/>
            </w:pPr>
            <w:r>
              <w:rPr/>
              <w:t> </w:t>
            </w:r>
          </w:p>
        </w:tc>
        <w:tc>
          <w:tcPr>
            <w:tcW w:w="3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2,768</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2,756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sz w:val="20"/>
        </w:rPr>
      </w:pPr>
      <w:r>
        <w:rPr>
          <w:rFonts w:ascii="Times New Roman" w:hAnsi="Times New Roman"/>
          <w:b w:val="false"/>
          <w:color w:val="000000"/>
          <w:sz w:val="20"/>
        </w:rPr>
        <w:t>In connection with the offering of the 2025 Notes, the Company purchased capped call options (“Capped Call Options”) with respect to its common stock for $50.6</w:t>
      </w:r>
      <w:r>
        <w:rPr>
          <w:rFonts w:ascii="Times New Roman" w:hAnsi="Times New Roman"/>
          <w:color w:val="000000"/>
          <w:sz w:val="20"/>
        </w:rPr>
        <w:t xml:space="preserve"> </w:t>
      </w:r>
      <w:r>
        <w:rPr>
          <w:rFonts w:ascii="Times New Roman" w:hAnsi="Times New Roman"/>
          <w:b w:val="false"/>
          <w:color w:val="000000"/>
          <w:sz w:val="20"/>
        </w:rPr>
        <w:t>million. The Capped Call Options are purchased call options that give the Company the option to purchase up to approximately 1.6</w:t>
      </w:r>
      <w:r>
        <w:rPr>
          <w:rFonts w:ascii="Times New Roman" w:hAnsi="Times New Roman"/>
          <w:color w:val="000000"/>
          <w:sz w:val="20"/>
        </w:rPr>
        <w:t xml:space="preserve"> </w:t>
      </w:r>
      <w:r>
        <w:rPr>
          <w:rFonts w:ascii="Times New Roman" w:hAnsi="Times New Roman"/>
          <w:b w:val="false"/>
          <w:color w:val="000000"/>
          <w:sz w:val="20"/>
        </w:rPr>
        <w:t>million shares of its common stock for $282.52</w:t>
      </w:r>
      <w:r>
        <w:rPr>
          <w:rFonts w:ascii="Times New Roman" w:hAnsi="Times New Roman"/>
          <w:color w:val="000000"/>
          <w:sz w:val="20"/>
        </w:rPr>
        <w:t xml:space="preserve"> </w:t>
      </w:r>
      <w:r>
        <w:rPr>
          <w:rFonts w:ascii="Times New Roman" w:hAnsi="Times New Roman"/>
          <w:b w:val="false"/>
          <w:color w:val="000000"/>
          <w:sz w:val="20"/>
        </w:rPr>
        <w:t>per share, which corresponds to the approximate initial conversion price of the 2025 Notes. The Capped Call Options were purchased in order to offset potential dilution to the Company’s common stock upon any conversion of the 2025 Notes, subject to a cap of $426.44</w:t>
      </w:r>
      <w:r>
        <w:rPr>
          <w:rFonts w:ascii="Times New Roman" w:hAnsi="Times New Roman"/>
          <w:color w:val="000000"/>
          <w:sz w:val="20"/>
        </w:rPr>
        <w:t xml:space="preserve"> </w:t>
      </w:r>
      <w:r>
        <w:rPr>
          <w:rFonts w:ascii="Times New Roman" w:hAnsi="Times New Roman"/>
          <w:b w:val="false"/>
          <w:color w:val="000000"/>
          <w:sz w:val="20"/>
        </w:rPr>
        <w:t>per share, and expire concurrently with the 2025 Notes. The $50.6</w:t>
      </w:r>
      <w:r>
        <w:rPr>
          <w:rFonts w:ascii="Times New Roman" w:hAnsi="Times New Roman"/>
          <w:color w:val="000000"/>
          <w:sz w:val="20"/>
        </w:rPr>
        <w:t xml:space="preserve"> </w:t>
      </w:r>
      <w:r>
        <w:rPr>
          <w:rFonts w:ascii="Times New Roman" w:hAnsi="Times New Roman"/>
          <w:b w:val="false"/>
          <w:color w:val="000000"/>
          <w:sz w:val="20"/>
        </w:rPr>
        <w:t>million paid for the Capped Call Options is recorded in stockholders’ equity as a reduction in additional paid-in capital and are not accounted for as separate derivative financial instruments.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2022 Convertible Senior Notes, Convertible Note Hedge and Warrant</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In May 2017, the Company issued $350.0</w:t>
      </w:r>
      <w:r>
        <w:rPr>
          <w:rFonts w:ascii="Times New Roman" w:hAnsi="Times New Roman"/>
          <w:color w:val="000000"/>
          <w:sz w:val="20"/>
        </w:rPr>
        <w:t xml:space="preserve"> </w:t>
      </w:r>
      <w:r>
        <w:rPr>
          <w:rFonts w:ascii="Times New Roman" w:hAnsi="Times New Roman"/>
          <w:b w:val="false"/>
          <w:color w:val="000000"/>
          <w:sz w:val="20"/>
        </w:rPr>
        <w:t>million aggregate principal amount of 0.25% convertible senior notes due June 1, 2022</w:t>
      </w:r>
      <w:r>
        <w:rPr>
          <w:rFonts w:ascii="Times New Roman" w:hAnsi="Times New Roman"/>
          <w:color w:val="000000"/>
          <w:sz w:val="20"/>
        </w:rPr>
        <w:t xml:space="preserve"> </w:t>
      </w:r>
      <w:r>
        <w:rPr>
          <w:rFonts w:ascii="Times New Roman" w:hAnsi="Times New Roman"/>
          <w:b w:val="false"/>
          <w:color w:val="000000"/>
          <w:sz w:val="20"/>
        </w:rPr>
        <w:t>(the “2022 Notes”) in a private offering and an additional $50</w:t>
      </w:r>
      <w:r>
        <w:rPr>
          <w:rFonts w:ascii="Times New Roman" w:hAnsi="Times New Roman"/>
          <w:color w:val="000000"/>
          <w:sz w:val="20"/>
        </w:rPr>
        <w:t xml:space="preserve"> </w:t>
      </w:r>
      <w:r>
        <w:rPr>
          <w:rFonts w:ascii="Times New Roman" w:hAnsi="Times New Roman"/>
          <w:b w:val="false"/>
          <w:color w:val="000000"/>
          <w:sz w:val="20"/>
        </w:rPr>
        <w:t>million aggregate principal amount of the 2022 Notes pursuant to the exercise in full of the over-allotment options of the initial purchasers. of the 2022 Notes. The interest rate is fixed at 0.25% per annum and is payable semi-annually in arrears on June 1 and December 1 of each year.</w:t>
      </w:r>
      <w:r>
        <w:rPr>
          <w:rFonts w:ascii="Times New Roman" w:hAnsi="Times New Roman"/>
          <w:color w:val="000000"/>
          <w:sz w:val="20"/>
        </w:rPr>
        <w:t xml:space="preserve"> </w:t>
      </w:r>
      <w:r>
        <w:rPr>
          <w:rFonts w:ascii="Times New Roman" w:hAnsi="Times New Roman"/>
          <w:b w:val="false"/>
          <w:color w:val="000000"/>
          <w:sz w:val="20"/>
        </w:rPr>
        <w:t>The total net proceeds from the debt offering, after deducting initial purchase discounts and debt issuance costs, were approximately $389.2</w:t>
      </w:r>
      <w:r>
        <w:rPr>
          <w:rFonts w:ascii="Times New Roman" w:hAnsi="Times New Roman"/>
          <w:color w:val="000000"/>
          <w:sz w:val="20"/>
        </w:rPr>
        <w:t xml:space="preserve"> </w:t>
      </w:r>
      <w:r>
        <w:rPr>
          <w:rFonts w:ascii="Times New Roman" w:hAnsi="Times New Roman"/>
          <w:b w:val="false"/>
          <w:color w:val="000000"/>
          <w:sz w:val="20"/>
        </w:rPr>
        <w:t>million. In connection with the offering of the 2022 Notes, the Company entered into convertible note hedge transactions (the “Convertible Note Hedges”) with certain counterparties in which the Company has the option to purchase (subject to adjustment for certain specified events) up to approximately 4.2</w:t>
      </w:r>
      <w:r>
        <w:rPr>
          <w:rFonts w:ascii="Times New Roman" w:hAnsi="Times New Roman"/>
          <w:color w:val="000000"/>
          <w:sz w:val="20"/>
        </w:rPr>
        <w:t xml:space="preserve"> </w:t>
      </w:r>
      <w:r>
        <w:rPr>
          <w:rFonts w:ascii="Times New Roman" w:hAnsi="Times New Roman"/>
          <w:b w:val="false"/>
          <w:color w:val="000000"/>
          <w:sz w:val="20"/>
        </w:rPr>
        <w:t>million shares of the Company’s common stock at a price of approximately $94.77</w:t>
      </w:r>
      <w:r>
        <w:rPr>
          <w:rFonts w:ascii="Times New Roman" w:hAnsi="Times New Roman"/>
          <w:color w:val="000000"/>
          <w:sz w:val="20"/>
        </w:rPr>
        <w:t xml:space="preserve"> </w:t>
      </w:r>
      <w:r>
        <w:rPr>
          <w:rFonts w:ascii="Times New Roman" w:hAnsi="Times New Roman"/>
          <w:b w:val="false"/>
          <w:color w:val="000000"/>
          <w:sz w:val="20"/>
        </w:rPr>
        <w:t>per share. In addition, the Company sold warrants (the “Warrants”) to certain bank counterparties whereby the holders of the Warrants have the option to initially purchase (subject to adjustment for certain specified events) a total of approximately 4.2</w:t>
      </w:r>
      <w:r>
        <w:rPr>
          <w:rFonts w:ascii="Times New Roman" w:hAnsi="Times New Roman"/>
          <w:color w:val="000000"/>
          <w:sz w:val="20"/>
        </w:rPr>
        <w:t xml:space="preserve"> </w:t>
      </w:r>
      <w:r>
        <w:rPr>
          <w:rFonts w:ascii="Times New Roman" w:hAnsi="Times New Roman"/>
          <w:b w:val="false"/>
          <w:color w:val="000000"/>
          <w:sz w:val="20"/>
        </w:rPr>
        <w:t>million shares of the Company’s common stock at a price of $115.8</w:t>
      </w:r>
      <w:r>
        <w:rPr>
          <w:rFonts w:ascii="Times New Roman" w:hAnsi="Times New Roman"/>
          <w:color w:val="000000"/>
          <w:sz w:val="20"/>
        </w:rPr>
        <w:t xml:space="preserve"> </w:t>
      </w:r>
      <w:r>
        <w:rPr>
          <w:rFonts w:ascii="Times New Roman" w:hAnsi="Times New Roman"/>
          <w:b w:val="false"/>
          <w:color w:val="000000"/>
          <w:sz w:val="20"/>
        </w:rPr>
        <w:t>per share.</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On June 1, 2022, upon the maturity of the 2022 Notes, the Company paid $19.4</w:t>
      </w:r>
      <w:r>
        <w:rPr>
          <w:rFonts w:ascii="Times New Roman" w:hAnsi="Times New Roman"/>
          <w:color w:val="000000"/>
          <w:sz w:val="20"/>
        </w:rPr>
        <w:t xml:space="preserve"> </w:t>
      </w:r>
      <w:r>
        <w:rPr>
          <w:rFonts w:ascii="Times New Roman" w:hAnsi="Times New Roman"/>
          <w:b w:val="false"/>
          <w:color w:val="000000"/>
          <w:sz w:val="20"/>
        </w:rPr>
        <w:t>million to satisfy the aggregate principal amount due and $60.4</w:t>
      </w:r>
      <w:r>
        <w:rPr>
          <w:rFonts w:ascii="Times New Roman" w:hAnsi="Times New Roman"/>
          <w:color w:val="000000"/>
          <w:sz w:val="20"/>
        </w:rPr>
        <w:t xml:space="preserve"> </w:t>
      </w:r>
      <w:r>
        <w:rPr>
          <w:rFonts w:ascii="Times New Roman" w:hAnsi="Times New Roman"/>
          <w:b w:val="false"/>
          <w:color w:val="000000"/>
          <w:sz w:val="20"/>
        </w:rPr>
        <w:t>million for the conversion premium in excess of the principal amount. The remaining Convertible Note Hedges were settled in cash and the Company received approximately $60.5</w:t>
      </w:r>
      <w:r>
        <w:rPr>
          <w:rFonts w:ascii="Times New Roman" w:hAnsi="Times New Roman"/>
          <w:color w:val="000000"/>
          <w:sz w:val="20"/>
        </w:rPr>
        <w:t xml:space="preserve"> </w:t>
      </w:r>
      <w:r>
        <w:rPr>
          <w:rFonts w:ascii="Times New Roman" w:hAnsi="Times New Roman"/>
          <w:b w:val="false"/>
          <w:color w:val="000000"/>
          <w:sz w:val="20"/>
        </w:rPr>
        <w:t>million in cash upon settlement. In addition, the remaining 1.4</w:t>
      </w:r>
      <w:r>
        <w:rPr>
          <w:rFonts w:ascii="Times New Roman" w:hAnsi="Times New Roman"/>
          <w:color w:val="000000"/>
          <w:sz w:val="20"/>
        </w:rPr>
        <w:t xml:space="preserve"> </w:t>
      </w:r>
      <w:r>
        <w:rPr>
          <w:rFonts w:ascii="Times New Roman" w:hAnsi="Times New Roman"/>
          <w:b w:val="false"/>
          <w:color w:val="000000"/>
          <w:sz w:val="20"/>
        </w:rPr>
        <w:t>million shares of Warrants were exercised in the fourth quarter of 2022, which the Company net share settled and issued 0.8</w:t>
      </w:r>
      <w:r>
        <w:rPr>
          <w:rFonts w:ascii="Times New Roman" w:hAnsi="Times New Roman"/>
          <w:color w:val="000000"/>
          <w:sz w:val="20"/>
        </w:rPr>
        <w:t xml:space="preserve"> </w:t>
      </w:r>
      <w:r>
        <w:rPr>
          <w:rFonts w:ascii="Times New Roman" w:hAnsi="Times New Roman"/>
          <w:b w:val="false"/>
          <w:color w:val="000000"/>
          <w:sz w:val="20"/>
        </w:rPr>
        <w:t>million shares of its common stock.</w:t>
      </w:r>
      <w:r>
        <w:rPr>
          <w:rFonts w:ascii="Times New Roman" w:hAnsi="Times New Roman"/>
          <w:color w:val="000000"/>
          <w:sz w:val="20"/>
        </w:rPr>
        <w:t xml:space="preserve">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9. Leases</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The Company leases office facilities under non-cancelable operating leases that expire at various dates through February 2035.</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During the nine months ended September 30, 2023, the lease term began, was amended, or extended for various leases of office spaces globally. The Company recorded an increase of $1.3</w:t>
      </w:r>
      <w:r>
        <w:rPr>
          <w:rFonts w:ascii="Times New Roman" w:hAnsi="Times New Roman"/>
          <w:color w:val="000000"/>
          <w:sz w:val="20"/>
        </w:rPr>
        <w:t xml:space="preserve"> </w:t>
      </w:r>
      <w:r>
        <w:rPr>
          <w:rFonts w:ascii="Times New Roman" w:hAnsi="Times New Roman"/>
          <w:b w:val="false"/>
          <w:color w:val="000000"/>
          <w:sz w:val="20"/>
        </w:rPr>
        <w:t>million of right-of-use assets and $6.7</w:t>
      </w:r>
      <w:r>
        <w:rPr>
          <w:rFonts w:ascii="Times New Roman" w:hAnsi="Times New Roman"/>
          <w:color w:val="000000"/>
          <w:sz w:val="20"/>
        </w:rPr>
        <w:t xml:space="preserve"> </w:t>
      </w:r>
      <w:r>
        <w:rPr>
          <w:rFonts w:ascii="Times New Roman" w:hAnsi="Times New Roman"/>
          <w:b w:val="false"/>
          <w:color w:val="000000"/>
          <w:sz w:val="20"/>
        </w:rPr>
        <w:t>million of lease liabilities for these leases during the period upon the lease commencement, amendment, or extension. Refer to Note 15 regarding the lease terminations and abandonments in connection with the Restructuring Plan.</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The Company uses its estimated incremental borrowing rate, which is derived from information available at the lease commencement date, in determining the present value of operating lease payments. To determine the estimated incremental borrowing rate, the Company uses publicly available credit ratings for peer companies. The Company estimates the incremental borrowing rate using yields for maturities that are in line with the duration of the lease payments. The weighted average discount rate for operating leases as of September 30, 2023 was 4.9%.</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Operating lease expense and cash payments related to operating lease liabilities for the three and nine months ended September 30, 2023 and 2022 are as follows:</w:t>
      </w:r>
      <w:r>
        <w:rPr>
          <w:rFonts w:ascii="Times New Roman" w:hAnsi="Times New Roman"/>
          <w:color w:val="000000"/>
          <w:sz w:val="20"/>
        </w:rPr>
        <w:t xml:space="preserve"> </w:t>
      </w:r>
    </w:p>
    <w:p>
      <w:pPr>
        <w:pStyle w:val="TextBody"/>
        <w:bidi w:val="0"/>
        <w:spacing w:before="200" w:after="283"/>
        <w:jc w:val="left"/>
        <w:rPr/>
      </w:pPr>
      <w:r>
        <w:rPr/>
        <w:t> </w:t>
      </w:r>
    </w:p>
    <w:tbl>
      <w:tblPr>
        <w:tblW w:w="7991" w:type="dxa"/>
        <w:jc w:val="left"/>
        <w:tblInd w:w="0" w:type="dxa"/>
        <w:tblLayout w:type="fixed"/>
        <w:tblCellMar>
          <w:top w:w="28" w:type="dxa"/>
          <w:left w:w="28" w:type="dxa"/>
          <w:bottom w:w="28" w:type="dxa"/>
          <w:right w:w="28" w:type="dxa"/>
        </w:tblCellMar>
      </w:tblPr>
      <w:tblGrid>
        <w:gridCol w:w="2086"/>
        <w:gridCol w:w="146"/>
        <w:gridCol w:w="274"/>
        <w:gridCol w:w="878"/>
        <w:gridCol w:w="189"/>
        <w:gridCol w:w="189"/>
        <w:gridCol w:w="274"/>
        <w:gridCol w:w="878"/>
        <w:gridCol w:w="146"/>
        <w:gridCol w:w="146"/>
        <w:gridCol w:w="265"/>
        <w:gridCol w:w="849"/>
        <w:gridCol w:w="183"/>
        <w:gridCol w:w="183"/>
        <w:gridCol w:w="265"/>
        <w:gridCol w:w="849"/>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2"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4"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20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 expense</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10,230</w:t>
            </w:r>
          </w:p>
        </w:tc>
        <w:tc>
          <w:tcPr>
            <w:tcW w:w="189"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right"/>
              <w:rPr/>
            </w:pPr>
            <w:r>
              <w:rPr/>
              <w:t> </w:t>
            </w:r>
          </w:p>
        </w:tc>
        <w:tc>
          <w:tcPr>
            <w:tcW w:w="27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33,139</w:t>
            </w:r>
          </w:p>
        </w:tc>
        <w:tc>
          <w:tcPr>
            <w:tcW w:w="183"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32,392</w:t>
            </w:r>
          </w:p>
        </w:tc>
        <w:tc>
          <w:tcPr>
            <w:tcW w:w="191" w:type="dxa"/>
            <w:tcBorders/>
            <w:shd w:fill="CFF0FC" w:val="clear"/>
            <w:vAlign w:val="center"/>
          </w:tcPr>
          <w:p>
            <w:pPr>
              <w:pStyle w:val="TableContents"/>
              <w:bidi w:val="0"/>
              <w:spacing w:before="0" w:after="283"/>
              <w:jc w:val="left"/>
              <w:rPr/>
            </w:pPr>
            <w:r>
              <w:rPr/>
              <w:t> </w:t>
            </w:r>
          </w:p>
        </w:tc>
      </w:tr>
      <w:tr>
        <w:trPr/>
        <w:tc>
          <w:tcPr>
            <w:tcW w:w="20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payments</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14,701</w:t>
            </w:r>
          </w:p>
        </w:tc>
        <w:tc>
          <w:tcPr>
            <w:tcW w:w="189"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right"/>
              <w:rPr/>
            </w:pPr>
            <w:r>
              <w:rPr/>
              <w:t> </w:t>
            </w:r>
          </w:p>
        </w:tc>
        <w:tc>
          <w:tcPr>
            <w:tcW w:w="27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45,827</w:t>
            </w:r>
          </w:p>
        </w:tc>
        <w:tc>
          <w:tcPr>
            <w:tcW w:w="183"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29,033</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sz w:val="20"/>
        </w:rPr>
      </w:pPr>
      <w:r>
        <w:rPr>
          <w:rFonts w:ascii="Times New Roman" w:hAnsi="Times New Roman"/>
          <w:b w:val="false"/>
          <w:color w:val="000000"/>
          <w:sz w:val="20"/>
        </w:rPr>
        <w:t xml:space="preserve">The Company subleases some of its unused spaces to third parties. Operating sublease income generated under all operating lease agreements for the three and nine months ended September 30, 2023 and 2022 are as follows: </w:t>
        <w:br/>
      </w:r>
      <w:r>
        <w:rPr>
          <w:rFonts w:ascii="Times New Roman" w:hAnsi="Times New Roman"/>
          <w:color w:val="000000"/>
          <w:sz w:val="20"/>
        </w:rPr>
        <w:t> </w:t>
      </w:r>
    </w:p>
    <w:tbl>
      <w:tblPr>
        <w:tblW w:w="8218" w:type="dxa"/>
        <w:jc w:val="left"/>
        <w:tblInd w:w="0" w:type="dxa"/>
        <w:tblLayout w:type="fixed"/>
        <w:tblCellMar>
          <w:top w:w="28" w:type="dxa"/>
          <w:left w:w="28" w:type="dxa"/>
          <w:bottom w:w="28" w:type="dxa"/>
          <w:right w:w="28" w:type="dxa"/>
        </w:tblCellMar>
      </w:tblPr>
      <w:tblGrid>
        <w:gridCol w:w="2311"/>
        <w:gridCol w:w="146"/>
        <w:gridCol w:w="305"/>
        <w:gridCol w:w="826"/>
        <w:gridCol w:w="211"/>
        <w:gridCol w:w="211"/>
        <w:gridCol w:w="305"/>
        <w:gridCol w:w="826"/>
        <w:gridCol w:w="146"/>
        <w:gridCol w:w="146"/>
        <w:gridCol w:w="295"/>
        <w:gridCol w:w="798"/>
        <w:gridCol w:w="204"/>
        <w:gridCol w:w="204"/>
        <w:gridCol w:w="295"/>
        <w:gridCol w:w="798"/>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4" w:type="dxa"/>
            <w:gridSpan w:val="6"/>
            <w:tcBorders/>
            <w:shd w:fill="CFF0FC"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4" w:type="dxa"/>
            <w:gridSpan w:val="6"/>
            <w:tcBorders/>
            <w:shd w:fill="CFF0FC"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CFF0FC" w:val="cle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sublease income</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1,953</w:t>
            </w:r>
          </w:p>
        </w:tc>
        <w:tc>
          <w:tcPr>
            <w:tcW w:w="21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5,995</w:t>
            </w:r>
          </w:p>
        </w:tc>
        <w:tc>
          <w:tcPr>
            <w:tcW w:w="204"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3,325</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10. Commitments and Contingencies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Contractual Obligations</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The Company leases its office facilities under non-cancelable operating leases that expire at various dates through February 2035. Certain leases contain optional termination dates. The table below only includes payments up to the optional termination date. If the Company were to extend leases beyond the optional termination date, the future commitments would increase by approximately $76.2</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Included in the table below is an operating lease commitment for a lease that has not yet commenced of approximately $1.3</w:t>
      </w:r>
      <w:r>
        <w:rPr>
          <w:rFonts w:ascii="Times New Roman" w:hAnsi="Times New Roman"/>
          <w:color w:val="000000"/>
          <w:sz w:val="20"/>
        </w:rPr>
        <w:t xml:space="preserve"> </w:t>
      </w:r>
      <w:r>
        <w:rPr>
          <w:rFonts w:ascii="Times New Roman" w:hAnsi="Times New Roman"/>
          <w:b w:val="false"/>
          <w:color w:val="000000"/>
          <w:sz w:val="20"/>
        </w:rPr>
        <w:t>million.</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Future minimum payments under all operating lease agreements as of September 30, 2023 are as follows (in thousands):</w:t>
        <w:br/>
      </w:r>
      <w:r>
        <w:rPr>
          <w:rFonts w:ascii="Times New Roman" w:hAnsi="Times New Roman"/>
          <w:color w:val="000000"/>
          <w:sz w:val="20"/>
        </w:rPr>
        <w:t> </w:t>
      </w:r>
    </w:p>
    <w:tbl>
      <w:tblPr>
        <w:tblW w:w="3210" w:type="dxa"/>
        <w:jc w:val="left"/>
        <w:tblInd w:w="0" w:type="dxa"/>
        <w:tblLayout w:type="fixed"/>
        <w:tblCellMar>
          <w:top w:w="28" w:type="dxa"/>
          <w:left w:w="28" w:type="dxa"/>
          <w:bottom w:w="28" w:type="dxa"/>
          <w:right w:w="28" w:type="dxa"/>
        </w:tblCellMar>
      </w:tblPr>
      <w:tblGrid>
        <w:gridCol w:w="1681"/>
        <w:gridCol w:w="146"/>
        <w:gridCol w:w="211"/>
        <w:gridCol w:w="781"/>
        <w:gridCol w:w="3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Remainder of 2023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13,349</w:t>
            </w:r>
          </w:p>
        </w:tc>
        <w:tc>
          <w:tcPr>
            <w:tcW w:w="391" w:type="dxa"/>
            <w:tcBorders/>
            <w:shd w:fill="CFF0FC"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2024</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52,486</w:t>
            </w:r>
          </w:p>
        </w:tc>
        <w:tc>
          <w:tcPr>
            <w:tcW w:w="391" w:type="dxa"/>
            <w:tcBorders/>
            <w:shd w:fill="FFFFFF" w:val="clear"/>
            <w:vAlign w:val="center"/>
          </w:tcPr>
          <w:p>
            <w:pPr>
              <w:pStyle w:val="TableContents"/>
              <w:bidi w:val="0"/>
              <w:spacing w:before="0" w:after="283"/>
              <w:jc w:val="left"/>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2025</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51,578</w:t>
            </w:r>
          </w:p>
        </w:tc>
        <w:tc>
          <w:tcPr>
            <w:tcW w:w="391" w:type="dxa"/>
            <w:tcBorders/>
            <w:shd w:fill="CFF0FC"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50,494</w:t>
            </w:r>
          </w:p>
        </w:tc>
        <w:tc>
          <w:tcPr>
            <w:tcW w:w="391" w:type="dxa"/>
            <w:tcBorders/>
            <w:shd w:fill="FFFFFF" w:val="clear"/>
            <w:vAlign w:val="center"/>
          </w:tcPr>
          <w:p>
            <w:pPr>
              <w:pStyle w:val="TableContents"/>
              <w:bidi w:val="0"/>
              <w:spacing w:before="0" w:after="283"/>
              <w:jc w:val="left"/>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2027</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46,481</w:t>
            </w:r>
          </w:p>
        </w:tc>
        <w:tc>
          <w:tcPr>
            <w:tcW w:w="391" w:type="dxa"/>
            <w:tcBorders/>
            <w:shd w:fill="CFF0FC"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195,810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8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410,198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sz w:val="20"/>
        </w:rPr>
      </w:pPr>
      <w:r>
        <w:rPr>
          <w:rFonts w:ascii="Times New Roman" w:hAnsi="Times New Roman"/>
          <w:b w:val="false"/>
          <w:color w:val="000000"/>
          <w:sz w:val="20"/>
        </w:rPr>
        <w:t>Future minimum payments under all</w:t>
      </w:r>
      <w:r>
        <w:rPr>
          <w:rFonts w:ascii="Times New Roman" w:hAnsi="Times New Roman"/>
          <w:color w:val="000000"/>
          <w:sz w:val="20"/>
        </w:rPr>
        <w:t xml:space="preserve"> </w:t>
      </w:r>
      <w:r>
        <w:rPr>
          <w:rFonts w:ascii="Times New Roman" w:hAnsi="Times New Roman"/>
          <w:b w:val="false"/>
          <w:color w:val="000000"/>
          <w:sz w:val="20"/>
        </w:rPr>
        <w:t>non-cancelable vendor commitments as of September 30, 2023 and agreements entered into since then are as follows (in thousands):</w:t>
        <w:br/>
      </w:r>
      <w:r>
        <w:rPr>
          <w:rFonts w:ascii="Times New Roman" w:hAnsi="Times New Roman"/>
          <w:color w:val="000000"/>
          <w:sz w:val="20"/>
        </w:rPr>
        <w:t> </w:t>
      </w:r>
    </w:p>
    <w:tbl>
      <w:tblPr>
        <w:tblW w:w="3210" w:type="dxa"/>
        <w:jc w:val="left"/>
        <w:tblInd w:w="0" w:type="dxa"/>
        <w:tblLayout w:type="fixed"/>
        <w:tblCellMar>
          <w:top w:w="28" w:type="dxa"/>
          <w:left w:w="28" w:type="dxa"/>
          <w:bottom w:w="28" w:type="dxa"/>
          <w:right w:w="28" w:type="dxa"/>
        </w:tblCellMar>
      </w:tblPr>
      <w:tblGrid>
        <w:gridCol w:w="1681"/>
        <w:gridCol w:w="146"/>
        <w:gridCol w:w="211"/>
        <w:gridCol w:w="781"/>
        <w:gridCol w:w="3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Remainder of 2023</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38,985</w:t>
            </w:r>
          </w:p>
        </w:tc>
        <w:tc>
          <w:tcPr>
            <w:tcW w:w="391" w:type="dxa"/>
            <w:tcBorders/>
            <w:shd w:fill="CFF0FC"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2024</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205,293</w:t>
            </w:r>
          </w:p>
        </w:tc>
        <w:tc>
          <w:tcPr>
            <w:tcW w:w="391" w:type="dxa"/>
            <w:tcBorders/>
            <w:shd w:fill="FFFFFF" w:val="clear"/>
            <w:vAlign w:val="center"/>
          </w:tcPr>
          <w:p>
            <w:pPr>
              <w:pStyle w:val="TableContents"/>
              <w:bidi w:val="0"/>
              <w:spacing w:before="0" w:after="283"/>
              <w:jc w:val="left"/>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2025</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215,314</w:t>
            </w:r>
          </w:p>
        </w:tc>
        <w:tc>
          <w:tcPr>
            <w:tcW w:w="391" w:type="dxa"/>
            <w:tcBorders/>
            <w:shd w:fill="CFF0FC"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2026</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221,088</w:t>
            </w:r>
          </w:p>
        </w:tc>
        <w:tc>
          <w:tcPr>
            <w:tcW w:w="391" w:type="dxa"/>
            <w:tcBorders/>
            <w:shd w:fill="FFFFFF" w:val="clear"/>
            <w:vAlign w:val="center"/>
          </w:tcPr>
          <w:p>
            <w:pPr>
              <w:pStyle w:val="TableContents"/>
              <w:bidi w:val="0"/>
              <w:spacing w:before="0" w:after="283"/>
              <w:jc w:val="left"/>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2027</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187,846</w:t>
            </w:r>
          </w:p>
        </w:tc>
        <w:tc>
          <w:tcPr>
            <w:tcW w:w="391" w:type="dxa"/>
            <w:tcBorders/>
            <w:shd w:fill="CFF0FC"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9"/>
              </w:rPr>
              <w:t>Thereafter</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184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81" w:type="dxa"/>
            <w:tcBorders/>
            <w:shd w:fill="CFF0FC" w:val="cle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b w:val="false"/>
                <w:color w:val="000000"/>
                <w:sz w:val="19"/>
              </w:rPr>
              <w:t>Total</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868,710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Legal Contingencies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val="false"/>
          <w:color w:val="212529"/>
          <w:sz w:val="20"/>
        </w:rPr>
      </w:pPr>
      <w:r>
        <w:rPr>
          <w:rFonts w:ascii="Times New Roman" w:hAnsi="Times New Roman"/>
          <w:b w:val="false"/>
          <w:color w:val="212529"/>
          <w:sz w:val="20"/>
        </w:rPr>
        <w:t>From time to time, the Company may become a party to litigation and subject to claims incident to the ordinary course of business, including intellectual property claims, labor and employment claims, and threatened claims, breach of contract claims, tax, and other matters. The Company currently has no material pending litigation.</w:t>
      </w:r>
    </w:p>
    <w:p>
      <w:pPr>
        <w:pStyle w:val="TextBody"/>
        <w:bidi w:val="0"/>
        <w:spacing w:before="200" w:after="283"/>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11. Changes in Accumulated Other Comprehensive Loss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The following table summarizes the changes in accumulated other comprehensive loss, which is reported as a component of stockholders’ equity, for the nine months ended September 30, 2023.</w:t>
      </w:r>
    </w:p>
    <w:tbl>
      <w:tblPr>
        <w:tblW w:w="10095" w:type="dxa"/>
        <w:jc w:val="left"/>
        <w:tblInd w:w="0" w:type="dxa"/>
        <w:tblLayout w:type="fixed"/>
        <w:tblCellMar>
          <w:top w:w="28" w:type="dxa"/>
          <w:left w:w="28" w:type="dxa"/>
          <w:bottom w:w="28" w:type="dxa"/>
          <w:right w:w="28" w:type="dxa"/>
        </w:tblCellMar>
      </w:tblPr>
      <w:tblGrid>
        <w:gridCol w:w="4356"/>
        <w:gridCol w:w="146"/>
        <w:gridCol w:w="508"/>
        <w:gridCol w:w="2207"/>
        <w:gridCol w:w="166"/>
        <w:gridCol w:w="146"/>
        <w:gridCol w:w="180"/>
        <w:gridCol w:w="781"/>
        <w:gridCol w:w="166"/>
        <w:gridCol w:w="146"/>
        <w:gridCol w:w="146"/>
        <w:gridCol w:w="736"/>
        <w:gridCol w:w="411"/>
      </w:tblGrid>
      <w:tr>
        <w:trPr/>
        <w:tc>
          <w:tcPr>
            <w:tcW w:w="4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20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3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Cumulative Translation Adjustment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Unrealized </w:t>
              <w:br/>
              <w:t>Loss on</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8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Beginning balance at January 1, 2023</w:t>
            </w:r>
          </w:p>
        </w:tc>
        <w:tc>
          <w:tcPr>
            <w:tcW w:w="146" w:type="dxa"/>
            <w:tcBorders/>
            <w:shd w:fill="CFF0FC" w:val="clear"/>
            <w:vAlign w:val="center"/>
          </w:tcPr>
          <w:p>
            <w:pPr>
              <w:pStyle w:val="TableContents"/>
              <w:bidi w:val="0"/>
              <w:spacing w:before="0" w:after="283"/>
              <w:jc w:val="left"/>
              <w:rPr/>
            </w:pPr>
            <w:r>
              <w:rPr/>
              <w:t> </w:t>
            </w:r>
          </w:p>
        </w:tc>
        <w:tc>
          <w:tcPr>
            <w:tcW w:w="508" w:type="dxa"/>
            <w:tcBorders/>
            <w:shd w:fill="CFF0FC" w:val="clear"/>
            <w:vAlign w:val="center"/>
          </w:tcPr>
          <w:p>
            <w:pPr>
              <w:pStyle w:val="TableContents"/>
              <w:bidi w:val="0"/>
              <w:spacing w:before="0" w:after="283"/>
              <w:jc w:val="left"/>
              <w:rPr/>
            </w:pPr>
            <w:r>
              <w:rPr/>
              <w:t> </w:t>
            </w:r>
          </w:p>
        </w:tc>
        <w:tc>
          <w:tcPr>
            <w:tcW w:w="220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(3,070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80"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(9,820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(12,890</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435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comprehensive gain before reclassifications</w:t>
            </w:r>
          </w:p>
        </w:tc>
        <w:tc>
          <w:tcPr>
            <w:tcW w:w="146"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left"/>
              <w:rPr/>
            </w:pPr>
            <w:r>
              <w:rPr/>
              <w:t> </w:t>
            </w:r>
          </w:p>
        </w:tc>
        <w:tc>
          <w:tcPr>
            <w:tcW w:w="220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(1,805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80"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3,512</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35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 xml:space="preserve">Amounts reclassified from accumulated other </w:t>
              <w:br/>
              <w:t>  comprehensive income</w:t>
            </w:r>
          </w:p>
        </w:tc>
        <w:tc>
          <w:tcPr>
            <w:tcW w:w="146" w:type="dxa"/>
            <w:tcBorders/>
            <w:shd w:fill="CFF0FC" w:val="clear"/>
            <w:vAlign w:val="center"/>
          </w:tcPr>
          <w:p>
            <w:pPr>
              <w:pStyle w:val="TableContents"/>
              <w:bidi w:val="0"/>
              <w:spacing w:before="0" w:after="283"/>
              <w:jc w:val="left"/>
              <w:rPr/>
            </w:pPr>
            <w:r>
              <w:rPr/>
              <w:t> </w:t>
            </w:r>
          </w:p>
        </w:tc>
        <w:tc>
          <w:tcPr>
            <w:tcW w:w="5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Ending balance at September 30, 2023</w:t>
            </w:r>
          </w:p>
        </w:tc>
        <w:tc>
          <w:tcPr>
            <w:tcW w:w="146" w:type="dxa"/>
            <w:tcBorders/>
            <w:shd w:fill="FFFFFF" w:val="clear"/>
            <w:vAlign w:val="center"/>
          </w:tcPr>
          <w:p>
            <w:pPr>
              <w:pStyle w:val="TableContents"/>
              <w:bidi w:val="0"/>
              <w:spacing w:before="0" w:after="283"/>
              <w:jc w:val="left"/>
              <w:rPr/>
            </w:pPr>
            <w:r>
              <w:rPr/>
              <w:t> </w:t>
            </w:r>
          </w:p>
        </w:tc>
        <w:tc>
          <w:tcPr>
            <w:tcW w:w="5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(9,378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200" w:after="283"/>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12. Stock-Based Compensation Expense</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The following two tables show stock-based compensation expense by award type and where the stock-based compensation expense is recorded in the Company’s consolidated statements of operations:</w:t>
      </w:r>
    </w:p>
    <w:tbl>
      <w:tblPr>
        <w:tblW w:w="9756" w:type="dxa"/>
        <w:jc w:val="left"/>
        <w:tblInd w:w="0" w:type="dxa"/>
        <w:tblLayout w:type="fixed"/>
        <w:tblCellMar>
          <w:top w:w="28" w:type="dxa"/>
          <w:left w:w="28" w:type="dxa"/>
          <w:bottom w:w="28" w:type="dxa"/>
          <w:right w:w="28" w:type="dxa"/>
        </w:tblCellMar>
      </w:tblPr>
      <w:tblGrid>
        <w:gridCol w:w="3651"/>
        <w:gridCol w:w="146"/>
        <w:gridCol w:w="261"/>
        <w:gridCol w:w="966"/>
        <w:gridCol w:w="180"/>
        <w:gridCol w:w="180"/>
        <w:gridCol w:w="261"/>
        <w:gridCol w:w="836"/>
        <w:gridCol w:w="146"/>
        <w:gridCol w:w="146"/>
        <w:gridCol w:w="240"/>
        <w:gridCol w:w="890"/>
        <w:gridCol w:w="166"/>
        <w:gridCol w:w="166"/>
        <w:gridCol w:w="240"/>
        <w:gridCol w:w="890"/>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shd w:fill="FFFFFF" w:val="clear"/>
            <w:vAlign w:val="center"/>
          </w:tcPr>
          <w:p>
            <w:pPr>
              <w:pStyle w:val="TableContents"/>
              <w:bidi w:val="0"/>
              <w:spacing w:before="0" w:after="283"/>
              <w:jc w:val="center"/>
              <w:rPr/>
            </w:pPr>
            <w:r>
              <w:rPr/>
              <w:t> </w:t>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pPr>
            <w:r>
              <w:rP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4"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2"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36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Options</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2,958</w:t>
            </w:r>
          </w:p>
        </w:tc>
        <w:tc>
          <w:tcPr>
            <w:tcW w:w="180" w:type="dxa"/>
            <w:tcBorders/>
            <w:shd w:fill="CFF0FC" w:val="clear"/>
            <w:vAlign w:val="center"/>
          </w:tcPr>
          <w:p>
            <w:pPr>
              <w:pStyle w:val="TableContents"/>
              <w:bidi w:val="0"/>
              <w:spacing w:before="0" w:after="283"/>
              <w:jc w:val="left"/>
              <w:rPr/>
            </w:pPr>
            <w:r>
              <w:rPr/>
              <w:t> </w:t>
            </w:r>
          </w:p>
        </w:tc>
        <w:tc>
          <w:tcPr>
            <w:tcW w:w="180"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8,798</w:t>
            </w:r>
          </w:p>
        </w:tc>
        <w:tc>
          <w:tcPr>
            <w:tcW w:w="16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7,692</w:t>
            </w:r>
          </w:p>
        </w:tc>
        <w:tc>
          <w:tcPr>
            <w:tcW w:w="391" w:type="dxa"/>
            <w:tcBorders/>
            <w:shd w:fill="CFF0FC" w:val="clear"/>
            <w:vAlign w:val="center"/>
          </w:tcPr>
          <w:p>
            <w:pPr>
              <w:pStyle w:val="TableContents"/>
              <w:bidi w:val="0"/>
              <w:spacing w:before="0" w:after="283"/>
              <w:jc w:val="left"/>
              <w:rPr/>
            </w:pPr>
            <w:r>
              <w:rPr/>
              <w:t> </w:t>
            </w:r>
          </w:p>
        </w:tc>
      </w:tr>
      <w:tr>
        <w:trPr/>
        <w:tc>
          <w:tcPr>
            <w:tcW w:w="36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RSUs</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96,638</w:t>
            </w:r>
          </w:p>
        </w:tc>
        <w:tc>
          <w:tcPr>
            <w:tcW w:w="18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66,520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287,575</w:t>
            </w:r>
          </w:p>
        </w:tc>
        <w:tc>
          <w:tcPr>
            <w:tcW w:w="16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182,773</w:t>
            </w:r>
          </w:p>
        </w:tc>
        <w:tc>
          <w:tcPr>
            <w:tcW w:w="391" w:type="dxa"/>
            <w:tcBorders/>
            <w:shd w:fill="FFFFFF" w:val="clear"/>
            <w:vAlign w:val="center"/>
          </w:tcPr>
          <w:p>
            <w:pPr>
              <w:pStyle w:val="TableContents"/>
              <w:bidi w:val="0"/>
              <w:spacing w:before="0" w:after="283"/>
              <w:jc w:val="left"/>
              <w:rPr/>
            </w:pPr>
            <w:r>
              <w:rPr/>
              <w:t> </w:t>
            </w:r>
          </w:p>
        </w:tc>
      </w:tr>
      <w:tr>
        <w:trPr/>
        <w:tc>
          <w:tcPr>
            <w:tcW w:w="36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PSUs</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9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3,866</w:t>
            </w:r>
          </w:p>
        </w:tc>
        <w:tc>
          <w:tcPr>
            <w:tcW w:w="180" w:type="dxa"/>
            <w:tcBorders/>
            <w:shd w:fill="CFF0FC" w:val="clear"/>
            <w:vAlign w:val="center"/>
          </w:tcPr>
          <w:p>
            <w:pPr>
              <w:pStyle w:val="TableContents"/>
              <w:bidi w:val="0"/>
              <w:spacing w:before="0" w:after="283"/>
              <w:jc w:val="left"/>
              <w:rPr/>
            </w:pPr>
            <w:r>
              <w:rPr/>
              <w:t> </w:t>
            </w:r>
          </w:p>
        </w:tc>
        <w:tc>
          <w:tcPr>
            <w:tcW w:w="180"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8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0" w:type="dxa"/>
            <w:tcBorders/>
            <w:shd w:fill="CFF0FC" w:val="clear"/>
            <w:vAlign w:val="center"/>
          </w:tcPr>
          <w:p>
            <w:pPr>
              <w:pStyle w:val="TableContents"/>
              <w:bidi w:val="0"/>
              <w:spacing w:before="0" w:after="283"/>
              <w:jc w:val="left"/>
              <w:rPr/>
            </w:pPr>
            <w:r>
              <w:rPr/>
              <w:t> </w:t>
            </w:r>
          </w:p>
        </w:tc>
        <w:tc>
          <w:tcPr>
            <w:tcW w:w="8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9,882</w:t>
            </w:r>
          </w:p>
        </w:tc>
        <w:tc>
          <w:tcPr>
            <w:tcW w:w="16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90"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36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Employee stock purchase plan</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4,044</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8,616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stock-based compensation expense</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107,506</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shd w:fill="CFF0FC" w:val="cle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72,213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318,545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199,081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sz w:val="20"/>
        </w:rPr>
      </w:pPr>
      <w:r>
        <w:rPr>
          <w:rFonts w:ascii="Times New Roman" w:hAnsi="Times New Roman"/>
          <w:b w:val="false"/>
          <w:color w:val="000000"/>
          <w:sz w:val="20"/>
        </w:rPr>
        <w:t>In the first quarter of 2023, the Compensation Committee of the Board of Directors approved the grant of performance-based restricted stock units (“PSUs”) that are eligible to be earned upon the achievement of a pre-determined revenue growth metric. To the extent earned, 33% of the PSUs will vest in the first quarter of 2024 and the remaining 67% will vest in eight equal quarterly installments thereafter. No PSUs will be earned if the pre-determined revenue growth metric is not achieved, and the overall number of shares that may be earned shall not exceed 150% of the target award. Stock-based compensation costs for PSUs are recognized using the graded vesting attribution method over the requisite service period.</w:t>
        <w:br/>
      </w:r>
      <w:r>
        <w:rPr>
          <w:rFonts w:ascii="Times New Roman" w:hAnsi="Times New Roman"/>
          <w:color w:val="000000"/>
          <w:sz w:val="20"/>
        </w:rPr>
        <w:t>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 xml:space="preserve">Effect of stock-based compensation expense on income by line item: </w:t>
        <w:br/>
      </w:r>
      <w:r>
        <w:rPr>
          <w:rFonts w:ascii="Times New Roman" w:hAnsi="Times New Roman"/>
          <w:color w:val="000000"/>
          <w:sz w:val="20"/>
        </w:rPr>
        <w:t> </w:t>
      </w:r>
    </w:p>
    <w:tbl>
      <w:tblPr>
        <w:tblW w:w="10081" w:type="dxa"/>
        <w:jc w:val="left"/>
        <w:tblInd w:w="0" w:type="dxa"/>
        <w:tblLayout w:type="fixed"/>
        <w:tblCellMar>
          <w:top w:w="28" w:type="dxa"/>
          <w:left w:w="28" w:type="dxa"/>
          <w:bottom w:w="28" w:type="dxa"/>
          <w:right w:w="28" w:type="dxa"/>
        </w:tblCellMar>
      </w:tblPr>
      <w:tblGrid>
        <w:gridCol w:w="3976"/>
        <w:gridCol w:w="146"/>
        <w:gridCol w:w="261"/>
        <w:gridCol w:w="966"/>
        <w:gridCol w:w="180"/>
        <w:gridCol w:w="180"/>
        <w:gridCol w:w="261"/>
        <w:gridCol w:w="836"/>
        <w:gridCol w:w="146"/>
        <w:gridCol w:w="146"/>
        <w:gridCol w:w="240"/>
        <w:gridCol w:w="890"/>
        <w:gridCol w:w="166"/>
        <w:gridCol w:w="166"/>
        <w:gridCol w:w="240"/>
        <w:gridCol w:w="890"/>
        <w:gridCol w:w="391"/>
      </w:tblGrid>
      <w:tr>
        <w:trPr/>
        <w:tc>
          <w:tcPr>
            <w:tcW w:w="3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shd w:fill="FFFFFF" w:val="clear"/>
            <w:vAlign w:val="center"/>
          </w:tcPr>
          <w:p>
            <w:pPr>
              <w:pStyle w:val="TableContents"/>
              <w:bidi w:val="0"/>
              <w:spacing w:before="0" w:after="283"/>
              <w:jc w:val="left"/>
              <w:rPr/>
            </w:pPr>
            <w:r>
              <w:rPr/>
              <w:t> </w:t>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pPr>
            <w:r>
              <w:rP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4"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2"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39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 of revenue, subscription</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3,157</w:t>
            </w:r>
          </w:p>
        </w:tc>
        <w:tc>
          <w:tcPr>
            <w:tcW w:w="180" w:type="dxa"/>
            <w:tcBorders/>
            <w:shd w:fill="CFF0FC" w:val="clear"/>
            <w:vAlign w:val="center"/>
          </w:tcPr>
          <w:p>
            <w:pPr>
              <w:pStyle w:val="TableContents"/>
              <w:bidi w:val="0"/>
              <w:spacing w:before="0" w:after="283"/>
              <w:jc w:val="left"/>
              <w:rPr/>
            </w:pPr>
            <w:r>
              <w:rPr/>
              <w:t> </w:t>
            </w:r>
          </w:p>
        </w:tc>
        <w:tc>
          <w:tcPr>
            <w:tcW w:w="180"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9,110</w:t>
            </w:r>
          </w:p>
        </w:tc>
        <w:tc>
          <w:tcPr>
            <w:tcW w:w="16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6,516</w:t>
            </w:r>
          </w:p>
        </w:tc>
        <w:tc>
          <w:tcPr>
            <w:tcW w:w="391" w:type="dxa"/>
            <w:tcBorders/>
            <w:shd w:fill="CFF0FC" w:val="clear"/>
            <w:vAlign w:val="center"/>
          </w:tcPr>
          <w:p>
            <w:pPr>
              <w:pStyle w:val="TableContents"/>
              <w:bidi w:val="0"/>
              <w:spacing w:before="0" w:after="283"/>
              <w:jc w:val="left"/>
              <w:rPr/>
            </w:pPr>
            <w:r>
              <w:rPr/>
              <w:t> </w:t>
            </w:r>
          </w:p>
        </w:tc>
      </w:tr>
      <w:tr>
        <w:trPr/>
        <w:tc>
          <w:tcPr>
            <w:tcW w:w="39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 of revenue, professional services and other</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1,201</w:t>
            </w:r>
          </w:p>
        </w:tc>
        <w:tc>
          <w:tcPr>
            <w:tcW w:w="18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3,748</w:t>
            </w:r>
          </w:p>
        </w:tc>
        <w:tc>
          <w:tcPr>
            <w:tcW w:w="16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3,251</w:t>
            </w:r>
          </w:p>
        </w:tc>
        <w:tc>
          <w:tcPr>
            <w:tcW w:w="391" w:type="dxa"/>
            <w:tcBorders/>
            <w:shd w:fill="FFFFFF" w:val="clear"/>
            <w:vAlign w:val="center"/>
          </w:tcPr>
          <w:p>
            <w:pPr>
              <w:pStyle w:val="TableContents"/>
              <w:bidi w:val="0"/>
              <w:spacing w:before="0" w:after="283"/>
              <w:jc w:val="left"/>
              <w:rPr/>
            </w:pPr>
            <w:r>
              <w:rPr/>
              <w:t> </w:t>
            </w:r>
          </w:p>
        </w:tc>
      </w:tr>
      <w:tr>
        <w:trPr/>
        <w:tc>
          <w:tcPr>
            <w:tcW w:w="39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9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49,460</w:t>
            </w:r>
          </w:p>
        </w:tc>
        <w:tc>
          <w:tcPr>
            <w:tcW w:w="180" w:type="dxa"/>
            <w:tcBorders/>
            <w:shd w:fill="CFF0FC" w:val="clear"/>
            <w:vAlign w:val="center"/>
          </w:tcPr>
          <w:p>
            <w:pPr>
              <w:pStyle w:val="TableContents"/>
              <w:bidi w:val="0"/>
              <w:spacing w:before="0" w:after="283"/>
              <w:jc w:val="left"/>
              <w:rPr/>
            </w:pPr>
            <w:r>
              <w:rPr/>
              <w:t> </w:t>
            </w:r>
          </w:p>
        </w:tc>
        <w:tc>
          <w:tcPr>
            <w:tcW w:w="180"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8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28,585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0" w:type="dxa"/>
            <w:tcBorders/>
            <w:shd w:fill="CFF0FC" w:val="clear"/>
            <w:vAlign w:val="center"/>
          </w:tcPr>
          <w:p>
            <w:pPr>
              <w:pStyle w:val="TableContents"/>
              <w:bidi w:val="0"/>
              <w:spacing w:before="0" w:after="283"/>
              <w:jc w:val="left"/>
              <w:rPr/>
            </w:pPr>
            <w:r>
              <w:rPr/>
              <w:t> </w:t>
            </w:r>
          </w:p>
        </w:tc>
        <w:tc>
          <w:tcPr>
            <w:tcW w:w="8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146,845</w:t>
            </w:r>
          </w:p>
        </w:tc>
        <w:tc>
          <w:tcPr>
            <w:tcW w:w="16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77,269</w:t>
            </w:r>
          </w:p>
        </w:tc>
        <w:tc>
          <w:tcPr>
            <w:tcW w:w="391" w:type="dxa"/>
            <w:tcBorders/>
            <w:shd w:fill="CFF0FC" w:val="clear"/>
            <w:vAlign w:val="center"/>
          </w:tcPr>
          <w:p>
            <w:pPr>
              <w:pStyle w:val="TableContents"/>
              <w:bidi w:val="0"/>
              <w:spacing w:before="0" w:after="283"/>
              <w:jc w:val="left"/>
              <w:rPr/>
            </w:pPr>
            <w:r>
              <w:rPr/>
              <w:t> </w:t>
            </w:r>
          </w:p>
        </w:tc>
      </w:tr>
      <w:tr>
        <w:trPr/>
        <w:tc>
          <w:tcPr>
            <w:tcW w:w="39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Sales and marketing</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34,439</w:t>
            </w:r>
          </w:p>
        </w:tc>
        <w:tc>
          <w:tcPr>
            <w:tcW w:w="18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28,060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103,233</w:t>
            </w:r>
          </w:p>
        </w:tc>
        <w:tc>
          <w:tcPr>
            <w:tcW w:w="16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77,113</w:t>
            </w:r>
          </w:p>
        </w:tc>
        <w:tc>
          <w:tcPr>
            <w:tcW w:w="391" w:type="dxa"/>
            <w:tcBorders/>
            <w:shd w:fill="FFFFFF" w:val="clear"/>
            <w:vAlign w:val="center"/>
          </w:tcPr>
          <w:p>
            <w:pPr>
              <w:pStyle w:val="TableContents"/>
              <w:bidi w:val="0"/>
              <w:spacing w:before="0" w:after="283"/>
              <w:jc w:val="left"/>
              <w:rPr/>
            </w:pPr>
            <w:r>
              <w:rPr/>
              <w:t> </w:t>
            </w:r>
          </w:p>
        </w:tc>
      </w:tr>
      <w:tr>
        <w:trPr/>
        <w:tc>
          <w:tcPr>
            <w:tcW w:w="39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19,249</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shd w:fill="CFF0FC" w:val="cle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55,609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34,932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7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stock-based compensation expense</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107,506</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72,213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318,545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199,081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sz w:val="20"/>
        </w:rPr>
      </w:pPr>
      <w:r>
        <w:rPr>
          <w:rFonts w:ascii="Times New Roman" w:hAnsi="Times New Roman"/>
          <w:b w:val="false"/>
          <w:color w:val="000000"/>
          <w:sz w:val="20"/>
        </w:rPr>
        <w:t>Capitalized software development costs excluded from stock-based compensation expense is $6.9</w:t>
      </w:r>
      <w:r>
        <w:rPr>
          <w:rFonts w:ascii="Times New Roman" w:hAnsi="Times New Roman"/>
          <w:color w:val="000000"/>
          <w:sz w:val="20"/>
        </w:rPr>
        <w:t xml:space="preserve"> </w:t>
      </w:r>
      <w:r>
        <w:rPr>
          <w:rFonts w:ascii="Times New Roman" w:hAnsi="Times New Roman"/>
          <w:b w:val="false"/>
          <w:color w:val="000000"/>
          <w:sz w:val="20"/>
        </w:rPr>
        <w:t>million for the three months ended September 30, 2023, $21.0</w:t>
      </w:r>
      <w:r>
        <w:rPr>
          <w:rFonts w:ascii="Times New Roman" w:hAnsi="Times New Roman"/>
          <w:color w:val="000000"/>
          <w:sz w:val="20"/>
        </w:rPr>
        <w:t xml:space="preserve"> </w:t>
      </w:r>
      <w:r>
        <w:rPr>
          <w:rFonts w:ascii="Times New Roman" w:hAnsi="Times New Roman"/>
          <w:b w:val="false"/>
          <w:color w:val="000000"/>
          <w:sz w:val="20"/>
        </w:rPr>
        <w:t>million for the nine months ended September 30, 2023, $3.4</w:t>
      </w:r>
      <w:r>
        <w:rPr>
          <w:rFonts w:ascii="Times New Roman" w:hAnsi="Times New Roman"/>
          <w:color w:val="000000"/>
          <w:sz w:val="20"/>
        </w:rPr>
        <w:t xml:space="preserve"> </w:t>
      </w:r>
      <w:r>
        <w:rPr>
          <w:rFonts w:ascii="Times New Roman" w:hAnsi="Times New Roman"/>
          <w:b w:val="false"/>
          <w:color w:val="000000"/>
          <w:sz w:val="20"/>
        </w:rPr>
        <w:t>million for the three months ended</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September 30, 2022, and $9.0</w:t>
      </w:r>
      <w:r>
        <w:rPr>
          <w:rFonts w:ascii="Times New Roman" w:hAnsi="Times New Roman"/>
          <w:color w:val="000000"/>
          <w:sz w:val="20"/>
        </w:rPr>
        <w:t xml:space="preserve"> </w:t>
      </w:r>
      <w:r>
        <w:rPr>
          <w:rFonts w:ascii="Times New Roman" w:hAnsi="Times New Roman"/>
          <w:b w:val="false"/>
          <w:color w:val="000000"/>
          <w:sz w:val="20"/>
        </w:rPr>
        <w:t>million for the nine months ended September 30, 2022. Also excluded in the nine months ended September 30, 2023</w:t>
      </w:r>
      <w:r>
        <w:rPr>
          <w:rFonts w:ascii="Times New Roman" w:hAnsi="Times New Roman"/>
          <w:color w:val="000000"/>
          <w:sz w:val="20"/>
        </w:rPr>
        <w:t xml:space="preserve"> </w:t>
      </w:r>
      <w:r>
        <w:rPr>
          <w:rFonts w:ascii="Times New Roman" w:hAnsi="Times New Roman"/>
          <w:b w:val="false"/>
          <w:color w:val="000000"/>
          <w:sz w:val="20"/>
        </w:rPr>
        <w:t>is $1.0</w:t>
      </w:r>
      <w:r>
        <w:rPr>
          <w:rFonts w:ascii="Times New Roman" w:hAnsi="Times New Roman"/>
          <w:color w:val="000000"/>
          <w:sz w:val="20"/>
        </w:rPr>
        <w:t xml:space="preserve"> </w:t>
      </w:r>
      <w:r>
        <w:rPr>
          <w:rFonts w:ascii="Times New Roman" w:hAnsi="Times New Roman"/>
          <w:b w:val="false"/>
          <w:color w:val="000000"/>
          <w:sz w:val="20"/>
        </w:rPr>
        <w:t>million of stock-based compensation expense incurred in connection with the Restructuring Plan. See Note 15 for more details.</w:t>
      </w:r>
      <w:r>
        <w:rPr>
          <w:rFonts w:ascii="Times New Roman" w:hAnsi="Times New Roman"/>
          <w:color w:val="000000"/>
          <w:sz w:val="20"/>
        </w:rPr>
        <w:t xml:space="preserve">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13. Segment Information and Geographic Data</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The Company operates as one</w:t>
      </w:r>
      <w:r>
        <w:rPr>
          <w:rFonts w:ascii="Times New Roman" w:hAnsi="Times New Roman"/>
          <w:color w:val="000000"/>
          <w:sz w:val="20"/>
        </w:rPr>
        <w:t xml:space="preserve"> </w:t>
      </w:r>
      <w:r>
        <w:rPr>
          <w:rFonts w:ascii="Times New Roman" w:hAnsi="Times New Roman"/>
          <w:b w:val="false"/>
          <w:color w:val="000000"/>
          <w:sz w:val="20"/>
        </w:rPr>
        <w:t>operating segment. Operating segments are defined as components of an enterprise for which separate financial information is regularly evaluated by the chief operating decision maker (“CODM”), which is the Company’s chief executive officer, in deciding how to allocate resources and assess performance. The Company’s CODM evaluates the Company’s financial information and resources and assesses the performance of these resources on a consolidated basis. Since the Company operates in one operating segment, all required financial segment information can be found in the consolidated financial statements. Revenue and long-lived assets by geographic region, based on the physical location of the operations recording the sale or the asset, are as follows:</w:t>
      </w:r>
      <w:r>
        <w:rPr>
          <w:rFonts w:ascii="Times New Roman" w:hAnsi="Times New Roman"/>
          <w:color w:val="000000"/>
          <w:sz w:val="2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Revenues by geographical region:</w:t>
      </w:r>
    </w:p>
    <w:tbl>
      <w:tblPr>
        <w:tblW w:w="10060" w:type="dxa"/>
        <w:jc w:val="left"/>
        <w:tblInd w:w="0" w:type="dxa"/>
        <w:tblLayout w:type="fixed"/>
        <w:tblCellMar>
          <w:top w:w="28" w:type="dxa"/>
          <w:left w:w="28" w:type="dxa"/>
          <w:bottom w:w="28" w:type="dxa"/>
          <w:right w:w="28" w:type="dxa"/>
        </w:tblCellMar>
      </w:tblPr>
      <w:tblGrid>
        <w:gridCol w:w="3721"/>
        <w:gridCol w:w="146"/>
        <w:gridCol w:w="236"/>
        <w:gridCol w:w="873"/>
        <w:gridCol w:w="303"/>
        <w:gridCol w:w="163"/>
        <w:gridCol w:w="236"/>
        <w:gridCol w:w="873"/>
        <w:gridCol w:w="271"/>
        <w:gridCol w:w="146"/>
        <w:gridCol w:w="211"/>
        <w:gridCol w:w="931"/>
        <w:gridCol w:w="271"/>
        <w:gridCol w:w="146"/>
        <w:gridCol w:w="211"/>
        <w:gridCol w:w="931"/>
        <w:gridCol w:w="391"/>
      </w:tblGrid>
      <w:tr>
        <w:trPr/>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vAlign w:val="center"/>
          </w:tcPr>
          <w:p>
            <w:pPr>
              <w:pStyle w:val="TableContents"/>
              <w:bidi w:val="0"/>
              <w:spacing w:before="0" w:after="283"/>
              <w:jc w:val="left"/>
              <w:rPr/>
            </w:pPr>
            <w:r>
              <w:rPr/>
              <w:t> </w:t>
            </w:r>
          </w:p>
        </w:tc>
        <w:tc>
          <w:tcPr>
            <w:tcW w:w="11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4"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37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Americas</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337,113</w:t>
            </w:r>
          </w:p>
        </w:tc>
        <w:tc>
          <w:tcPr>
            <w:tcW w:w="303"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276,613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966,762</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777,960</w:t>
            </w:r>
          </w:p>
        </w:tc>
        <w:tc>
          <w:tcPr>
            <w:tcW w:w="391" w:type="dxa"/>
            <w:tcBorders/>
            <w:shd w:fill="FFFFFF" w:val="clear"/>
            <w:vAlign w:val="center"/>
          </w:tcPr>
          <w:p>
            <w:pPr>
              <w:pStyle w:val="TableContents"/>
              <w:bidi w:val="0"/>
              <w:spacing w:before="0" w:after="283"/>
              <w:jc w:val="left"/>
              <w:rPr/>
            </w:pPr>
            <w:r>
              <w:rPr/>
              <w:t> </w:t>
            </w:r>
          </w:p>
        </w:tc>
      </w:tr>
      <w:tr>
        <w:trPr/>
        <w:tc>
          <w:tcPr>
            <w:tcW w:w="37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Europe</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87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174,428</w:t>
            </w:r>
          </w:p>
        </w:tc>
        <w:tc>
          <w:tcPr>
            <w:tcW w:w="303"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87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128,934</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488,009</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373,264</w:t>
            </w:r>
          </w:p>
        </w:tc>
        <w:tc>
          <w:tcPr>
            <w:tcW w:w="391" w:type="dxa"/>
            <w:tcBorders/>
            <w:shd w:fill="CFF0FC" w:val="clear"/>
            <w:vAlign w:val="center"/>
          </w:tcPr>
          <w:p>
            <w:pPr>
              <w:pStyle w:val="TableContents"/>
              <w:bidi w:val="0"/>
              <w:spacing w:before="0" w:after="283"/>
              <w:jc w:val="left"/>
              <w:rPr/>
            </w:pPr>
            <w:r>
              <w:rPr/>
              <w:t> </w:t>
            </w:r>
          </w:p>
        </w:tc>
      </w:tr>
      <w:tr>
        <w:trPr/>
        <w:tc>
          <w:tcPr>
            <w:tcW w:w="37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Asia Pacific</w:t>
            </w:r>
          </w:p>
        </w:tc>
        <w:tc>
          <w:tcPr>
            <w:tcW w:w="146" w:type="dxa"/>
            <w:tcBorders/>
            <w:shd w:fill="FFFFFF" w:val="cle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46,016</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38,411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133,544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110,089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557,557</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443,958</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1,588,315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1,261,313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 xml:space="preserve">Percentage of revenues generated outside of </w:t>
              <w:br/>
              <w:t>  the Americas</w:t>
            </w:r>
          </w:p>
        </w:tc>
        <w:tc>
          <w:tcPr>
            <w:tcW w:w="146"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3"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200" w:after="283"/>
        <w:jc w:val="left"/>
        <w:rPr>
          <w:rFonts w:ascii="Times New Roman" w:hAnsi="Times New Roman"/>
          <w:sz w:val="20"/>
        </w:rPr>
      </w:pPr>
      <w:r>
        <w:rPr>
          <w:rFonts w:ascii="Times New Roman" w:hAnsi="Times New Roman"/>
          <w:b w:val="false"/>
          <w:color w:val="000000"/>
          <w:sz w:val="20"/>
        </w:rPr>
        <w:t>Revenue derived from customers outside the United States (international) was approximately 47%</w:t>
      </w:r>
      <w:r>
        <w:rPr>
          <w:rFonts w:ascii="Times New Roman" w:hAnsi="Times New Roman"/>
          <w:color w:val="000000"/>
          <w:sz w:val="20"/>
        </w:rPr>
        <w:t xml:space="preserve"> </w:t>
      </w:r>
      <w:r>
        <w:rPr>
          <w:rFonts w:ascii="Times New Roman" w:hAnsi="Times New Roman"/>
          <w:b w:val="false"/>
          <w:color w:val="000000"/>
          <w:sz w:val="20"/>
        </w:rPr>
        <w:t>of total revenue in the three and nine months ended September 30, 2023 and 46%</w:t>
      </w:r>
      <w:r>
        <w:rPr>
          <w:rFonts w:ascii="Times New Roman" w:hAnsi="Times New Roman"/>
          <w:color w:val="000000"/>
          <w:sz w:val="20"/>
        </w:rPr>
        <w:t xml:space="preserve"> </w:t>
      </w:r>
      <w:r>
        <w:rPr>
          <w:rFonts w:ascii="Times New Roman" w:hAnsi="Times New Roman"/>
          <w:b w:val="false"/>
          <w:color w:val="000000"/>
          <w:sz w:val="20"/>
        </w:rPr>
        <w:t>of total revenue in the three and nine months ended September 30, 2022.</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Total long-lived assets by geographical region:</w:t>
        <w:br/>
      </w:r>
      <w:r>
        <w:rPr>
          <w:rFonts w:ascii="Times New Roman" w:hAnsi="Times New Roman"/>
          <w:color w:val="000000"/>
          <w:sz w:val="20"/>
        </w:rPr>
        <w:t> </w:t>
      </w:r>
    </w:p>
    <w:tbl>
      <w:tblPr>
        <w:tblW w:w="9820" w:type="dxa"/>
        <w:jc w:val="left"/>
        <w:tblInd w:w="0" w:type="dxa"/>
        <w:tblLayout w:type="fixed"/>
        <w:tblCellMar>
          <w:top w:w="28" w:type="dxa"/>
          <w:left w:w="28" w:type="dxa"/>
          <w:bottom w:w="28" w:type="dxa"/>
          <w:right w:w="28" w:type="dxa"/>
        </w:tblCellMar>
      </w:tblPr>
      <w:tblGrid>
        <w:gridCol w:w="4981"/>
        <w:gridCol w:w="146"/>
        <w:gridCol w:w="418"/>
        <w:gridCol w:w="1547"/>
        <w:gridCol w:w="271"/>
        <w:gridCol w:w="146"/>
        <w:gridCol w:w="408"/>
        <w:gridCol w:w="1512"/>
        <w:gridCol w:w="391"/>
      </w:tblGrid>
      <w:tr>
        <w:trPr/>
        <w:tc>
          <w:tcPr>
            <w:tcW w:w="4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9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 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02"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49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Americas</w:t>
            </w:r>
          </w:p>
        </w:tc>
        <w:tc>
          <w:tcPr>
            <w:tcW w:w="146" w:type="dxa"/>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4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240,010</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1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290,977</w:t>
            </w:r>
          </w:p>
        </w:tc>
        <w:tc>
          <w:tcPr>
            <w:tcW w:w="391" w:type="dxa"/>
            <w:tcBorders/>
            <w:shd w:fill="CFF0FC" w:val="clear"/>
            <w:vAlign w:val="center"/>
          </w:tcPr>
          <w:p>
            <w:pPr>
              <w:pStyle w:val="TableContents"/>
              <w:bidi w:val="0"/>
              <w:spacing w:before="0" w:after="283"/>
              <w:jc w:val="left"/>
              <w:rPr/>
            </w:pPr>
            <w:r>
              <w:rPr/>
              <w:t> </w:t>
            </w:r>
          </w:p>
        </w:tc>
      </w:tr>
      <w:tr>
        <w:trPr/>
        <w:tc>
          <w:tcPr>
            <w:tcW w:w="49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Europe</w:t>
            </w:r>
          </w:p>
        </w:tc>
        <w:tc>
          <w:tcPr>
            <w:tcW w:w="146" w:type="dxa"/>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jc w:val="left"/>
              <w:rPr/>
            </w:pPr>
            <w:r>
              <w:rPr/>
              <w:t> </w:t>
            </w:r>
          </w:p>
        </w:tc>
        <w:tc>
          <w:tcPr>
            <w:tcW w:w="154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110,690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left"/>
              <w:rPr/>
            </w:pPr>
            <w:r>
              <w:rPr/>
              <w:t> </w:t>
            </w:r>
          </w:p>
        </w:tc>
        <w:tc>
          <w:tcPr>
            <w:tcW w:w="151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123,311</w:t>
            </w:r>
          </w:p>
        </w:tc>
        <w:tc>
          <w:tcPr>
            <w:tcW w:w="391" w:type="dxa"/>
            <w:tcBorders/>
            <w:shd w:fill="FFFFFF" w:val="clear"/>
            <w:vAlign w:val="center"/>
          </w:tcPr>
          <w:p>
            <w:pPr>
              <w:pStyle w:val="TableContents"/>
              <w:bidi w:val="0"/>
              <w:spacing w:before="0" w:after="283"/>
              <w:jc w:val="left"/>
              <w:rPr/>
            </w:pPr>
            <w:r>
              <w:rPr/>
              <w:t> </w:t>
            </w:r>
          </w:p>
        </w:tc>
      </w:tr>
      <w:tr>
        <w:trPr/>
        <w:tc>
          <w:tcPr>
            <w:tcW w:w="49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Asia Pacific</w:t>
            </w:r>
          </w:p>
        </w:tc>
        <w:tc>
          <w:tcPr>
            <w:tcW w:w="146" w:type="dxa"/>
            <w:tcBorders/>
            <w:shd w:fill="CFF0FC" w:val="clear"/>
            <w:vAlign w:val="center"/>
          </w:tcPr>
          <w:p>
            <w:pPr>
              <w:pStyle w:val="TableContents"/>
              <w:bidi w:val="0"/>
              <w:spacing w:before="0" w:after="283"/>
              <w:jc w:val="left"/>
              <w:rPr/>
            </w:pPr>
            <w:r>
              <w:rPr/>
              <w:t> </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8,732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10,243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98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long-lived assets</w:t>
            </w:r>
          </w:p>
        </w:tc>
        <w:tc>
          <w:tcPr>
            <w:tcW w:w="146" w:type="dxa"/>
            <w:tcBorders/>
            <w:shd w:fill="FFFFFF" w:val="clear"/>
            <w:vAlign w:val="center"/>
          </w:tcPr>
          <w:p>
            <w:pPr>
              <w:pStyle w:val="TableContents"/>
              <w:bidi w:val="0"/>
              <w:spacing w:before="0" w:after="283"/>
              <w:jc w:val="left"/>
              <w:rPr/>
            </w:pPr>
            <w:r>
              <w:rPr/>
              <w:t> </w:t>
            </w:r>
          </w:p>
        </w:tc>
        <w:tc>
          <w:tcPr>
            <w:tcW w:w="4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359,432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424,531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Percentage of long-lived assets held outside of the Americas</w:t>
            </w:r>
          </w:p>
        </w:tc>
        <w:tc>
          <w:tcPr>
            <w:tcW w:w="146" w:type="dxa"/>
            <w:tcBorders/>
            <w:shd w:fill="CFF0FC" w:val="clear"/>
            <w:vAlign w:val="center"/>
          </w:tcPr>
          <w:p>
            <w:pPr>
              <w:pStyle w:val="TableContents"/>
              <w:bidi w:val="0"/>
              <w:spacing w:before="0" w:after="283"/>
              <w:jc w:val="left"/>
              <w:rPr/>
            </w:pPr>
            <w:r>
              <w:rPr/>
              <w:t> </w:t>
            </w:r>
          </w:p>
        </w:tc>
        <w:tc>
          <w:tcPr>
            <w:tcW w:w="4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200" w:after="283"/>
        <w:jc w:val="left"/>
        <w:rPr/>
      </w:pPr>
      <w:r>
        <w:rPr/>
        <w:t> </w:t>
      </w:r>
    </w:p>
    <w:p>
      <w:pPr>
        <w:pStyle w:val="TextBody"/>
        <w:bidi w:val="0"/>
        <w:spacing w:before="200" w:after="283"/>
        <w:jc w:val="left"/>
        <w:rPr>
          <w:rFonts w:ascii="Times New Roman" w:hAnsi="Times New Roman"/>
          <w:sz w:val="20"/>
        </w:rPr>
      </w:pPr>
      <w:r>
        <w:rPr>
          <w:rFonts w:ascii="Times New Roman" w:hAnsi="Times New Roman"/>
          <w:b/>
          <w:color w:val="000000"/>
          <w:sz w:val="20"/>
        </w:rPr>
        <w:t>14. Intangible Assets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In the three months ended June 30, 2022, the Company purchased the rights to the domain name "connect.com" for $10.0</w:t>
      </w:r>
      <w:r>
        <w:rPr>
          <w:rFonts w:ascii="Times New Roman" w:hAnsi="Times New Roman"/>
          <w:color w:val="000000"/>
          <w:sz w:val="20"/>
        </w:rPr>
        <w:t xml:space="preserve"> </w:t>
      </w:r>
      <w:r>
        <w:rPr>
          <w:rFonts w:ascii="Times New Roman" w:hAnsi="Times New Roman"/>
          <w:b w:val="false"/>
          <w:color w:val="000000"/>
          <w:sz w:val="20"/>
        </w:rPr>
        <w:t>million. The domain is being used to host a networked community for customers, Solutions Partners, and prospects. The cost is amortized on a straight-line basis over its estimated useful life of seven years. Amortization expense was $0.4</w:t>
      </w:r>
      <w:r>
        <w:rPr>
          <w:rFonts w:ascii="Times New Roman" w:hAnsi="Times New Roman"/>
          <w:color w:val="000000"/>
          <w:sz w:val="20"/>
        </w:rPr>
        <w:t xml:space="preserve"> </w:t>
      </w:r>
      <w:r>
        <w:rPr>
          <w:rFonts w:ascii="Times New Roman" w:hAnsi="Times New Roman"/>
          <w:b w:val="false"/>
          <w:color w:val="000000"/>
          <w:sz w:val="20"/>
        </w:rPr>
        <w:t>million for the three months ended September 30, 2023, $1.1</w:t>
      </w:r>
      <w:r>
        <w:rPr>
          <w:rFonts w:ascii="Times New Roman" w:hAnsi="Times New Roman"/>
          <w:color w:val="000000"/>
          <w:sz w:val="20"/>
        </w:rPr>
        <w:t xml:space="preserve"> </w:t>
      </w:r>
      <w:r>
        <w:rPr>
          <w:rFonts w:ascii="Times New Roman" w:hAnsi="Times New Roman"/>
          <w:b w:val="false"/>
          <w:color w:val="000000"/>
          <w:sz w:val="20"/>
        </w:rPr>
        <w:t>million for the nine months ended September 30, 2023, $0.4</w:t>
      </w:r>
      <w:r>
        <w:rPr>
          <w:rFonts w:ascii="Times New Roman" w:hAnsi="Times New Roman"/>
          <w:color w:val="000000"/>
          <w:sz w:val="20"/>
        </w:rPr>
        <w:t xml:space="preserve"> </w:t>
      </w:r>
      <w:r>
        <w:rPr>
          <w:rFonts w:ascii="Times New Roman" w:hAnsi="Times New Roman"/>
          <w:b w:val="false"/>
          <w:color w:val="000000"/>
          <w:sz w:val="20"/>
        </w:rPr>
        <w:t>million for the three months ended September 30, 2022, and $0.7</w:t>
      </w:r>
      <w:r>
        <w:rPr>
          <w:rFonts w:ascii="Times New Roman" w:hAnsi="Times New Roman"/>
          <w:color w:val="000000"/>
          <w:sz w:val="20"/>
        </w:rPr>
        <w:t xml:space="preserve"> </w:t>
      </w:r>
      <w:r>
        <w:rPr>
          <w:rFonts w:ascii="Times New Roman" w:hAnsi="Times New Roman"/>
          <w:b w:val="false"/>
          <w:color w:val="000000"/>
          <w:sz w:val="20"/>
        </w:rPr>
        <w:t>million in the nine months ended September 30, 2022. The expense is included in sales and marketing expense in the consolidated statements of operations.</w:t>
      </w:r>
      <w:r>
        <w:rPr>
          <w:rFonts w:ascii="Times New Roman" w:hAnsi="Times New Roman"/>
          <w:color w:val="000000"/>
          <w:sz w:val="20"/>
        </w:rPr>
        <w:t xml:space="preserve">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15. Restructuring Plan</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On January 25, 2023, the Company's board of directors authorized a restructuring plan (the “Restructuring Plan”) that is designed to reduce operating costs and enable investment in key opportunities for long-term growth while driving continued profitability. The Restructuring Plan includes a reduction of the Company’s workforce by approximately 7% and a global lease consolidation to create higher density across our workspaces.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During the nine months ended September 30, 2023, the Company terminated and abandoned various leases of office spaces globally. The Company recorded a reduction in right-of-use assets of $44.6</w:t>
      </w:r>
      <w:r>
        <w:rPr>
          <w:rFonts w:ascii="Times New Roman" w:hAnsi="Times New Roman"/>
          <w:color w:val="000000"/>
          <w:sz w:val="20"/>
        </w:rPr>
        <w:t xml:space="preserve"> </w:t>
      </w:r>
      <w:r>
        <w:rPr>
          <w:rFonts w:ascii="Times New Roman" w:hAnsi="Times New Roman"/>
          <w:b w:val="false"/>
          <w:color w:val="000000"/>
          <w:sz w:val="20"/>
        </w:rPr>
        <w:t>million and an increase in lease liabilities of $6.3</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for these leases during the period upon the lease terminations or abandonments. In the three months ended September 30, 2023, the Company incurred $0.8</w:t>
      </w:r>
      <w:r>
        <w:rPr>
          <w:rFonts w:ascii="Times New Roman" w:hAnsi="Times New Roman"/>
          <w:color w:val="000000"/>
          <w:sz w:val="20"/>
        </w:rPr>
        <w:t xml:space="preserve"> </w:t>
      </w:r>
      <w:r>
        <w:rPr>
          <w:rFonts w:ascii="Times New Roman" w:hAnsi="Times New Roman"/>
          <w:b w:val="false"/>
          <w:color w:val="000000"/>
          <w:sz w:val="20"/>
        </w:rPr>
        <w:t>million of restructuring charges in connection with these leases. In the nine months ended September 30, 2023, the Company incurred $93.3</w:t>
      </w:r>
      <w:r>
        <w:rPr>
          <w:rFonts w:ascii="Times New Roman" w:hAnsi="Times New Roman"/>
          <w:color w:val="000000"/>
          <w:sz w:val="20"/>
        </w:rPr>
        <w:t xml:space="preserve"> </w:t>
      </w:r>
      <w:r>
        <w:rPr>
          <w:rFonts w:ascii="Times New Roman" w:hAnsi="Times New Roman"/>
          <w:b w:val="false"/>
          <w:color w:val="000000"/>
          <w:sz w:val="20"/>
        </w:rPr>
        <w:t>million of restructuring charges, composed of $66.4</w:t>
      </w:r>
      <w:r>
        <w:rPr>
          <w:rFonts w:ascii="Times New Roman" w:hAnsi="Times New Roman"/>
          <w:color w:val="000000"/>
          <w:sz w:val="20"/>
        </w:rPr>
        <w:t xml:space="preserve"> </w:t>
      </w:r>
      <w:r>
        <w:rPr>
          <w:rFonts w:ascii="Times New Roman" w:hAnsi="Times New Roman"/>
          <w:b w:val="false"/>
          <w:color w:val="000000"/>
          <w:sz w:val="20"/>
        </w:rPr>
        <w:t>million related to facilities and $26.9</w:t>
      </w:r>
      <w:r>
        <w:rPr>
          <w:rFonts w:ascii="Times New Roman" w:hAnsi="Times New Roman"/>
          <w:color w:val="000000"/>
          <w:sz w:val="20"/>
        </w:rPr>
        <w:t xml:space="preserve"> </w:t>
      </w:r>
      <w:r>
        <w:rPr>
          <w:rFonts w:ascii="Times New Roman" w:hAnsi="Times New Roman"/>
          <w:b w:val="false"/>
          <w:color w:val="000000"/>
          <w:sz w:val="20"/>
        </w:rPr>
        <w:t>million for severance, employee related benefits, and other costs, including $1.0</w:t>
      </w:r>
      <w:r>
        <w:rPr>
          <w:rFonts w:ascii="Times New Roman" w:hAnsi="Times New Roman"/>
          <w:color w:val="000000"/>
          <w:sz w:val="20"/>
        </w:rPr>
        <w:t xml:space="preserve"> </w:t>
      </w:r>
      <w:r>
        <w:rPr>
          <w:rFonts w:ascii="Times New Roman" w:hAnsi="Times New Roman"/>
          <w:b w:val="false"/>
          <w:color w:val="000000"/>
          <w:sz w:val="20"/>
        </w:rPr>
        <w:t>million of stock-based compensation expense. The charges are recorded to the restructuring line item within the consolidated statements of operations.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The following table summarizes the Company's restructuring liabilities as of September 30, 2023:</w:t>
        <w:br/>
      </w:r>
      <w:r>
        <w:rPr>
          <w:rFonts w:ascii="Times New Roman" w:hAnsi="Times New Roman"/>
          <w:color w:val="000000"/>
          <w:sz w:val="20"/>
        </w:rPr>
        <w:t> </w:t>
      </w:r>
    </w:p>
    <w:tbl>
      <w:tblPr>
        <w:tblW w:w="7275" w:type="dxa"/>
        <w:jc w:val="left"/>
        <w:tblInd w:w="0" w:type="dxa"/>
        <w:tblLayout w:type="fixed"/>
        <w:tblCellMar>
          <w:top w:w="28" w:type="dxa"/>
          <w:left w:w="28" w:type="dxa"/>
          <w:bottom w:w="28" w:type="dxa"/>
          <w:right w:w="28" w:type="dxa"/>
        </w:tblCellMar>
      </w:tblPr>
      <w:tblGrid>
        <w:gridCol w:w="3256"/>
        <w:gridCol w:w="146"/>
        <w:gridCol w:w="364"/>
        <w:gridCol w:w="1271"/>
        <w:gridCol w:w="166"/>
        <w:gridCol w:w="146"/>
        <w:gridCol w:w="337"/>
        <w:gridCol w:w="1178"/>
        <w:gridCol w:w="411"/>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Workforce reduction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Lease consolidation</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2"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vAlign w:val="center"/>
          </w:tcPr>
          <w:p>
            <w:pPr>
              <w:pStyle w:val="TableContents"/>
              <w:bidi w:val="0"/>
              <w:spacing w:before="0" w:after="283"/>
              <w:jc w:val="center"/>
              <w:rPr/>
            </w:pPr>
            <w:r>
              <w:rPr/>
              <w:t> </w:t>
            </w:r>
          </w:p>
        </w:tc>
      </w:tr>
      <w:tr>
        <w:trPr/>
        <w:tc>
          <w:tcPr>
            <w:tcW w:w="32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Beginning balance at January 1, 2023</w:t>
            </w:r>
          </w:p>
        </w:tc>
        <w:tc>
          <w:tcPr>
            <w:tcW w:w="146"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78" w:type="dxa"/>
            <w:tcBorders/>
            <w:shd w:fill="FFFFFF" w:val="clear"/>
            <w:vAlign w:val="center"/>
          </w:tcPr>
          <w:p>
            <w:pPr>
              <w:pStyle w:val="TableContents"/>
              <w:bidi w:val="0"/>
              <w:spacing w:before="0" w:after="283"/>
              <w:jc w:val="right"/>
              <w:rPr>
                <w:color w:val="000000"/>
              </w:rPr>
            </w:pPr>
            <w:r>
              <w:rPr>
                <w:color w:val="000000"/>
              </w:rPr>
              <w:t>—</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25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Charges</w:t>
            </w:r>
          </w:p>
        </w:tc>
        <w:tc>
          <w:tcPr>
            <w:tcW w:w="146" w:type="dxa"/>
            <w:tcBorders/>
            <w:shd w:fill="CFF0FC" w:val="clear"/>
            <w:vAlign w:val="center"/>
          </w:tcPr>
          <w:p>
            <w:pPr>
              <w:pStyle w:val="TableContents"/>
              <w:bidi w:val="0"/>
              <w:spacing w:before="0" w:after="283"/>
              <w:jc w:val="left"/>
              <w:rPr/>
            </w:pPr>
            <w:r>
              <w:rPr/>
              <w:t> </w:t>
            </w:r>
          </w:p>
        </w:tc>
        <w:tc>
          <w:tcPr>
            <w:tcW w:w="364" w:type="dxa"/>
            <w:tcBorders/>
            <w:shd w:fill="CFF0FC" w:val="clear"/>
            <w:vAlign w:val="center"/>
          </w:tcPr>
          <w:p>
            <w:pPr>
              <w:pStyle w:val="TableContents"/>
              <w:bidi w:val="0"/>
              <w:spacing w:before="0" w:after="283"/>
              <w:jc w:val="left"/>
              <w:rPr/>
            </w:pPr>
            <w:r>
              <w:rPr/>
              <w:t> </w:t>
            </w:r>
          </w:p>
        </w:tc>
        <w:tc>
          <w:tcPr>
            <w:tcW w:w="12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26,838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65,612</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25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Non-cash items</w:t>
            </w:r>
          </w:p>
        </w:tc>
        <w:tc>
          <w:tcPr>
            <w:tcW w:w="146"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left"/>
              <w:rPr/>
            </w:pPr>
            <w:r>
              <w:rPr/>
              <w:t> </w:t>
            </w:r>
          </w:p>
        </w:tc>
        <w:tc>
          <w:tcPr>
            <w:tcW w:w="12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(63,370</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25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Payments</w:t>
            </w:r>
          </w:p>
        </w:tc>
        <w:tc>
          <w:tcPr>
            <w:tcW w:w="146" w:type="dxa"/>
            <w:tcBorders/>
            <w:shd w:fill="CFF0FC" w:val="clear"/>
            <w:vAlign w:val="center"/>
          </w:tcPr>
          <w:p>
            <w:pPr>
              <w:pStyle w:val="TableContents"/>
              <w:bidi w:val="0"/>
              <w:spacing w:before="0" w:after="283"/>
              <w:jc w:val="left"/>
              <w:rPr/>
            </w:pPr>
            <w:r>
              <w:rPr/>
              <w:t> </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(25,885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(2,242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2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Ending balance at June 30, 2023</w:t>
            </w:r>
          </w:p>
        </w:tc>
        <w:tc>
          <w:tcPr>
            <w:tcW w:w="146" w:type="dxa"/>
            <w:tcBorders/>
            <w:shd w:fill="FFFFFF" w:val="clear"/>
            <w:vAlign w:val="center"/>
          </w:tcPr>
          <w:p>
            <w:pPr>
              <w:pStyle w:val="TableContents"/>
              <w:bidi w:val="0"/>
              <w:spacing w:before="0" w:after="283"/>
              <w:jc w:val="left"/>
              <w:rPr/>
            </w:pPr>
            <w:r>
              <w:rPr/>
              <w:t> </w:t>
            </w:r>
          </w:p>
        </w:tc>
        <w:tc>
          <w:tcPr>
            <w:tcW w:w="3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5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Charges</w:t>
            </w:r>
          </w:p>
        </w:tc>
        <w:tc>
          <w:tcPr>
            <w:tcW w:w="146" w:type="dxa"/>
            <w:tcBorders/>
            <w:shd w:fill="CFF0FC" w:val="clear"/>
            <w:vAlign w:val="center"/>
          </w:tcPr>
          <w:p>
            <w:pPr>
              <w:pStyle w:val="TableContents"/>
              <w:bidi w:val="0"/>
              <w:spacing w:before="0" w:after="283"/>
              <w:jc w:val="left"/>
              <w:rPr/>
            </w:pPr>
            <w:r>
              <w:rPr/>
              <w:t> </w:t>
            </w:r>
          </w:p>
        </w:tc>
        <w:tc>
          <w:tcPr>
            <w:tcW w:w="364" w:type="dxa"/>
            <w:tcBorders/>
            <w:shd w:fill="CFF0FC" w:val="clear"/>
            <w:vAlign w:val="center"/>
          </w:tcPr>
          <w:p>
            <w:pPr>
              <w:pStyle w:val="TableContents"/>
              <w:bidi w:val="0"/>
              <w:spacing w:before="0" w:after="283"/>
              <w:jc w:val="left"/>
              <w:rPr/>
            </w:pPr>
            <w:r>
              <w:rPr/>
              <w:t> </w:t>
            </w:r>
          </w:p>
        </w:tc>
        <w:tc>
          <w:tcPr>
            <w:tcW w:w="127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846</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25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Non-cash items</w:t>
            </w:r>
          </w:p>
        </w:tc>
        <w:tc>
          <w:tcPr>
            <w:tcW w:w="146"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left"/>
              <w:rPr/>
            </w:pPr>
            <w:r>
              <w:rPr/>
              <w:t> </w:t>
            </w:r>
          </w:p>
        </w:tc>
        <w:tc>
          <w:tcPr>
            <w:tcW w:w="12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color w:val="000000"/>
              </w:rPr>
            </w:pPr>
            <w:r>
              <w:rPr>
                <w:color w:val="000000"/>
              </w:rPr>
              <w:t>—</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25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Payments</w:t>
            </w:r>
          </w:p>
        </w:tc>
        <w:tc>
          <w:tcPr>
            <w:tcW w:w="146" w:type="dxa"/>
            <w:tcBorders/>
            <w:shd w:fill="CFF0FC" w:val="clear"/>
            <w:vAlign w:val="center"/>
          </w:tcPr>
          <w:p>
            <w:pPr>
              <w:pStyle w:val="TableContents"/>
              <w:bidi w:val="0"/>
              <w:spacing w:before="0" w:after="283"/>
              <w:jc w:val="left"/>
              <w:rPr/>
            </w:pPr>
            <w:r>
              <w:rPr/>
              <w:t> </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2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Ending balance at September 30, 2023</w:t>
            </w:r>
          </w:p>
        </w:tc>
        <w:tc>
          <w:tcPr>
            <w:tcW w:w="146" w:type="dxa"/>
            <w:tcBorders/>
            <w:shd w:fill="FFFFFF" w:val="clear"/>
            <w:vAlign w:val="center"/>
          </w:tcPr>
          <w:p>
            <w:pPr>
              <w:pStyle w:val="TableContents"/>
              <w:bidi w:val="0"/>
              <w:spacing w:before="0" w:after="283"/>
              <w:jc w:val="left"/>
              <w:rPr/>
            </w:pPr>
            <w:r>
              <w:rPr/>
              <w:t> </w:t>
            </w:r>
          </w:p>
        </w:tc>
        <w:tc>
          <w:tcPr>
            <w:tcW w:w="3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sz w:val="20"/>
        </w:rPr>
      </w:pPr>
      <w:r>
        <w:rPr>
          <w:rFonts w:ascii="Times New Roman" w:hAnsi="Times New Roman"/>
          <w:b w:val="false"/>
          <w:color w:val="000000"/>
          <w:sz w:val="20"/>
        </w:rPr>
        <w:t>The actions associated with the global lease consolidation under the Restructuring Plan are expected to be completed in 2023. The Company estimates that it will incur additional charges of approximately $2.0</w:t>
      </w:r>
      <w:r>
        <w:rPr>
          <w:rFonts w:ascii="Times New Roman" w:hAnsi="Times New Roman"/>
          <w:color w:val="000000"/>
          <w:sz w:val="20"/>
        </w:rPr>
        <w:t xml:space="preserve"> </w:t>
      </w:r>
      <w:r>
        <w:rPr>
          <w:rFonts w:ascii="Times New Roman" w:hAnsi="Times New Roman"/>
          <w:b w:val="false"/>
          <w:color w:val="000000"/>
          <w:sz w:val="20"/>
        </w:rPr>
        <w:t>million to $4.0</w:t>
      </w:r>
      <w:r>
        <w:rPr>
          <w:rFonts w:ascii="Times New Roman" w:hAnsi="Times New Roman"/>
          <w:color w:val="000000"/>
          <w:sz w:val="20"/>
        </w:rPr>
        <w:t xml:space="preserve"> </w:t>
      </w:r>
      <w:r>
        <w:rPr>
          <w:rFonts w:ascii="Times New Roman" w:hAnsi="Times New Roman"/>
          <w:b w:val="false"/>
          <w:color w:val="000000"/>
          <w:sz w:val="20"/>
        </w:rPr>
        <w:t>million related to the lease consolidation.</w:t>
        <w:br/>
        <w:br/>
      </w:r>
      <w:r>
        <w:rPr>
          <w:rFonts w:ascii="Times New Roman" w:hAnsi="Times New Roman"/>
          <w:color w:val="000000"/>
          <w:sz w:val="20"/>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16. Subsequent Event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1D1C1D"/>
          <w:sz w:val="20"/>
        </w:rPr>
        <w:t>On October 31, 2023, the Company entered into a definitive agreement to acquire all outstanding shares of APIHub, Inc., (d.b.a. Clearbit), a B2B data provider, for total base consideration of approximately $150</w:t>
      </w:r>
      <w:r>
        <w:rPr>
          <w:rFonts w:ascii="Times New Roman" w:hAnsi="Times New Roman"/>
          <w:color w:val="1D1C1D"/>
          <w:sz w:val="20"/>
        </w:rPr>
        <w:t xml:space="preserve"> </w:t>
      </w:r>
      <w:r>
        <w:rPr>
          <w:rFonts w:ascii="Times New Roman" w:hAnsi="Times New Roman"/>
          <w:b w:val="false"/>
          <w:color w:val="1D1C1D"/>
          <w:sz w:val="20"/>
        </w:rPr>
        <w:t>million in cash, subject to customary post-closing adjustments and conditions. The acquisition is expected to close during the fourth quarter of 2023. Upon completion of the transaction, the acquisition will provide a complimentary B2B data asset to the Company's customers and will accelerate the Company’s data and enrichment roadmap. Due to the limited amount of time since entering into the agreement, the Company is in the process of finalizing the accounting for this transaction and expect to complete the preliminary purchase price allocation in the fourth quarter of 2023. This acquisition is expected to have an insignificant impact on the Company’s 2023 revenue.</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bookmarkStart w:id="10" w:name="item_2_managements_discussion_analysis_f"/>
      <w:bookmarkEnd w:id="10"/>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200" w:after="283"/>
        <w:jc w:val="left"/>
        <w:rPr>
          <w:rFonts w:ascii="Times New Roman" w:hAnsi="Times New Roman"/>
          <w:b w:val="false"/>
          <w:i/>
          <w:color w:val="000000"/>
          <w:sz w:val="20"/>
        </w:rPr>
      </w:pPr>
      <w:r>
        <w:rPr>
          <w:rFonts w:ascii="Times New Roman" w:hAnsi="Times New Roman"/>
          <w:b w:val="false"/>
          <w:i/>
          <w:color w:val="000000"/>
          <w:sz w:val="20"/>
        </w:rPr>
        <w:t>The following discussion and analysis of our financial condition and results of operations should be read in conjunction with our consolidated financial statements and related notes appearing elsewhere in this Quarterly Report on Form 10-Q and our Annual Report on Form 10-K for the year ended December 31, 2022 filed with the SEC on February 16, 2023.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such differences include, but are not limited to, those identified below, and those discussed in the section titled “Risk Factors” included under Part II, Item 1A below.</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Company Overview</w:t>
      </w:r>
    </w:p>
    <w:p>
      <w:pPr>
        <w:pStyle w:val="TextBody"/>
        <w:bidi w:val="0"/>
        <w:spacing w:before="200" w:after="283"/>
        <w:jc w:val="left"/>
        <w:rPr>
          <w:rFonts w:ascii="Times New Roman" w:hAnsi="Times New Roman"/>
          <w:sz w:val="20"/>
        </w:rPr>
      </w:pPr>
      <w:r>
        <w:rPr>
          <w:rFonts w:ascii="Times New Roman" w:hAnsi="Times New Roman"/>
          <w:b w:val="false"/>
          <w:color w:val="212529"/>
          <w:sz w:val="20"/>
        </w:rPr>
        <w:t>We provide a customer platform that helps businesses connect and grow better. We deliver seamless connection for customer-facing teams with a unified platform that includes AI-powered engagement hubs, a smart customer relationship management (“CRM”) Platform, a connected ecosystem with integrations, a community network, and educational content.</w:t>
      </w:r>
      <w:r>
        <w:rPr>
          <w:rFonts w:ascii="Times New Roman" w:hAnsi="Times New Roman"/>
          <w:color w:val="212529"/>
          <w:sz w:val="20"/>
        </w:rPr>
        <w:t xml:space="preserve"> </w:t>
      </w:r>
    </w:p>
    <w:p>
      <w:pPr>
        <w:pStyle w:val="TextBody"/>
        <w:bidi w:val="0"/>
        <w:spacing w:before="200" w:after="283"/>
        <w:jc w:val="left"/>
        <w:rPr>
          <w:rFonts w:ascii="Times New Roman" w:hAnsi="Times New Roman"/>
          <w:b w:val="false"/>
          <w:color w:val="212529"/>
          <w:sz w:val="20"/>
        </w:rPr>
      </w:pPr>
      <w:r>
        <w:rPr>
          <w:rFonts w:ascii="Times New Roman" w:hAnsi="Times New Roman"/>
          <w:b w:val="false"/>
          <w:color w:val="212529"/>
          <w:sz w:val="20"/>
        </w:rPr>
        <w:t>At the core of our CRM Platform is our CRM comprised of Marketing Hub, Sales Hub, Service Hub, content management system ("CMS") Hub, Operations Hub, and Commerce Hub that our customers use which creates a single view of all interactions a prospective or existing customer has with their marketing, sales and customer service teams. The CRM shares data across every application in the CRM Platform, automatically informing more personalized emails, website content, ads, and conversations, and enables more accurate timing cues for our customer’s internal teams. Our CRM Platform was built to easily and seamlessly integrate third-party applications to further customize to an individual company’s industry or needs. In addition, an end-to-end payment solution, Payments, is built within our CRM Platform which enables customers to streamline their payment process. We designed and built our CRM Platform to serve a broad range of customers globally. Our CRM Platform starts completely free and grows with our customers to meet their needs at different stages in their life-cycles. It supports multiple languages and currencies and offers an array of sophisticated features, including content partitioning at the enterprise level for companies operating in or serving multiple countries.</w:t>
      </w:r>
    </w:p>
    <w:p>
      <w:pPr>
        <w:pStyle w:val="TextBody"/>
        <w:bidi w:val="0"/>
        <w:spacing w:before="200" w:after="283"/>
        <w:jc w:val="left"/>
        <w:rPr>
          <w:rFonts w:ascii="Times New Roman" w:hAnsi="Times New Roman"/>
          <w:sz w:val="20"/>
        </w:rPr>
      </w:pPr>
      <w:r>
        <w:rPr>
          <w:rFonts w:ascii="Times New Roman" w:hAnsi="Times New Roman"/>
          <w:b w:val="false"/>
          <w:color w:val="212529"/>
          <w:sz w:val="20"/>
        </w:rPr>
        <w:t xml:space="preserve">We focus on selling to mid-market business-to-business, or B2B, companies, which we define as companies that have between two and 2,000 employees. While our CRM Platform was built to grow with any company, we focus on selling to mid-market businesses because we believe we have significant competitive advantages attracting and serving this market segment. These mid-market businesses seek an integrated, easy-to-implement and easy-to-use solution to reach customers and compete with organizations that have larger marketing, sales, and customer service budgets. We efficiently reach these businesses at scale through our proven inbound methodology, our Solutions Partners, and our “freemium” model. A Solutions Partner is a service provider that helps businesses with strategy, execution, and implementation of go-to-market activities and technology solutions. Our freemium model attracts customers who begin using our CRM Platform through our free products and then upgrade to our paid products. </w:t>
      </w:r>
      <w:r>
        <w:rPr>
          <w:rFonts w:ascii="Times New Roman" w:hAnsi="Times New Roman"/>
          <w:b w:val="false"/>
          <w:color w:val="000000"/>
          <w:sz w:val="20"/>
        </w:rPr>
        <w:t>As of September 30, 2023, we had 7,478 full-time employees and 194,098 Customers of varying sizes in more than 120 countries, representing many industries.</w:t>
      </w:r>
      <w:r>
        <w:rPr>
          <w:rFonts w:ascii="Times New Roman" w:hAnsi="Times New Roman"/>
          <w:color w:val="000000"/>
          <w:sz w:val="2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We derive most of our revenue from subscriptions to our cloud-based CRM Platform and related professional services, which consist of customer on-boarding, training and consulting services. Subscription revenue accounted for 98% of our total revenue for the three and nine months ended September 30, 2023 and 2022. We sell multiple product plans at different base prices on a subscription basis, each of which includes our CRM and integrated applications to meet the needs of the various customers we serve. Customers pay additional fees if the number of contacts stored and tracked in the customer’s database exceeds specified thresholds. We also generate additional revenue based on the purchase of additional subscriptions and products, and the number of account users and subdomains. Most of our customers’ subscriptions are one year or less in duration.</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Subscriptions are billed in advance on various schedules. Because the mix of billing terms for orders can vary from period to period, the annualized value of the orders we enter into with our customers will not be completely reflected in deferred revenue at any single point in time. Accordingly, we do not believe that change in deferred revenue is an accurate indicator of future revenue.</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Many of our customers purchase on-boarding, training, and consulting services, and utilize other tools and Payments, which are designed to help customers enhance their ability to attract, engage and delight their customers using our CRM Platform. We also generate revenue from a number of revenue-share agreements with other companies based on mutually agreed upon terms. Professional services and other revenue accounted for 2% of total revenue for the three and nine months ended September 30, 2023 and 2022.</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We have focused on rapidly growing our business and plan to continue to make investments to help us address some of the challenges facing us to support this growth, such as demand for our CRM Platform by existing and new customers, significant</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competition from other providers of marketing, sales, customer service, operations, and content management software and related applications and rapid technological change in our industry.</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 xml:space="preserve">We believe that the growth of our business is dependent on many factors, including our ability to expand our customer base, increase adoption of our CRM Platform within existing customers, develop new products and applications to extend the functionality of our CRM Platform and provide a high level of customer service. We have invested and intend to continue investing for long-term growth. We intend to continue to invest in sales and marketing to support our growth. We plan to continue to invest in research and development as we continue to introduce new products and applications to extend the functionality of our CRM Platform. We intend to maintain a high level of customer service and support which we consider critical for our continued success. We also plan to continue investing in our data center infrastructure and services capabilities in order to support continued future customer growth. We also expect to continue to incur additional general and administrative expenses as a result of both our growth and the infrastructure required to be a public company. We expect to use our cash flow from operations and the proceeds from our convertible debt to fund these growth strategies and support our business and do not expect to be profitable in the near term. </w:t>
        <w:br/>
        <w:br/>
        <w:br/>
        <w:br/>
        <w:br/>
      </w:r>
      <w:r>
        <w:rPr>
          <w:rFonts w:ascii="Times New Roman" w:hAnsi="Times New Roman"/>
          <w:b/>
          <w:color w:val="000000"/>
          <w:sz w:val="20"/>
        </w:rPr>
        <w:t>Global Economic Conditions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Our results of operations can be significantly influenced by general macroeconomic conditions, including, but not limited to, the impact of the COVID-19 pandemic, foreign currency fluctuations, interest rates, inflation, recession risks, existing and new domestic and foreign laws and regulations, all of which are beyond our control. Fluctuations in foreign exchange rates and rising inflation has had, and may continue to have an adverse impact on our financial condition and operating results in future periods. As we continue to monitor the direct and indirect impacts of these circumstances, the broader implications of these macroeconomic events on our business, results of operations and overall financial position, particularly in the long term, remain uncertain. See the section titled “Risk Factors'' included under Part II, Item 1A below for further discussion of the possible impact of these factors and other risks on our business.</w:t>
        <w:br/>
        <w:br/>
        <w:br/>
        <w:br/>
      </w:r>
      <w:r>
        <w:rPr>
          <w:rFonts w:ascii="Times New Roman" w:hAnsi="Times New Roman"/>
          <w:color w:val="000000"/>
          <w:sz w:val="20"/>
        </w:rPr>
        <w:t> </w:t>
      </w:r>
    </w:p>
    <w:p>
      <w:pPr>
        <w:pStyle w:val="TextBody"/>
        <w:bidi w:val="0"/>
        <w:jc w:val="left"/>
        <w:rPr/>
      </w:pPr>
      <w:r>
        <w:rPr/>
        <w:t> </w:t>
      </w:r>
    </w:p>
    <w:p>
      <w:pPr>
        <w:pStyle w:val="TextBody"/>
        <w:bidi w:val="0"/>
        <w:spacing w:before="200" w:after="283"/>
        <w:jc w:val="left"/>
        <w:rPr/>
      </w:pPr>
      <w:r>
        <w:rPr/>
        <w:t> </w:t>
      </w:r>
    </w:p>
    <w:p>
      <w:pPr>
        <w:pStyle w:val="TextBody"/>
        <w:bidi w:val="0"/>
        <w:spacing w:before="200" w:after="283"/>
        <w:jc w:val="left"/>
        <w:rPr/>
      </w:pPr>
      <w:r>
        <w:rPr/>
        <w:t> </w:t>
      </w:r>
    </w:p>
    <w:p>
      <w:pPr>
        <w:pStyle w:val="TextBody"/>
        <w:bidi w:val="0"/>
        <w:spacing w:before="200" w:after="283"/>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Results of Operations for the Three and Nine Months ended September 30, 2023 and 2022</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The following tables set forth our results of operations for the periods presented and as a percentage of our total revenue for those periods. The data has been derived from the unaudited consolidated financial statements contained in this Quarterly Report on Form 10-Q which include, in our opinion, all adjustments, consisting only of normal recurring adjustments, that we consider necessary for a fair statement of the financial position and results of operations for the interim periods presented. The period-to-period comparison of financial results is not necessarily indicative of financial results to be achieved in future periods.</w:t>
      </w:r>
      <w:r>
        <w:rPr>
          <w:rFonts w:ascii="Times New Roman" w:hAnsi="Times New Roman"/>
          <w:color w:val="000000"/>
          <w:sz w:val="20"/>
        </w:rPr>
        <w:t xml:space="preserve"> </w:t>
      </w:r>
    </w:p>
    <w:tbl>
      <w:tblPr>
        <w:tblW w:w="9002" w:type="dxa"/>
        <w:jc w:val="left"/>
        <w:tblInd w:w="0" w:type="dxa"/>
        <w:tblLayout w:type="fixed"/>
        <w:tblCellMar>
          <w:top w:w="28" w:type="dxa"/>
          <w:left w:w="28" w:type="dxa"/>
          <w:bottom w:w="28" w:type="dxa"/>
          <w:right w:w="28" w:type="dxa"/>
        </w:tblCellMar>
      </w:tblPr>
      <w:tblGrid>
        <w:gridCol w:w="2861"/>
        <w:gridCol w:w="146"/>
        <w:gridCol w:w="211"/>
        <w:gridCol w:w="781"/>
        <w:gridCol w:w="166"/>
        <w:gridCol w:w="146"/>
        <w:gridCol w:w="211"/>
        <w:gridCol w:w="781"/>
        <w:gridCol w:w="166"/>
        <w:gridCol w:w="146"/>
        <w:gridCol w:w="211"/>
        <w:gridCol w:w="931"/>
        <w:gridCol w:w="166"/>
        <w:gridCol w:w="146"/>
        <w:gridCol w:w="211"/>
        <w:gridCol w:w="931"/>
        <w:gridCol w:w="791"/>
      </w:tblGrid>
      <w:tr>
        <w:trPr/>
        <w:tc>
          <w:tcPr>
            <w:tcW w:w="2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28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w:t>
              <w:br/>
              <w:t>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w:t>
              <w:br/>
              <w:t> Ended September 30,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Revenues: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791" w:type="dxa"/>
            <w:tcBorders/>
            <w:shd w:fill="CFF0FC" w:val="clear"/>
            <w:vAlign w:val="center"/>
          </w:tcPr>
          <w:p>
            <w:pPr>
              <w:pStyle w:val="TableContents"/>
              <w:bidi w:val="0"/>
              <w:spacing w:before="0" w:after="283"/>
              <w:ind w:left="0" w:right="0" w:firstLine="200"/>
              <w:jc w:val="right"/>
              <w:rPr/>
            </w:pPr>
            <w:r>
              <w:rPr/>
              <w:t> </w:t>
            </w:r>
          </w:p>
        </w:tc>
      </w:tr>
      <w:tr>
        <w:trPr/>
        <w:tc>
          <w:tcPr>
            <w:tcW w:w="286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Subscription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545,832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435,030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1,553,253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1,232,387</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286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Professional services and 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35,062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28,926</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861"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Total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557,557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443,958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1,588,315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1,261,313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 of revenues: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791" w:type="dxa"/>
            <w:tcBorders/>
            <w:shd w:fill="CFF0FC" w:val="clear"/>
            <w:vAlign w:val="center"/>
          </w:tcPr>
          <w:p>
            <w:pPr>
              <w:pStyle w:val="TableContents"/>
              <w:bidi w:val="0"/>
              <w:spacing w:before="0" w:after="283"/>
              <w:ind w:left="0" w:right="0" w:firstLine="200"/>
              <w:jc w:val="right"/>
              <w:rPr/>
            </w:pPr>
            <w:r>
              <w:rPr/>
              <w:t> </w:t>
            </w:r>
          </w:p>
        </w:tc>
      </w:tr>
      <w:tr>
        <w:trPr/>
        <w:tc>
          <w:tcPr>
            <w:tcW w:w="286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Subscription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73,781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67,648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215,944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191,466</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286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Professional services and 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13,745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14,479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40,910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42,532</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861"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Total cost of revenues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87,526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82,127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256,854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233,998</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470,031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361,831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1,331,461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1,027,315</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ind w:left="0" w:right="0" w:firstLine="200"/>
              <w:jc w:val="right"/>
              <w:rPr/>
            </w:pPr>
            <w:r>
              <w:rPr/>
              <w:t> </w:t>
            </w:r>
          </w:p>
        </w:tc>
      </w:tr>
      <w:tr>
        <w:trPr/>
        <w:tc>
          <w:tcPr>
            <w:tcW w:w="286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156,871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114,038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454,511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325,687</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286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Sales and marketing</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271,448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229,541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787,423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650,936</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286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61,308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50,465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179,939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146,309</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286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Restructuring</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93,296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6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490,473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394,044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1,515,169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1,122,932</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(20,442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(32,213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(183,708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(95,617</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8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expense:</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791" w:type="dxa"/>
            <w:tcBorders/>
            <w:shd w:fill="CFF0FC" w:val="clear"/>
            <w:vAlign w:val="center"/>
          </w:tcPr>
          <w:p>
            <w:pPr>
              <w:pStyle w:val="TableContents"/>
              <w:bidi w:val="0"/>
              <w:spacing w:before="0" w:after="283"/>
              <w:ind w:left="0" w:right="0" w:firstLine="200"/>
              <w:jc w:val="right"/>
              <w:rPr/>
            </w:pPr>
            <w:r>
              <w:rPr/>
              <w:t> </w:t>
            </w:r>
          </w:p>
        </w:tc>
      </w:tr>
      <w:tr>
        <w:trPr/>
        <w:tc>
          <w:tcPr>
            <w:tcW w:w="286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16,181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40,195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7,222</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286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(2,817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(2,822</w:t>
            </w:r>
          </w:p>
        </w:tc>
        <w:tc>
          <w:tcPr>
            <w:tcW w:w="79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86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286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other income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13,567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35,250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3,817</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before income tax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(6,875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(29,663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(148,458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(91,800</w:t>
            </w:r>
          </w:p>
        </w:tc>
        <w:tc>
          <w:tcPr>
            <w:tcW w:w="791"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286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Income tax benefit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(14,233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(5,313</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8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(31,411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(162,691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(97,113</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tbl>
      <w:tblPr>
        <w:tblW w:w="7453" w:type="dxa"/>
        <w:jc w:val="left"/>
        <w:tblInd w:w="0" w:type="dxa"/>
        <w:tblLayout w:type="fixed"/>
        <w:tblCellMar>
          <w:top w:w="28" w:type="dxa"/>
          <w:left w:w="28" w:type="dxa"/>
          <w:bottom w:w="28" w:type="dxa"/>
          <w:right w:w="28" w:type="dxa"/>
        </w:tblCellMar>
      </w:tblPr>
      <w:tblGrid>
        <w:gridCol w:w="2861"/>
        <w:gridCol w:w="146"/>
        <w:gridCol w:w="152"/>
        <w:gridCol w:w="439"/>
        <w:gridCol w:w="345"/>
        <w:gridCol w:w="152"/>
        <w:gridCol w:w="152"/>
        <w:gridCol w:w="439"/>
        <w:gridCol w:w="331"/>
        <w:gridCol w:w="146"/>
        <w:gridCol w:w="152"/>
        <w:gridCol w:w="439"/>
        <w:gridCol w:w="345"/>
        <w:gridCol w:w="152"/>
        <w:gridCol w:w="152"/>
        <w:gridCol w:w="439"/>
        <w:gridCol w:w="611"/>
      </w:tblGrid>
      <w:tr>
        <w:trPr/>
        <w:tc>
          <w:tcPr>
            <w:tcW w:w="2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8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7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w:t>
              <w:br/>
              <w:t> Ended September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7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w:t>
              <w:br/>
              <w:t> Ended September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left"/>
              <w:rPr/>
            </w:pPr>
            <w:r>
              <w:rPr/>
              <w:t> </w:t>
            </w:r>
          </w:p>
        </w:tc>
        <w:tc>
          <w:tcPr>
            <w:tcW w:w="5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left"/>
              <w:rPr/>
            </w:pPr>
            <w:r>
              <w:rPr/>
              <w:t> </w:t>
            </w:r>
          </w:p>
        </w:tc>
        <w:tc>
          <w:tcPr>
            <w:tcW w:w="5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591" w:type="dxa"/>
            <w:gridSpan w:val="2"/>
            <w:tcBorders/>
            <w:shd w:fill="CFF0FC" w:val="clear"/>
            <w:vAlign w:val="center"/>
          </w:tcPr>
          <w:p>
            <w:pPr>
              <w:pStyle w:val="TableContents"/>
              <w:bidi w:val="0"/>
              <w:spacing w:before="0" w:after="283"/>
              <w:jc w:val="right"/>
              <w:rPr/>
            </w:pPr>
            <w:r>
              <w:rPr/>
              <w:t> </w:t>
            </w:r>
          </w:p>
        </w:tc>
        <w:tc>
          <w:tcPr>
            <w:tcW w:w="345"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591" w:type="dxa"/>
            <w:gridSpan w:val="2"/>
            <w:tcBorders/>
            <w:shd w:fill="CFF0FC" w:val="clear"/>
            <w:vAlign w:val="center"/>
          </w:tcPr>
          <w:p>
            <w:pPr>
              <w:pStyle w:val="TableContents"/>
              <w:bidi w:val="0"/>
              <w:spacing w:before="0" w:after="283"/>
              <w:jc w:val="right"/>
              <w:rPr/>
            </w:pPr>
            <w:r>
              <w:rPr/>
              <w:t> </w:t>
            </w:r>
          </w:p>
        </w:tc>
        <w:tc>
          <w:tcPr>
            <w:tcW w:w="3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91" w:type="dxa"/>
            <w:gridSpan w:val="2"/>
            <w:tcBorders/>
            <w:shd w:fill="CFF0FC" w:val="clear"/>
            <w:vAlign w:val="center"/>
          </w:tcPr>
          <w:p>
            <w:pPr>
              <w:pStyle w:val="TableContents"/>
              <w:bidi w:val="0"/>
              <w:spacing w:before="0" w:after="283"/>
              <w:jc w:val="right"/>
              <w:rPr/>
            </w:pPr>
            <w:r>
              <w:rPr/>
              <w:t> </w:t>
            </w:r>
          </w:p>
        </w:tc>
        <w:tc>
          <w:tcPr>
            <w:tcW w:w="345"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591"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286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Subscription</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w:t>
            </w:r>
          </w:p>
        </w:tc>
        <w:tc>
          <w:tcPr>
            <w:tcW w:w="34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w:t>
            </w:r>
          </w:p>
        </w:tc>
        <w:tc>
          <w:tcPr>
            <w:tcW w:w="3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w:t>
            </w:r>
          </w:p>
        </w:tc>
        <w:tc>
          <w:tcPr>
            <w:tcW w:w="34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86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Professional services and other</w:t>
            </w:r>
          </w:p>
        </w:tc>
        <w:tc>
          <w:tcPr>
            <w:tcW w:w="146" w:type="dxa"/>
            <w:tcBorders/>
            <w:shd w:fill="CFF0FC" w:val="cle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6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revenue</w:t>
            </w:r>
          </w:p>
        </w:tc>
        <w:tc>
          <w:tcPr>
            <w:tcW w:w="146" w:type="dxa"/>
            <w:tcBorders/>
            <w:shd w:fill="FFFFFF" w:val="cle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 of revenue:</w:t>
            </w:r>
          </w:p>
        </w:tc>
        <w:tc>
          <w:tcPr>
            <w:tcW w:w="146" w:type="dxa"/>
            <w:tcBorders/>
            <w:shd w:fill="CFF0FC" w:val="clear"/>
            <w:vAlign w:val="center"/>
          </w:tcPr>
          <w:p>
            <w:pPr>
              <w:pStyle w:val="TableContents"/>
              <w:bidi w:val="0"/>
              <w:spacing w:before="0" w:after="283"/>
              <w:jc w:val="left"/>
              <w:rPr/>
            </w:pPr>
            <w:r>
              <w:rPr/>
              <w:t> </w:t>
            </w:r>
          </w:p>
        </w:tc>
        <w:tc>
          <w:tcPr>
            <w:tcW w:w="591" w:type="dxa"/>
            <w:gridSpan w:val="2"/>
            <w:tcBorders/>
            <w:shd w:fill="CFF0FC" w:val="clear"/>
            <w:vAlign w:val="center"/>
          </w:tcPr>
          <w:p>
            <w:pPr>
              <w:pStyle w:val="TableContents"/>
              <w:bidi w:val="0"/>
              <w:spacing w:before="0" w:after="283"/>
              <w:jc w:val="right"/>
              <w:rPr/>
            </w:pPr>
            <w:r>
              <w:rPr/>
              <w:t> </w:t>
            </w:r>
          </w:p>
        </w:tc>
        <w:tc>
          <w:tcPr>
            <w:tcW w:w="345"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591" w:type="dxa"/>
            <w:gridSpan w:val="2"/>
            <w:tcBorders/>
            <w:shd w:fill="CFF0FC" w:val="clear"/>
            <w:vAlign w:val="center"/>
          </w:tcPr>
          <w:p>
            <w:pPr>
              <w:pStyle w:val="TableContents"/>
              <w:bidi w:val="0"/>
              <w:spacing w:before="0" w:after="283"/>
              <w:jc w:val="right"/>
              <w:rPr/>
            </w:pPr>
            <w:r>
              <w:rPr/>
              <w:t> </w:t>
            </w:r>
          </w:p>
        </w:tc>
        <w:tc>
          <w:tcPr>
            <w:tcW w:w="3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91" w:type="dxa"/>
            <w:gridSpan w:val="2"/>
            <w:tcBorders/>
            <w:shd w:fill="CFF0FC" w:val="clear"/>
            <w:vAlign w:val="center"/>
          </w:tcPr>
          <w:p>
            <w:pPr>
              <w:pStyle w:val="TableContents"/>
              <w:bidi w:val="0"/>
              <w:spacing w:before="0" w:after="283"/>
              <w:jc w:val="right"/>
              <w:rPr/>
            </w:pPr>
            <w:r>
              <w:rPr/>
              <w:t> </w:t>
            </w:r>
          </w:p>
        </w:tc>
        <w:tc>
          <w:tcPr>
            <w:tcW w:w="345"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591"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286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Subscription</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w:t>
            </w:r>
          </w:p>
        </w:tc>
        <w:tc>
          <w:tcPr>
            <w:tcW w:w="34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w:t>
            </w:r>
          </w:p>
        </w:tc>
        <w:tc>
          <w:tcPr>
            <w:tcW w:w="34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286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Professional services and other</w:t>
            </w:r>
          </w:p>
        </w:tc>
        <w:tc>
          <w:tcPr>
            <w:tcW w:w="146" w:type="dxa"/>
            <w:tcBorders/>
            <w:shd w:fill="CFF0FC" w:val="cle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6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cost of revenue</w:t>
            </w:r>
          </w:p>
        </w:tc>
        <w:tc>
          <w:tcPr>
            <w:tcW w:w="146" w:type="dxa"/>
            <w:tcBorders/>
            <w:shd w:fill="FFFFFF" w:val="cle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591" w:type="dxa"/>
            <w:gridSpan w:val="2"/>
            <w:tcBorders/>
            <w:shd w:fill="FFFFFF" w:val="clear"/>
            <w:vAlign w:val="center"/>
          </w:tcPr>
          <w:p>
            <w:pPr>
              <w:pStyle w:val="TableContents"/>
              <w:bidi w:val="0"/>
              <w:spacing w:before="0" w:after="283"/>
              <w:jc w:val="right"/>
              <w:rPr/>
            </w:pPr>
            <w:r>
              <w:rPr/>
              <w:t> </w:t>
            </w:r>
          </w:p>
        </w:tc>
        <w:tc>
          <w:tcPr>
            <w:tcW w:w="345"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591" w:type="dxa"/>
            <w:gridSpan w:val="2"/>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91" w:type="dxa"/>
            <w:gridSpan w:val="2"/>
            <w:tcBorders/>
            <w:shd w:fill="FFFFFF" w:val="clear"/>
            <w:vAlign w:val="center"/>
          </w:tcPr>
          <w:p>
            <w:pPr>
              <w:pStyle w:val="TableContents"/>
              <w:bidi w:val="0"/>
              <w:spacing w:before="0" w:after="283"/>
              <w:jc w:val="right"/>
              <w:rPr/>
            </w:pPr>
            <w:r>
              <w:rPr/>
              <w:t> </w:t>
            </w:r>
          </w:p>
        </w:tc>
        <w:tc>
          <w:tcPr>
            <w:tcW w:w="345"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591"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286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43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w:t>
            </w:r>
          </w:p>
        </w:tc>
        <w:tc>
          <w:tcPr>
            <w:tcW w:w="345"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43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43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w:t>
            </w:r>
          </w:p>
        </w:tc>
        <w:tc>
          <w:tcPr>
            <w:tcW w:w="345"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43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286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Sales and marketing</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w:t>
            </w:r>
          </w:p>
        </w:tc>
        <w:tc>
          <w:tcPr>
            <w:tcW w:w="34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w:t>
            </w:r>
          </w:p>
        </w:tc>
        <w:tc>
          <w:tcPr>
            <w:tcW w:w="34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286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43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w:t>
            </w:r>
          </w:p>
        </w:tc>
        <w:tc>
          <w:tcPr>
            <w:tcW w:w="345"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43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43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w:t>
            </w:r>
          </w:p>
        </w:tc>
        <w:tc>
          <w:tcPr>
            <w:tcW w:w="345"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43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286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Restructuring</w:t>
            </w:r>
          </w:p>
        </w:tc>
        <w:tc>
          <w:tcPr>
            <w:tcW w:w="146" w:type="dxa"/>
            <w:tcBorders/>
            <w:shd w:fill="FFFFFF" w:val="cle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6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34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c>
          <w:tcPr>
            <w:tcW w:w="3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w:t>
            </w:r>
          </w:p>
        </w:tc>
        <w:tc>
          <w:tcPr>
            <w:tcW w:w="34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286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other income</w:t>
            </w:r>
          </w:p>
        </w:tc>
        <w:tc>
          <w:tcPr>
            <w:tcW w:w="146" w:type="dxa"/>
            <w:tcBorders/>
            <w:shd w:fill="CFF0FC" w:val="cle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before income tax expense</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34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c>
          <w:tcPr>
            <w:tcW w:w="3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w:t>
            </w:r>
          </w:p>
        </w:tc>
        <w:tc>
          <w:tcPr>
            <w:tcW w:w="34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286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Income tax benefit (expense)</w:t>
            </w:r>
          </w:p>
        </w:tc>
        <w:tc>
          <w:tcPr>
            <w:tcW w:w="146" w:type="dxa"/>
            <w:tcBorders/>
            <w:shd w:fill="CFF0FC" w:val="cle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2" w:type="dxa"/>
            <w:tcBorders/>
            <w:shd w:fill="CFF0FC" w:val="cle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8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2"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2"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rFonts w:ascii="Times New Roman" w:hAnsi="Times New Roman"/>
          <w:b w:val="false"/>
          <w:color w:val="000000"/>
          <w:sz w:val="20"/>
        </w:rPr>
      </w:pPr>
      <w:r>
        <w:rPr>
          <w:rFonts w:ascii="Times New Roman" w:hAnsi="Times New Roman"/>
          <w:b w:val="false"/>
          <w:color w:val="000000"/>
          <w:sz w:val="20"/>
        </w:rPr>
        <w:t>Percentages are based on actual values. Totals may not sum due to rounding.</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Three and Nine Months ended September 30, 2023 Compared to the Three and Nine Months Ended September 30, 2022</w:t>
      </w:r>
    </w:p>
    <w:p>
      <w:pPr>
        <w:pStyle w:val="TextBody"/>
        <w:bidi w:val="0"/>
        <w:spacing w:before="20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r>
        <w:rPr>
          <w:rFonts w:ascii="Times New Roman" w:hAnsi="Times New Roman"/>
          <w:b w:val="false"/>
          <w:color w:val="000000"/>
          <w:sz w:val="20"/>
        </w:rPr>
        <w:br/>
      </w:r>
      <w:r>
        <w:rPr>
          <w:rFonts w:ascii="Times New Roman" w:hAnsi="Times New Roman"/>
          <w:color w:val="000000"/>
          <w:sz w:val="20"/>
        </w:rPr>
        <w:t> </w:t>
      </w:r>
    </w:p>
    <w:tbl>
      <w:tblPr>
        <w:tblW w:w="11496" w:type="dxa"/>
        <w:jc w:val="left"/>
        <w:tblInd w:w="0" w:type="dxa"/>
        <w:tblLayout w:type="fixed"/>
        <w:tblCellMar>
          <w:top w:w="28" w:type="dxa"/>
          <w:left w:w="28" w:type="dxa"/>
          <w:bottom w:w="28" w:type="dxa"/>
          <w:right w:w="28" w:type="dxa"/>
        </w:tblCellMar>
      </w:tblPr>
      <w:tblGrid>
        <w:gridCol w:w="1191"/>
        <w:gridCol w:w="146"/>
        <w:gridCol w:w="196"/>
        <w:gridCol w:w="691"/>
        <w:gridCol w:w="146"/>
        <w:gridCol w:w="146"/>
        <w:gridCol w:w="196"/>
        <w:gridCol w:w="691"/>
        <w:gridCol w:w="146"/>
        <w:gridCol w:w="146"/>
        <w:gridCol w:w="196"/>
        <w:gridCol w:w="691"/>
        <w:gridCol w:w="146"/>
        <w:gridCol w:w="146"/>
        <w:gridCol w:w="294"/>
        <w:gridCol w:w="577"/>
        <w:gridCol w:w="241"/>
        <w:gridCol w:w="146"/>
        <w:gridCol w:w="196"/>
        <w:gridCol w:w="826"/>
        <w:gridCol w:w="146"/>
        <w:gridCol w:w="146"/>
        <w:gridCol w:w="196"/>
        <w:gridCol w:w="826"/>
        <w:gridCol w:w="146"/>
        <w:gridCol w:w="146"/>
        <w:gridCol w:w="196"/>
        <w:gridCol w:w="691"/>
        <w:gridCol w:w="146"/>
        <w:gridCol w:w="146"/>
        <w:gridCol w:w="294"/>
        <w:gridCol w:w="577"/>
        <w:gridCol w:w="686"/>
      </w:tblGrid>
      <w:tr>
        <w:trPr/>
        <w:tc>
          <w:tcPr>
            <w:tcW w:w="1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11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w:t>
              <w:br/>
              <w:t>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center"/>
              <w:rPr/>
            </w:pPr>
            <w:r>
              <w:rPr/>
              <w:t> </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w:t>
              <w:br/>
              <w:t>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center"/>
              <w:rPr/>
            </w:pPr>
            <w:r>
              <w:rPr/>
              <w:t> </w:t>
            </w:r>
          </w:p>
        </w:tc>
        <w:tc>
          <w:tcPr>
            <w:tcW w:w="686" w:type="dxa"/>
            <w:tcBorders/>
            <w:shd w:fill="FFFFFF" w:val="clear"/>
            <w:vAlign w:val="center"/>
          </w:tcPr>
          <w:p>
            <w:pPr>
              <w:pStyle w:val="TableContents"/>
              <w:bidi w:val="0"/>
              <w:spacing w:before="0" w:after="283"/>
              <w:jc w:val="center"/>
              <w:rPr/>
            </w:pPr>
            <w:r>
              <w:rPr/>
              <w:t> </w:t>
            </w:r>
          </w:p>
        </w:tc>
      </w:tr>
      <w:tr>
        <w:trPr/>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91"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Revenues: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2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2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left"/>
              <w:rPr/>
            </w:pPr>
            <w:r>
              <w:rPr/>
              <w:t> </w:t>
            </w:r>
          </w:p>
        </w:tc>
        <w:tc>
          <w:tcPr>
            <w:tcW w:w="686" w:type="dxa"/>
            <w:tcBorders/>
            <w:shd w:fill="CFF0FC" w:val="clear"/>
            <w:vAlign w:val="center"/>
          </w:tcPr>
          <w:p>
            <w:pPr>
              <w:pStyle w:val="TableContents"/>
              <w:bidi w:val="0"/>
              <w:spacing w:before="0" w:after="283"/>
              <w:ind w:left="0" w:right="0" w:firstLine="200"/>
              <w:jc w:val="left"/>
              <w:rPr/>
            </w:pPr>
            <w:r>
              <w:rPr/>
              <w:t> </w:t>
            </w:r>
          </w:p>
        </w:tc>
      </w:tr>
      <w:tr>
        <w:trPr/>
        <w:tc>
          <w:tcPr>
            <w:tcW w:w="119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7"/>
              </w:rPr>
            </w:pPr>
            <w:r>
              <w:rPr>
                <w:rFonts w:ascii="Times New Roman" w:hAnsi="Times New Roman"/>
                <w:b w:val="false"/>
                <w:color w:val="000000"/>
                <w:sz w:val="17"/>
              </w:rPr>
              <w:t>Subscription</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545,832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435,030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110,802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25</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1,553,253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1,232,387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320,866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26</w:t>
            </w:r>
          </w:p>
        </w:tc>
        <w:tc>
          <w:tcPr>
            <w:tcW w:w="68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7"/>
              </w:rPr>
            </w:pPr>
            <w:r>
              <w:rPr>
                <w:rFonts w:ascii="Times New Roman" w:hAnsi="Times New Roman"/>
                <w:b w:val="false"/>
                <w:color w:val="000000"/>
                <w:sz w:val="17"/>
              </w:rPr>
              <w:t>%</w:t>
            </w:r>
          </w:p>
        </w:tc>
      </w:tr>
      <w:tr>
        <w:trPr/>
        <w:tc>
          <w:tcPr>
            <w:tcW w:w="119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7"/>
              </w:rPr>
            </w:pPr>
            <w:r>
              <w:rPr>
                <w:rFonts w:ascii="Times New Roman" w:hAnsi="Times New Roman"/>
                <w:b w:val="false"/>
                <w:color w:val="000000"/>
                <w:sz w:val="17"/>
              </w:rPr>
              <w:t xml:space="preserve">Professional services </w:t>
              <w:br/>
              <w:t>and other</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11,725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8,928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2,797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577"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31</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35,062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28,926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6,136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577"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21</w:t>
            </w:r>
          </w:p>
        </w:tc>
        <w:tc>
          <w:tcPr>
            <w:tcW w:w="686"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17"/>
              </w:rPr>
            </w:pPr>
            <w:r>
              <w:rPr>
                <w:rFonts w:ascii="Times New Roman" w:hAnsi="Times New Roman"/>
                <w:b w:val="false"/>
                <w:color w:val="000000"/>
                <w:sz w:val="17"/>
              </w:rPr>
              <w:t>%</w:t>
            </w:r>
          </w:p>
        </w:tc>
      </w:tr>
      <w:tr>
        <w:trPr/>
        <w:tc>
          <w:tcPr>
            <w:tcW w:w="119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7"/>
              </w:rPr>
            </w:pPr>
            <w:r>
              <w:rPr>
                <w:rFonts w:ascii="Times New Roman" w:hAnsi="Times New Roman"/>
                <w:b w:val="false"/>
                <w:color w:val="000000"/>
                <w:sz w:val="17"/>
              </w:rPr>
              <w:t>Total revenue</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557,557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443,958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113,599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26</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1,588,315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1,261,313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327,002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26</w:t>
            </w:r>
          </w:p>
        </w:tc>
        <w:tc>
          <w:tcPr>
            <w:tcW w:w="68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r>
    </w:tbl>
    <w:p>
      <w:pPr>
        <w:pStyle w:val="TextBody"/>
        <w:bidi w:val="0"/>
        <w:spacing w:before="200" w:after="283"/>
        <w:jc w:val="left"/>
        <w:rPr>
          <w:rFonts w:ascii="Times New Roman" w:hAnsi="Times New Roman"/>
          <w:b w:val="false"/>
          <w:i/>
          <w:color w:val="000000"/>
          <w:sz w:val="20"/>
          <w:u w:val="single"/>
        </w:rPr>
      </w:pPr>
      <w:r>
        <w:rPr>
          <w:rFonts w:ascii="Times New Roman" w:hAnsi="Times New Roman"/>
          <w:b w:val="false"/>
          <w:i/>
          <w:color w:val="000000"/>
          <w:sz w:val="20"/>
          <w:u w:val="single"/>
        </w:rPr>
        <w:t>Three month change</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Subscription revenue increased during the three months ended September 30, 2023 compared to the same period in 2022 primarily due to the increase in Customers, which grew from 158,905 as of September 30, 2022 to 194,098 as of September 30, 2023. Average Subscription Revenue per Customer increased from $11,233 for the three months ended September 30, 2022 to $11,520 for the three months ended September 30, 2023. The growth in Customers was primarily driven by increased demand for our lower-priced Starter products. The increase in Average Subscription Revenue per Customer was primarily driven by a continued demand for our Professional and Enterprise products and adoption of multiple Hubs, offset by continued purchases of our lower-priced Starter products.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Professional services and other revenue increased during the three months ended September 30, 2023 compared to the same period in 2022 primarily due to increase in overall services revenue from onboarding and fees earned from other revenue streams.</w:t>
      </w:r>
      <w:r>
        <w:rPr>
          <w:rFonts w:ascii="Times New Roman" w:hAnsi="Times New Roman"/>
          <w:color w:val="000000"/>
          <w:sz w:val="20"/>
        </w:rPr>
        <w:t xml:space="preserve"> </w:t>
      </w:r>
    </w:p>
    <w:p>
      <w:pPr>
        <w:pStyle w:val="TextBody"/>
        <w:bidi w:val="0"/>
        <w:spacing w:before="200" w:after="283"/>
        <w:jc w:val="left"/>
        <w:rPr>
          <w:rFonts w:ascii="Times New Roman" w:hAnsi="Times New Roman"/>
          <w:b w:val="false"/>
          <w:i/>
          <w:color w:val="000000"/>
          <w:sz w:val="20"/>
          <w:u w:val="single"/>
        </w:rPr>
      </w:pPr>
      <w:r>
        <w:rPr>
          <w:rFonts w:ascii="Times New Roman" w:hAnsi="Times New Roman"/>
          <w:b w:val="false"/>
          <w:i/>
          <w:color w:val="000000"/>
          <w:sz w:val="20"/>
          <w:u w:val="single"/>
        </w:rPr>
        <w:t>Nine month change</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Subscription revenue increased during the nine months ended September 30, 2023 compared to the same period in 2022 primarily due to the increase in Customers, which grew from 158,905 as of September 30, 2022 to 194,098 as of September 30, 2023. Average Subscription Revenue per Customer increased from $11,162 for the nine months ended September 30, 2022 to $11,457 for the nine months ended September 30, 2023. The growth in Customers was primarily driven by increased demand for our lower-priced Starter products. The increase in Average Subscription Revenue per Customer was primarily driven by a continued demand for our Professional and Enterprise products and adoption of multiple Hubs, offset by continued purchases of our lower-priced Starter products.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Professional services and other revenue increased during the nine months ended September 30, 2023 compared to the same period in 2022 primarily due to increase in overall services revenue from onboarding and fees earned from other revenue streams.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i/>
          <w:color w:val="000000"/>
          <w:sz w:val="20"/>
        </w:rPr>
        <w:t xml:space="preserve">Cost of Revenue, Gross Profit and Gross Margin Percentage </w:t>
      </w:r>
      <w:r>
        <w:rPr>
          <w:rFonts w:ascii="Times New Roman" w:hAnsi="Times New Roman"/>
          <w:b w:val="false"/>
          <w:color w:val="000000"/>
          <w:sz w:val="20"/>
        </w:rPr>
        <w:br/>
      </w:r>
      <w:r>
        <w:rPr>
          <w:rFonts w:ascii="Times New Roman" w:hAnsi="Times New Roman"/>
          <w:color w:val="000000"/>
          <w:sz w:val="20"/>
        </w:rPr>
        <w:t> </w:t>
      </w:r>
    </w:p>
    <w:tbl>
      <w:tblPr>
        <w:tblW w:w="11201" w:type="dxa"/>
        <w:jc w:val="left"/>
        <w:tblInd w:w="0" w:type="dxa"/>
        <w:tblLayout w:type="fixed"/>
        <w:tblCellMar>
          <w:top w:w="28" w:type="dxa"/>
          <w:left w:w="28" w:type="dxa"/>
          <w:bottom w:w="28" w:type="dxa"/>
          <w:right w:w="28" w:type="dxa"/>
        </w:tblCellMar>
      </w:tblPr>
      <w:tblGrid>
        <w:gridCol w:w="916"/>
        <w:gridCol w:w="146"/>
        <w:gridCol w:w="196"/>
        <w:gridCol w:w="691"/>
        <w:gridCol w:w="241"/>
        <w:gridCol w:w="146"/>
        <w:gridCol w:w="196"/>
        <w:gridCol w:w="691"/>
        <w:gridCol w:w="241"/>
        <w:gridCol w:w="146"/>
        <w:gridCol w:w="196"/>
        <w:gridCol w:w="691"/>
        <w:gridCol w:w="146"/>
        <w:gridCol w:w="146"/>
        <w:gridCol w:w="294"/>
        <w:gridCol w:w="577"/>
        <w:gridCol w:w="241"/>
        <w:gridCol w:w="146"/>
        <w:gridCol w:w="196"/>
        <w:gridCol w:w="826"/>
        <w:gridCol w:w="241"/>
        <w:gridCol w:w="146"/>
        <w:gridCol w:w="196"/>
        <w:gridCol w:w="826"/>
        <w:gridCol w:w="241"/>
        <w:gridCol w:w="146"/>
        <w:gridCol w:w="196"/>
        <w:gridCol w:w="691"/>
        <w:gridCol w:w="146"/>
        <w:gridCol w:w="146"/>
        <w:gridCol w:w="294"/>
        <w:gridCol w:w="577"/>
        <w:gridCol w:w="286"/>
      </w:tblGrid>
      <w:tr>
        <w:trPr/>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w:t>
              <w:br/>
              <w:t> Ended 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center"/>
              <w:rPr/>
            </w:pPr>
            <w:r>
              <w:rPr/>
              <w:t> </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w:t>
              <w:br/>
              <w:t> Ended 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center"/>
              <w:rPr/>
            </w:pPr>
            <w:r>
              <w:rPr/>
              <w:t> </w:t>
            </w:r>
          </w:p>
        </w:tc>
        <w:tc>
          <w:tcPr>
            <w:tcW w:w="286" w:type="dxa"/>
            <w:tcBorders/>
            <w:shd w:fill="FFFFFF" w:val="clear"/>
            <w:vAlign w:val="center"/>
          </w:tcPr>
          <w:p>
            <w:pPr>
              <w:pStyle w:val="TableContents"/>
              <w:bidi w:val="0"/>
              <w:spacing w:before="0" w:after="283"/>
              <w:jc w:val="center"/>
              <w:rPr/>
            </w:pPr>
            <w:r>
              <w:rPr/>
              <w:t> </w:t>
            </w:r>
          </w:p>
        </w:tc>
      </w:tr>
      <w:tr>
        <w:trPr/>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1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Total cost of revenue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87,526</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82,127</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5,399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577"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7</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256,854</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233,998</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22,856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577"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10</w:t>
            </w:r>
          </w:p>
        </w:tc>
        <w:tc>
          <w:tcPr>
            <w:tcW w:w="28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r>
      <w:tr>
        <w:trPr/>
        <w:tc>
          <w:tcPr>
            <w:tcW w:w="91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Gross profit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470,031</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361,831</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108,200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30</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1,331,461</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1,027,315</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304,146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30</w:t>
            </w:r>
          </w:p>
        </w:tc>
        <w:tc>
          <w:tcPr>
            <w:tcW w:w="28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r>
      <w:tr>
        <w:trPr/>
        <w:tc>
          <w:tcPr>
            <w:tcW w:w="91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Gross margin</w:t>
              <w:br/>
              <w:t> percentage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84</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82</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84</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81</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286" w:type="dxa"/>
            <w:tcBorders/>
            <w:shd w:fill="CFF0FC" w:val="clear"/>
            <w:vAlign w:val="center"/>
          </w:tcPr>
          <w:p>
            <w:pPr>
              <w:pStyle w:val="TableContents"/>
              <w:bidi w:val="0"/>
              <w:spacing w:before="0" w:after="283"/>
              <w:jc w:val="right"/>
              <w:rPr/>
            </w:pPr>
            <w:r>
              <w:rPr/>
              <w:t> </w:t>
            </w:r>
          </w:p>
        </w:tc>
      </w:tr>
    </w:tbl>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Total cost of revenue for the three and nine months ended September 30, 2023 increased compared to the same period in 2022 primarily due to an increase in subscription and hosting costs, amortization of capitalized software development costs, amortization of acquired technology, offset by decreases in employee-related costs and allocated overhead expenses. The increase in gross margin was primarily driven by benefits from hosting cost efficiencies from infrastructure optimization efforts.</w:t>
      </w:r>
    </w:p>
    <w:p>
      <w:pPr>
        <w:pStyle w:val="TextBody"/>
        <w:bidi w:val="0"/>
        <w:spacing w:before="200" w:after="283"/>
        <w:jc w:val="left"/>
        <w:rPr/>
      </w:pPr>
      <w:r>
        <w:rPr/>
        <w:t> </w:t>
      </w:r>
    </w:p>
    <w:tbl>
      <w:tblPr>
        <w:tblW w:w="10645" w:type="dxa"/>
        <w:jc w:val="left"/>
        <w:tblInd w:w="0" w:type="dxa"/>
        <w:tblLayout w:type="fixed"/>
        <w:tblCellMar>
          <w:top w:w="28" w:type="dxa"/>
          <w:left w:w="28" w:type="dxa"/>
          <w:bottom w:w="28" w:type="dxa"/>
          <w:right w:w="28" w:type="dxa"/>
        </w:tblCellMar>
      </w:tblPr>
      <w:tblGrid>
        <w:gridCol w:w="991"/>
        <w:gridCol w:w="146"/>
        <w:gridCol w:w="196"/>
        <w:gridCol w:w="601"/>
        <w:gridCol w:w="241"/>
        <w:gridCol w:w="146"/>
        <w:gridCol w:w="196"/>
        <w:gridCol w:w="601"/>
        <w:gridCol w:w="241"/>
        <w:gridCol w:w="146"/>
        <w:gridCol w:w="220"/>
        <w:gridCol w:w="576"/>
        <w:gridCol w:w="146"/>
        <w:gridCol w:w="146"/>
        <w:gridCol w:w="371"/>
        <w:gridCol w:w="500"/>
        <w:gridCol w:w="241"/>
        <w:gridCol w:w="146"/>
        <w:gridCol w:w="196"/>
        <w:gridCol w:w="691"/>
        <w:gridCol w:w="241"/>
        <w:gridCol w:w="146"/>
        <w:gridCol w:w="196"/>
        <w:gridCol w:w="691"/>
        <w:gridCol w:w="241"/>
        <w:gridCol w:w="146"/>
        <w:gridCol w:w="196"/>
        <w:gridCol w:w="601"/>
        <w:gridCol w:w="146"/>
        <w:gridCol w:w="146"/>
        <w:gridCol w:w="294"/>
        <w:gridCol w:w="577"/>
        <w:gridCol w:w="286"/>
      </w:tblGrid>
      <w:tr>
        <w:trPr/>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9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w:t>
              <w:br/>
              <w:t> Ended 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center"/>
              <w:rPr/>
            </w:pPr>
            <w:r>
              <w:rPr/>
              <w:t> </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w:t>
              <w:br/>
              <w:t> Ended 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center"/>
              <w:rPr/>
            </w:pPr>
            <w:r>
              <w:rPr/>
              <w:t> </w:t>
            </w:r>
          </w:p>
        </w:tc>
        <w:tc>
          <w:tcPr>
            <w:tcW w:w="286" w:type="dxa"/>
            <w:tcBorders/>
            <w:shd w:fill="FFFFFF" w:val="clear"/>
            <w:vAlign w:val="center"/>
          </w:tcPr>
          <w:p>
            <w:pPr>
              <w:pStyle w:val="TableContents"/>
              <w:bidi w:val="0"/>
              <w:spacing w:before="0" w:after="283"/>
              <w:jc w:val="center"/>
              <w:rPr/>
            </w:pPr>
            <w:r>
              <w:rPr/>
              <w:t> </w:t>
            </w:r>
          </w:p>
        </w:tc>
      </w:tr>
      <w:tr>
        <w:trPr/>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91"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Subscription cost of revenue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73,781</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67,648</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576"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6,133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1" w:type="dxa"/>
            <w:tcBorders/>
            <w:shd w:fill="CFF0FC" w:val="clear"/>
            <w:vAlign w:val="center"/>
          </w:tcPr>
          <w:p>
            <w:pPr>
              <w:pStyle w:val="TableContents"/>
              <w:bidi w:val="0"/>
              <w:spacing w:before="0" w:after="283"/>
              <w:jc w:val="left"/>
              <w:rPr/>
            </w:pPr>
            <w:r>
              <w:rPr/>
              <w:t> </w:t>
            </w:r>
          </w:p>
        </w:tc>
        <w:tc>
          <w:tcPr>
            <w:tcW w:w="500"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9</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215,944</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191,466</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24,478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577"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13</w:t>
            </w:r>
          </w:p>
        </w:tc>
        <w:tc>
          <w:tcPr>
            <w:tcW w:w="28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r>
      <w:tr>
        <w:trPr/>
        <w:tc>
          <w:tcPr>
            <w:tcW w:w="991"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 xml:space="preserve">Percentage of subscription </w:t>
              <w:br/>
              <w:t>revenue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14</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16</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14</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16</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286" w:type="dxa"/>
            <w:tcBorders/>
            <w:shd w:fill="FFFFFF" w:val="clear"/>
            <w:vAlign w:val="center"/>
          </w:tcPr>
          <w:p>
            <w:pPr>
              <w:pStyle w:val="TableContents"/>
              <w:bidi w:val="0"/>
              <w:spacing w:before="0" w:after="283"/>
              <w:jc w:val="right"/>
              <w:rPr/>
            </w:pPr>
            <w:r>
              <w:rPr/>
              <w:t> </w:t>
            </w:r>
          </w:p>
        </w:tc>
      </w:tr>
    </w:tbl>
    <w:p>
      <w:pPr>
        <w:pStyle w:val="TextBody"/>
        <w:bidi w:val="0"/>
        <w:spacing w:before="200" w:after="283"/>
        <w:jc w:val="left"/>
        <w:rPr>
          <w:rFonts w:ascii="Times New Roman" w:hAnsi="Times New Roman"/>
          <w:sz w:val="20"/>
        </w:rPr>
      </w:pPr>
      <w:r>
        <w:rPr>
          <w:rFonts w:ascii="Times New Roman" w:hAnsi="Times New Roman"/>
          <w:b w:val="false"/>
          <w:color w:val="000000"/>
          <w:sz w:val="20"/>
        </w:rPr>
        <w:br/>
        <w:t>The increase in subscription cost of revenue for the three and nine months ended September 30, 2023 compared to the same period in</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2022 was primarily due to the following:</w:t>
        <w:br/>
      </w:r>
      <w:r>
        <w:rPr>
          <w:rFonts w:ascii="Times New Roman" w:hAnsi="Times New Roman"/>
          <w:color w:val="000000"/>
          <w:sz w:val="20"/>
        </w:rPr>
        <w:t> </w:t>
      </w:r>
    </w:p>
    <w:tbl>
      <w:tblPr>
        <w:tblW w:w="7435" w:type="dxa"/>
        <w:jc w:val="left"/>
        <w:tblInd w:w="0" w:type="dxa"/>
        <w:tblLayout w:type="fixed"/>
        <w:tblCellMar>
          <w:top w:w="28" w:type="dxa"/>
          <w:left w:w="28" w:type="dxa"/>
          <w:bottom w:w="28" w:type="dxa"/>
          <w:right w:w="28" w:type="dxa"/>
        </w:tblCellMar>
      </w:tblPr>
      <w:tblGrid>
        <w:gridCol w:w="4636"/>
        <w:gridCol w:w="146"/>
        <w:gridCol w:w="299"/>
        <w:gridCol w:w="811"/>
        <w:gridCol w:w="166"/>
        <w:gridCol w:w="146"/>
        <w:gridCol w:w="242"/>
        <w:gridCol w:w="778"/>
        <w:gridCol w:w="211"/>
      </w:tblGrid>
      <w:tr>
        <w:trPr/>
        <w:tc>
          <w:tcPr>
            <w:tcW w:w="4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42"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shd w:fill="FFFFFF" w:val="clear"/>
            <w:vAlign w:val="center"/>
          </w:tcPr>
          <w:p>
            <w:pPr>
              <w:pStyle w:val="TableContents"/>
              <w:bidi w:val="0"/>
              <w:spacing w:before="0" w:after="283"/>
              <w:jc w:val="center"/>
              <w:rPr/>
            </w:pPr>
            <w:r>
              <w:rPr/>
              <w:t> </w:t>
            </w:r>
          </w:p>
        </w:tc>
      </w:tr>
      <w:tr>
        <w:trPr/>
        <w:tc>
          <w:tcPr>
            <w:tcW w:w="46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42"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46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Subscription and hosting costs</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20,212</w:t>
            </w:r>
          </w:p>
        </w:tc>
        <w:tc>
          <w:tcPr>
            <w:tcW w:w="211" w:type="dxa"/>
            <w:tcBorders/>
            <w:shd w:fill="CFF0FC" w:val="clear"/>
            <w:vAlign w:val="center"/>
          </w:tcPr>
          <w:p>
            <w:pPr>
              <w:pStyle w:val="TableContents"/>
              <w:bidi w:val="0"/>
              <w:spacing w:before="0" w:after="283"/>
              <w:jc w:val="left"/>
              <w:rPr/>
            </w:pPr>
            <w:r>
              <w:rPr/>
              <w:t> </w:t>
            </w:r>
          </w:p>
        </w:tc>
      </w:tr>
      <w:tr>
        <w:trPr/>
        <w:tc>
          <w:tcPr>
            <w:tcW w:w="46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Amortization of capitalized software development costs</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7,588</w:t>
            </w:r>
          </w:p>
        </w:tc>
        <w:tc>
          <w:tcPr>
            <w:tcW w:w="211" w:type="dxa"/>
            <w:tcBorders/>
            <w:shd w:fill="FFFFFF" w:val="clear"/>
            <w:vAlign w:val="center"/>
          </w:tcPr>
          <w:p>
            <w:pPr>
              <w:pStyle w:val="TableContents"/>
              <w:bidi w:val="0"/>
              <w:spacing w:before="0" w:after="283"/>
              <w:jc w:val="left"/>
              <w:rPr/>
            </w:pPr>
            <w:r>
              <w:rPr/>
              <w:t> </w:t>
            </w:r>
          </w:p>
        </w:tc>
      </w:tr>
      <w:tr>
        <w:trPr/>
        <w:tc>
          <w:tcPr>
            <w:tcW w:w="46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Amortization of acquired technology</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292</w:t>
            </w:r>
          </w:p>
        </w:tc>
        <w:tc>
          <w:tcPr>
            <w:tcW w:w="211" w:type="dxa"/>
            <w:tcBorders/>
            <w:shd w:fill="CFF0FC" w:val="clear"/>
            <w:vAlign w:val="center"/>
          </w:tcPr>
          <w:p>
            <w:pPr>
              <w:pStyle w:val="TableContents"/>
              <w:bidi w:val="0"/>
              <w:spacing w:before="0" w:after="283"/>
              <w:jc w:val="left"/>
              <w:rPr/>
            </w:pPr>
            <w:r>
              <w:rPr/>
              <w:t> </w:t>
            </w:r>
          </w:p>
        </w:tc>
      </w:tr>
      <w:tr>
        <w:trPr/>
        <w:tc>
          <w:tcPr>
            <w:tcW w:w="46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Employee-related costs</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(2,675</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6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Allocated overhead expenses</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6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24,478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b w:val="false"/>
          <w:i/>
          <w:color w:val="000000"/>
          <w:sz w:val="20"/>
          <w:u w:val="single"/>
        </w:rPr>
      </w:pPr>
      <w:r>
        <w:rPr>
          <w:rFonts w:ascii="Times New Roman" w:hAnsi="Times New Roman"/>
          <w:b w:val="false"/>
          <w:i/>
          <w:color w:val="000000"/>
          <w:sz w:val="20"/>
          <w:u w:val="single"/>
        </w:rPr>
        <w:t>Three month change</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Subscription and hosting costs increased primarily due to growth in our Customer base from 158,905 as of September 30, 2022 to 194,098 as of September 30, 2023. We also saw higher subscription and hosting costs as we continued to focus on the security, reliability and performance of our CRM Platform. Amortization of capitalized software development costs increased due to the increased number of developers working on our software platform as we continued to develop new products and increased functionality. Amortization of acquired technology increased due to certain acquired technology being amortized using a method reflective of the expected economic benefit consumption over the expected useful life of the asset. Employee-related costs decreased as a result of the workforce reduction under the Restructuring Plan. Allocated overhead expenses decreased primarily due to the reduction of our leased space as a result of the global lease consolidation under the Restructuring Plan.</w:t>
      </w:r>
      <w:r>
        <w:rPr>
          <w:rFonts w:ascii="Times New Roman" w:hAnsi="Times New Roman"/>
          <w:color w:val="000000"/>
          <w:sz w:val="20"/>
        </w:rPr>
        <w:t xml:space="preserve"> </w:t>
      </w:r>
    </w:p>
    <w:p>
      <w:pPr>
        <w:pStyle w:val="TextBody"/>
        <w:bidi w:val="0"/>
        <w:spacing w:before="200" w:after="283"/>
        <w:jc w:val="left"/>
        <w:rPr>
          <w:rFonts w:ascii="Times New Roman" w:hAnsi="Times New Roman"/>
          <w:b w:val="false"/>
          <w:i/>
          <w:color w:val="000000"/>
          <w:sz w:val="20"/>
          <w:u w:val="single"/>
        </w:rPr>
      </w:pPr>
      <w:r>
        <w:rPr>
          <w:rFonts w:ascii="Times New Roman" w:hAnsi="Times New Roman"/>
          <w:b w:val="false"/>
          <w:i/>
          <w:color w:val="000000"/>
          <w:sz w:val="20"/>
          <w:u w:val="single"/>
        </w:rPr>
        <w:t>Nine month change</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Subscription and hosting costs increased primarily due to growth in our Customer base from 158,905 as of September 30, 2022 to 194,098 as of September 30, 2023. We also saw higher subscription and hosting costs as we continued to focus on the security, reliability and performance of our CRM Platform. Amortization of capitalized software development costs increased due to the increased number of developers working on our software platform as we continued to develop new products and increased functionality. Amortization of acquired technology increased due to certain acquired technology being amortized using a method reflective of the expected economic benefit consumption over the expected useful life of the asset. Employee-related costs decreased as a result of the workforce reduction under the Restructuring Plan. Allocated overhead expenses decreased primarily due to the reduction of our leased space as a result of the global lease consolidation under the Restructuring Plan.</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1089"/>
        <w:gridCol w:w="146"/>
        <w:gridCol w:w="196"/>
        <w:gridCol w:w="601"/>
        <w:gridCol w:w="241"/>
        <w:gridCol w:w="146"/>
        <w:gridCol w:w="196"/>
        <w:gridCol w:w="601"/>
        <w:gridCol w:w="241"/>
        <w:gridCol w:w="146"/>
        <w:gridCol w:w="246"/>
        <w:gridCol w:w="550"/>
        <w:gridCol w:w="166"/>
        <w:gridCol w:w="146"/>
        <w:gridCol w:w="244"/>
        <w:gridCol w:w="428"/>
        <w:gridCol w:w="241"/>
        <w:gridCol w:w="146"/>
        <w:gridCol w:w="196"/>
        <w:gridCol w:w="601"/>
        <w:gridCol w:w="241"/>
        <w:gridCol w:w="146"/>
        <w:gridCol w:w="196"/>
        <w:gridCol w:w="601"/>
        <w:gridCol w:w="241"/>
        <w:gridCol w:w="146"/>
        <w:gridCol w:w="203"/>
        <w:gridCol w:w="593"/>
        <w:gridCol w:w="166"/>
        <w:gridCol w:w="146"/>
        <w:gridCol w:w="244"/>
        <w:gridCol w:w="428"/>
        <w:gridCol w:w="287"/>
      </w:tblGrid>
      <w:tr>
        <w:trPr/>
        <w:tc>
          <w:tcPr>
            <w:tcW w:w="10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108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w:t>
              <w:br/>
              <w:t> Ended 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2" w:type="dxa"/>
            <w:gridSpan w:val="2"/>
            <w:tcBorders/>
            <w:shd w:fill="FFFFFF" w:val="clear"/>
            <w:vAlign w:val="center"/>
          </w:tcPr>
          <w:p>
            <w:pPr>
              <w:pStyle w:val="TableContents"/>
              <w:bidi w:val="0"/>
              <w:spacing w:before="0" w:after="283"/>
              <w:jc w:val="center"/>
              <w:rPr/>
            </w:pPr>
            <w:r>
              <w:rPr/>
              <w:t> </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w:t>
              <w:br/>
              <w:t> Ended 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2" w:type="dxa"/>
            <w:gridSpan w:val="2"/>
            <w:tcBorders/>
            <w:shd w:fill="FFFFFF" w:val="clear"/>
            <w:vAlign w:val="center"/>
          </w:tcPr>
          <w:p>
            <w:pPr>
              <w:pStyle w:val="TableContents"/>
              <w:bidi w:val="0"/>
              <w:spacing w:before="0" w:after="283"/>
              <w:jc w:val="center"/>
              <w:rPr/>
            </w:pPr>
            <w:r>
              <w:rPr/>
              <w:t> </w:t>
            </w:r>
          </w:p>
        </w:tc>
        <w:tc>
          <w:tcPr>
            <w:tcW w:w="287" w:type="dxa"/>
            <w:tcBorders/>
            <w:shd w:fill="FFFFFF" w:val="clear"/>
            <w:vAlign w:val="center"/>
          </w:tcPr>
          <w:p>
            <w:pPr>
              <w:pStyle w:val="TableContents"/>
              <w:bidi w:val="0"/>
              <w:spacing w:before="0" w:after="283"/>
              <w:jc w:val="center"/>
              <w:rPr/>
            </w:pPr>
            <w:r>
              <w:rPr/>
              <w:t> </w:t>
            </w:r>
          </w:p>
        </w:tc>
      </w:tr>
      <w:tr>
        <w:trPr/>
        <w:tc>
          <w:tcPr>
            <w:tcW w:w="10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w:t>
            </w:r>
            <w:r>
              <w:rPr>
                <w:rFonts w:ascii="Times New Roman" w:hAnsi="Times New Roman"/>
                <w:color w:val="000000"/>
                <w:sz w:val="16"/>
              </w:rPr>
              <w:t xml:space="preserve"> </w:t>
            </w:r>
            <w:r>
              <w:rPr>
                <w:rFonts w:ascii="Times New Roman" w:hAnsi="Times New Roman"/>
                <w:b/>
                <w:color w:val="000000"/>
                <w:sz w:val="16"/>
              </w:rPr>
              <w:t>Change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w:t>
            </w:r>
            <w:r>
              <w:rPr>
                <w:rFonts w:ascii="Times New Roman" w:hAnsi="Times New Roman"/>
                <w:color w:val="000000"/>
                <w:sz w:val="16"/>
              </w:rPr>
              <w:t xml:space="preserve"> </w:t>
            </w:r>
            <w:r>
              <w:rPr>
                <w:rFonts w:ascii="Times New Roman" w:hAnsi="Times New Roman"/>
                <w:b/>
                <w:color w:val="000000"/>
                <w:sz w:val="16"/>
              </w:rPr>
              <w:t>Change</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9"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Professional services and other cost of revenue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13,745</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14,479</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550"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(734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428"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-5</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40,910</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42,532</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593"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(1,622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428"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w:t>
            </w:r>
          </w:p>
        </w:tc>
        <w:tc>
          <w:tcPr>
            <w:tcW w:w="287"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r>
      <w:tr>
        <w:trPr/>
        <w:tc>
          <w:tcPr>
            <w:tcW w:w="1089"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Percentage of professional</w:t>
              <w:br/>
              <w:t>services and other revenue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117</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162</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2"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117</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147</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2" w:type="dxa"/>
            <w:gridSpan w:val="2"/>
            <w:tcBorders/>
            <w:shd w:fill="FFFFFF" w:val="clear"/>
            <w:vAlign w:val="center"/>
          </w:tcPr>
          <w:p>
            <w:pPr>
              <w:pStyle w:val="TableContents"/>
              <w:bidi w:val="0"/>
              <w:spacing w:before="0" w:after="283"/>
              <w:jc w:val="right"/>
              <w:rPr/>
            </w:pPr>
            <w:r>
              <w:rPr/>
              <w:t> </w:t>
            </w:r>
          </w:p>
        </w:tc>
        <w:tc>
          <w:tcPr>
            <w:tcW w:w="287" w:type="dxa"/>
            <w:tcBorders/>
            <w:shd w:fill="FFFFFF" w:val="clear"/>
            <w:vAlign w:val="center"/>
          </w:tcPr>
          <w:p>
            <w:pPr>
              <w:pStyle w:val="TableContents"/>
              <w:bidi w:val="0"/>
              <w:spacing w:before="0" w:after="283"/>
              <w:jc w:val="right"/>
              <w:rPr/>
            </w:pPr>
            <w:r>
              <w:rPr/>
              <w:t> </w:t>
            </w:r>
          </w:p>
        </w:tc>
      </w:tr>
    </w:tbl>
    <w:p>
      <w:pPr>
        <w:pStyle w:val="TextBody"/>
        <w:bidi w:val="0"/>
        <w:spacing w:before="200" w:after="283"/>
        <w:jc w:val="left"/>
        <w:rPr>
          <w:rFonts w:ascii="Times New Roman" w:hAnsi="Times New Roman"/>
          <w:sz w:val="20"/>
        </w:rPr>
      </w:pPr>
      <w:r>
        <w:rPr>
          <w:rFonts w:ascii="Times New Roman" w:hAnsi="Times New Roman"/>
          <w:b w:val="false"/>
          <w:color w:val="000000"/>
          <w:sz w:val="20"/>
        </w:rPr>
        <w:t xml:space="preserve">The increase in professional services and other cost of revenue for three and nine months ended September 30, 2023 compared to the same period in 2022 was primarily due to the following: </w:t>
        <w:br/>
      </w:r>
      <w:r>
        <w:rPr>
          <w:rFonts w:ascii="Times New Roman" w:hAnsi="Times New Roman"/>
          <w:color w:val="000000"/>
          <w:sz w:val="20"/>
        </w:rPr>
        <w:t> </w:t>
      </w:r>
    </w:p>
    <w:tbl>
      <w:tblPr>
        <w:tblW w:w="6100" w:type="dxa"/>
        <w:jc w:val="left"/>
        <w:tblInd w:w="0" w:type="dxa"/>
        <w:tblLayout w:type="fixed"/>
        <w:tblCellMar>
          <w:top w:w="28" w:type="dxa"/>
          <w:left w:w="28" w:type="dxa"/>
          <w:bottom w:w="28" w:type="dxa"/>
          <w:right w:w="28" w:type="dxa"/>
        </w:tblCellMar>
      </w:tblPr>
      <w:tblGrid>
        <w:gridCol w:w="3301"/>
        <w:gridCol w:w="146"/>
        <w:gridCol w:w="278"/>
        <w:gridCol w:w="832"/>
        <w:gridCol w:w="166"/>
        <w:gridCol w:w="146"/>
        <w:gridCol w:w="255"/>
        <w:gridCol w:w="765"/>
        <w:gridCol w:w="211"/>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2"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shd w:fill="FFFFFF" w:val="clear"/>
            <w:vAlign w:val="center"/>
          </w:tcPr>
          <w:p>
            <w:pPr>
              <w:pStyle w:val="TableContents"/>
              <w:bidi w:val="0"/>
              <w:spacing w:before="0" w:after="283"/>
              <w:jc w:val="center"/>
              <w:rPr/>
            </w:pPr>
            <w:r>
              <w:rPr/>
              <w:t> </w:t>
            </w:r>
          </w:p>
        </w:tc>
      </w:tr>
      <w:tr>
        <w:trPr/>
        <w:tc>
          <w:tcPr>
            <w:tcW w:w="33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2"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33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Allocated overhead and other expenses</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5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6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4,980</w:t>
            </w:r>
          </w:p>
        </w:tc>
        <w:tc>
          <w:tcPr>
            <w:tcW w:w="211" w:type="dxa"/>
            <w:tcBorders/>
            <w:shd w:fill="CFF0FC" w:val="clear"/>
            <w:vAlign w:val="center"/>
          </w:tcPr>
          <w:p>
            <w:pPr>
              <w:pStyle w:val="TableContents"/>
              <w:bidi w:val="0"/>
              <w:spacing w:before="0" w:after="283"/>
              <w:jc w:val="left"/>
              <w:rPr/>
            </w:pPr>
            <w:r>
              <w:rPr/>
              <w:t> </w:t>
            </w:r>
          </w:p>
        </w:tc>
      </w:tr>
      <w:tr>
        <w:trPr/>
        <w:tc>
          <w:tcPr>
            <w:tcW w:w="33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Employee-related costs</w:t>
            </w:r>
          </w:p>
        </w:tc>
        <w:tc>
          <w:tcPr>
            <w:tcW w:w="146" w:type="dxa"/>
            <w:tcBorders/>
            <w:shd w:fill="FFFFFF" w:val="cle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(6,602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3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200" w:after="283"/>
        <w:jc w:val="left"/>
        <w:rPr/>
      </w:pPr>
      <w:r>
        <w:rPr/>
        <w:t> </w:t>
      </w:r>
    </w:p>
    <w:p>
      <w:pPr>
        <w:pStyle w:val="TextBody"/>
        <w:bidi w:val="0"/>
        <w:spacing w:before="200" w:after="283"/>
        <w:jc w:val="left"/>
        <w:rPr/>
      </w:pPr>
      <w:r>
        <w:rPr/>
        <w:t> </w:t>
      </w:r>
    </w:p>
    <w:p>
      <w:pPr>
        <w:pStyle w:val="TextBody"/>
        <w:bidi w:val="0"/>
        <w:spacing w:before="200" w:after="283"/>
        <w:jc w:val="left"/>
        <w:rPr>
          <w:rFonts w:ascii="Times New Roman" w:hAnsi="Times New Roman"/>
          <w:b w:val="false"/>
          <w:i/>
          <w:color w:val="000000"/>
          <w:sz w:val="20"/>
          <w:u w:val="single"/>
        </w:rPr>
      </w:pPr>
      <w:r>
        <w:rPr>
          <w:rFonts w:ascii="Times New Roman" w:hAnsi="Times New Roman"/>
          <w:b w:val="false"/>
          <w:i/>
          <w:color w:val="000000"/>
          <w:sz w:val="20"/>
          <w:u w:val="single"/>
        </w:rPr>
        <w:t>Three month change</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Allocated overhead and other expenses increased primarily due to increased costs associated with our other service offerings. Employee-related costs decreased as a result of the workforce reduction under the Restructuring Plan.</w:t>
      </w:r>
    </w:p>
    <w:p>
      <w:pPr>
        <w:pStyle w:val="TextBody"/>
        <w:bidi w:val="0"/>
        <w:spacing w:before="200" w:after="283"/>
        <w:jc w:val="left"/>
        <w:rPr>
          <w:rFonts w:ascii="Times New Roman" w:hAnsi="Times New Roman"/>
          <w:b w:val="false"/>
          <w:i/>
          <w:color w:val="000000"/>
          <w:sz w:val="20"/>
          <w:u w:val="single"/>
        </w:rPr>
      </w:pPr>
      <w:r>
        <w:rPr>
          <w:rFonts w:ascii="Times New Roman" w:hAnsi="Times New Roman"/>
          <w:b w:val="false"/>
          <w:i/>
          <w:color w:val="000000"/>
          <w:sz w:val="20"/>
          <w:u w:val="single"/>
        </w:rPr>
        <w:t>Nine month change</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Allocated overhead and other expenses increased primarily due to increased costs associated with our other service offerings. Employee-related costs decreased as a result of the workforce reduction under the Restructuring Plan.</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Research and Development</w:t>
      </w:r>
    </w:p>
    <w:tbl>
      <w:tblPr>
        <w:tblW w:w="10946" w:type="dxa"/>
        <w:jc w:val="left"/>
        <w:tblInd w:w="0" w:type="dxa"/>
        <w:tblLayout w:type="fixed"/>
        <w:tblCellMar>
          <w:top w:w="28" w:type="dxa"/>
          <w:left w:w="28" w:type="dxa"/>
          <w:bottom w:w="28" w:type="dxa"/>
          <w:right w:w="28" w:type="dxa"/>
        </w:tblCellMar>
      </w:tblPr>
      <w:tblGrid>
        <w:gridCol w:w="1021"/>
        <w:gridCol w:w="146"/>
        <w:gridCol w:w="196"/>
        <w:gridCol w:w="691"/>
        <w:gridCol w:w="241"/>
        <w:gridCol w:w="146"/>
        <w:gridCol w:w="196"/>
        <w:gridCol w:w="691"/>
        <w:gridCol w:w="241"/>
        <w:gridCol w:w="146"/>
        <w:gridCol w:w="196"/>
        <w:gridCol w:w="601"/>
        <w:gridCol w:w="146"/>
        <w:gridCol w:w="146"/>
        <w:gridCol w:w="294"/>
        <w:gridCol w:w="577"/>
        <w:gridCol w:w="241"/>
        <w:gridCol w:w="146"/>
        <w:gridCol w:w="196"/>
        <w:gridCol w:w="691"/>
        <w:gridCol w:w="241"/>
        <w:gridCol w:w="146"/>
        <w:gridCol w:w="196"/>
        <w:gridCol w:w="691"/>
        <w:gridCol w:w="241"/>
        <w:gridCol w:w="146"/>
        <w:gridCol w:w="196"/>
        <w:gridCol w:w="691"/>
        <w:gridCol w:w="146"/>
        <w:gridCol w:w="146"/>
        <w:gridCol w:w="294"/>
        <w:gridCol w:w="577"/>
        <w:gridCol w:w="286"/>
      </w:tblGrid>
      <w:tr>
        <w:trPr/>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0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w:t>
              <w:br/>
              <w:t> Ended 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w:t>
              <w:br/>
              <w:t> Ended 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r>
      <w:tr>
        <w:trPr/>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21"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Research and development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156,871</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114,038</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42,833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577"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38</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454,511</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325,687</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128,824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577"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40</w:t>
            </w:r>
          </w:p>
        </w:tc>
        <w:tc>
          <w:tcPr>
            <w:tcW w:w="28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r>
      <w:tr>
        <w:trPr/>
        <w:tc>
          <w:tcPr>
            <w:tcW w:w="1021"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Percentage of total revenue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28</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26</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29</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26</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The increase in research and development expense for the three and nine months ended September 30, 2023 compared to the same period in 2022 was primarily due to the following:</w:t>
      </w:r>
    </w:p>
    <w:p>
      <w:pPr>
        <w:pStyle w:val="TextBody"/>
        <w:bidi w:val="0"/>
        <w:jc w:val="left"/>
        <w:rPr/>
      </w:pPr>
      <w:r>
        <w:rPr/>
        <w:t> </w:t>
      </w:r>
    </w:p>
    <w:tbl>
      <w:tblPr>
        <w:tblW w:w="5250" w:type="dxa"/>
        <w:jc w:val="left"/>
        <w:tblInd w:w="0" w:type="dxa"/>
        <w:tblLayout w:type="fixed"/>
        <w:tblCellMar>
          <w:top w:w="28" w:type="dxa"/>
          <w:left w:w="28" w:type="dxa"/>
          <w:bottom w:w="28" w:type="dxa"/>
          <w:right w:w="28" w:type="dxa"/>
        </w:tblCellMar>
      </w:tblPr>
      <w:tblGrid>
        <w:gridCol w:w="2491"/>
        <w:gridCol w:w="146"/>
        <w:gridCol w:w="264"/>
        <w:gridCol w:w="846"/>
        <w:gridCol w:w="146"/>
        <w:gridCol w:w="146"/>
        <w:gridCol w:w="217"/>
        <w:gridCol w:w="803"/>
        <w:gridCol w:w="19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2"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91" w:type="dxa"/>
            <w:tcBorders/>
            <w:shd w:fill="FFFFFF" w:val="clear"/>
            <w:vAlign w:val="center"/>
          </w:tcPr>
          <w:p>
            <w:pPr>
              <w:pStyle w:val="TableContents"/>
              <w:bidi w:val="0"/>
              <w:spacing w:before="0" w:after="283"/>
              <w:jc w:val="center"/>
              <w:rPr/>
            </w:pPr>
            <w:r>
              <w:rPr/>
              <w:t> </w:t>
            </w:r>
          </w:p>
        </w:tc>
      </w:tr>
      <w:tr>
        <w:trPr/>
        <w:tc>
          <w:tcPr>
            <w:tcW w:w="24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2"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24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Employee-related costs</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41,034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124,260</w:t>
            </w:r>
          </w:p>
        </w:tc>
        <w:tc>
          <w:tcPr>
            <w:tcW w:w="191" w:type="dxa"/>
            <w:tcBorders/>
            <w:shd w:fill="CFF0FC" w:val="clear"/>
            <w:vAlign w:val="center"/>
          </w:tcPr>
          <w:p>
            <w:pPr>
              <w:pStyle w:val="TableContents"/>
              <w:bidi w:val="0"/>
              <w:spacing w:before="0" w:after="283"/>
              <w:jc w:val="left"/>
              <w:rPr/>
            </w:pPr>
            <w:r>
              <w:rPr/>
              <w:t> </w:t>
            </w:r>
          </w:p>
        </w:tc>
      </w:tr>
      <w:tr>
        <w:trPr/>
        <w:tc>
          <w:tcPr>
            <w:tcW w:w="24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Allocated overhead expenses</w:t>
            </w:r>
          </w:p>
        </w:tc>
        <w:tc>
          <w:tcPr>
            <w:tcW w:w="146" w:type="dxa"/>
            <w:tcBorders/>
            <w:shd w:fill="FFFFFF" w:val="cle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4,564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42,833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128,824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b w:val="false"/>
          <w:i/>
          <w:color w:val="000000"/>
          <w:sz w:val="20"/>
          <w:u w:val="single"/>
        </w:rPr>
      </w:pPr>
      <w:r>
        <w:rPr>
          <w:rFonts w:ascii="Times New Roman" w:hAnsi="Times New Roman"/>
          <w:b w:val="false"/>
          <w:i/>
          <w:color w:val="000000"/>
          <w:sz w:val="20"/>
          <w:u w:val="single"/>
        </w:rPr>
        <w:t>Three month change</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Employee-related costs increased as a result of increased headcount as we continued to grow our engineering organization to develop new products, increase functionality and to maintain our existing CRM Platform. Allocated overhead expenses increased due to an increase in shared company expenses associated with our systems and infrastructure as we continued to grow our business.</w:t>
      </w:r>
      <w:r>
        <w:rPr>
          <w:rFonts w:ascii="Times New Roman" w:hAnsi="Times New Roman"/>
          <w:color w:val="000000"/>
          <w:sz w:val="20"/>
        </w:rPr>
        <w:t xml:space="preserve"> </w:t>
      </w:r>
    </w:p>
    <w:p>
      <w:pPr>
        <w:pStyle w:val="TextBody"/>
        <w:bidi w:val="0"/>
        <w:spacing w:before="200" w:after="283"/>
        <w:jc w:val="left"/>
        <w:rPr>
          <w:rFonts w:ascii="Times New Roman" w:hAnsi="Times New Roman"/>
          <w:b w:val="false"/>
          <w:i/>
          <w:color w:val="000000"/>
          <w:sz w:val="20"/>
          <w:u w:val="single"/>
        </w:rPr>
      </w:pPr>
      <w:r>
        <w:rPr>
          <w:rFonts w:ascii="Times New Roman" w:hAnsi="Times New Roman"/>
          <w:b w:val="false"/>
          <w:i/>
          <w:color w:val="000000"/>
          <w:sz w:val="20"/>
          <w:u w:val="single"/>
        </w:rPr>
        <w:t>Nine month change</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Employee-related costs increased as a result of increased headcount as we continued to grow our engineering organization to develop new products, increase functionality and to maintain our existing CRM Platform. Allocated overhead expenses increased due to an increase in shared company expenses associated with our systems and infrastructure as we continued to grow our business.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i/>
          <w:color w:val="000000"/>
          <w:sz w:val="20"/>
        </w:rPr>
        <w:t>Sales and Marketing</w:t>
        <w:br/>
      </w:r>
      <w:r>
        <w:rPr>
          <w:rFonts w:ascii="Times New Roman" w:hAnsi="Times New Roman"/>
          <w:color w:val="000000"/>
          <w:sz w:val="20"/>
        </w:rPr>
        <w:t> </w:t>
      </w:r>
    </w:p>
    <w:tbl>
      <w:tblPr>
        <w:tblW w:w="10796" w:type="dxa"/>
        <w:jc w:val="left"/>
        <w:tblInd w:w="0" w:type="dxa"/>
        <w:tblLayout w:type="fixed"/>
        <w:tblCellMar>
          <w:top w:w="28" w:type="dxa"/>
          <w:left w:w="28" w:type="dxa"/>
          <w:bottom w:w="28" w:type="dxa"/>
          <w:right w:w="28" w:type="dxa"/>
        </w:tblCellMar>
      </w:tblPr>
      <w:tblGrid>
        <w:gridCol w:w="871"/>
        <w:gridCol w:w="146"/>
        <w:gridCol w:w="196"/>
        <w:gridCol w:w="691"/>
        <w:gridCol w:w="241"/>
        <w:gridCol w:w="146"/>
        <w:gridCol w:w="196"/>
        <w:gridCol w:w="691"/>
        <w:gridCol w:w="241"/>
        <w:gridCol w:w="146"/>
        <w:gridCol w:w="196"/>
        <w:gridCol w:w="601"/>
        <w:gridCol w:w="146"/>
        <w:gridCol w:w="146"/>
        <w:gridCol w:w="294"/>
        <w:gridCol w:w="577"/>
        <w:gridCol w:w="241"/>
        <w:gridCol w:w="146"/>
        <w:gridCol w:w="196"/>
        <w:gridCol w:w="691"/>
        <w:gridCol w:w="241"/>
        <w:gridCol w:w="146"/>
        <w:gridCol w:w="196"/>
        <w:gridCol w:w="691"/>
        <w:gridCol w:w="241"/>
        <w:gridCol w:w="146"/>
        <w:gridCol w:w="196"/>
        <w:gridCol w:w="691"/>
        <w:gridCol w:w="146"/>
        <w:gridCol w:w="146"/>
        <w:gridCol w:w="294"/>
        <w:gridCol w:w="577"/>
        <w:gridCol w:w="286"/>
      </w:tblGrid>
      <w:tr>
        <w:trPr/>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8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w:t>
              <w:br/>
              <w:t> Ended 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center"/>
              <w:rPr/>
            </w:pPr>
            <w:r>
              <w:rPr/>
              <w:t> </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w:t>
              <w:br/>
              <w:t> Ended 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center"/>
              <w:rPr/>
            </w:pPr>
            <w:r>
              <w:rPr/>
              <w:t> </w:t>
            </w:r>
          </w:p>
        </w:tc>
        <w:tc>
          <w:tcPr>
            <w:tcW w:w="286" w:type="dxa"/>
            <w:tcBorders/>
            <w:shd w:fill="FFFFFF" w:val="clear"/>
            <w:vAlign w:val="center"/>
          </w:tcPr>
          <w:p>
            <w:pPr>
              <w:pStyle w:val="TableContents"/>
              <w:bidi w:val="0"/>
              <w:spacing w:before="0" w:after="283"/>
              <w:jc w:val="center"/>
              <w:rPr/>
            </w:pPr>
            <w:r>
              <w:rPr/>
              <w:t> </w:t>
            </w:r>
          </w:p>
        </w:tc>
      </w:tr>
      <w:tr>
        <w:trPr/>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71"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Sales and marketing</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271,448</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229,541</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41,907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577"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18</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787,423</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650,936</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136,487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577"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21</w:t>
            </w:r>
          </w:p>
        </w:tc>
        <w:tc>
          <w:tcPr>
            <w:tcW w:w="28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r>
      <w:tr>
        <w:trPr/>
        <w:tc>
          <w:tcPr>
            <w:tcW w:w="871"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Percentage of total revenue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49</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52</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50</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52</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sz w:val="20"/>
        </w:rPr>
      </w:pPr>
      <w:r>
        <w:rPr>
          <w:rFonts w:ascii="Times New Roman" w:hAnsi="Times New Roman"/>
          <w:b w:val="false"/>
          <w:color w:val="000000"/>
          <w:sz w:val="20"/>
        </w:rPr>
        <w:t>The increase in sales and marketing expense for the three and nine months ended September 30, 2023 compared to the same period in 2022 was primarily due to the following:</w:t>
        <w:br/>
      </w:r>
      <w:r>
        <w:rPr>
          <w:rFonts w:ascii="Times New Roman" w:hAnsi="Times New Roman"/>
          <w:color w:val="000000"/>
          <w:sz w:val="20"/>
        </w:rPr>
        <w:t> </w:t>
      </w:r>
    </w:p>
    <w:tbl>
      <w:tblPr>
        <w:tblW w:w="6045" w:type="dxa"/>
        <w:jc w:val="left"/>
        <w:tblInd w:w="0" w:type="dxa"/>
        <w:tblLayout w:type="fixed"/>
        <w:tblCellMar>
          <w:top w:w="28" w:type="dxa"/>
          <w:left w:w="28" w:type="dxa"/>
          <w:bottom w:w="28" w:type="dxa"/>
          <w:right w:w="28" w:type="dxa"/>
        </w:tblCellMar>
      </w:tblPr>
      <w:tblGrid>
        <w:gridCol w:w="3286"/>
        <w:gridCol w:w="146"/>
        <w:gridCol w:w="264"/>
        <w:gridCol w:w="846"/>
        <w:gridCol w:w="146"/>
        <w:gridCol w:w="146"/>
        <w:gridCol w:w="217"/>
        <w:gridCol w:w="803"/>
        <w:gridCol w:w="19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2"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91" w:type="dxa"/>
            <w:tcBorders/>
            <w:shd w:fill="FFFFFF" w:val="clear"/>
            <w:vAlign w:val="center"/>
          </w:tcPr>
          <w:p>
            <w:pPr>
              <w:pStyle w:val="TableContents"/>
              <w:bidi w:val="0"/>
              <w:spacing w:before="0" w:after="283"/>
              <w:jc w:val="center"/>
              <w:rPr/>
            </w:pPr>
            <w:r>
              <w:rPr/>
              <w:t> </w:t>
            </w:r>
          </w:p>
        </w:tc>
      </w:tr>
      <w:tr>
        <w:trPr/>
        <w:tc>
          <w:tcPr>
            <w:tcW w:w="3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2"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32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Employee-related costs</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23,967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91,060</w:t>
            </w:r>
          </w:p>
        </w:tc>
        <w:tc>
          <w:tcPr>
            <w:tcW w:w="191" w:type="dxa"/>
            <w:tcBorders/>
            <w:shd w:fill="CFF0FC" w:val="clear"/>
            <w:vAlign w:val="center"/>
          </w:tcPr>
          <w:p>
            <w:pPr>
              <w:pStyle w:val="TableContents"/>
              <w:bidi w:val="0"/>
              <w:spacing w:before="0" w:after="283"/>
              <w:jc w:val="left"/>
              <w:rPr/>
            </w:pPr>
            <w:r>
              <w:rPr/>
              <w:t> </w:t>
            </w:r>
          </w:p>
        </w:tc>
      </w:tr>
      <w:tr>
        <w:trPr/>
        <w:tc>
          <w:tcPr>
            <w:tcW w:w="32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Marketing programs</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26,621</w:t>
            </w:r>
          </w:p>
        </w:tc>
        <w:tc>
          <w:tcPr>
            <w:tcW w:w="191" w:type="dxa"/>
            <w:tcBorders/>
            <w:shd w:fill="FFFFFF" w:val="clear"/>
            <w:vAlign w:val="center"/>
          </w:tcPr>
          <w:p>
            <w:pPr>
              <w:pStyle w:val="TableContents"/>
              <w:bidi w:val="0"/>
              <w:spacing w:before="0" w:after="283"/>
              <w:jc w:val="left"/>
              <w:rPr/>
            </w:pPr>
            <w:r>
              <w:rPr/>
              <w:t> </w:t>
            </w:r>
          </w:p>
        </w:tc>
      </w:tr>
      <w:tr>
        <w:trPr/>
        <w:tc>
          <w:tcPr>
            <w:tcW w:w="32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Solutions Partner commissions</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13,529</w:t>
            </w:r>
          </w:p>
        </w:tc>
        <w:tc>
          <w:tcPr>
            <w:tcW w:w="191" w:type="dxa"/>
            <w:tcBorders/>
            <w:shd w:fill="CFF0FC" w:val="clear"/>
            <w:vAlign w:val="center"/>
          </w:tcPr>
          <w:p>
            <w:pPr>
              <w:pStyle w:val="TableContents"/>
              <w:bidi w:val="0"/>
              <w:spacing w:before="0" w:after="283"/>
              <w:jc w:val="left"/>
              <w:rPr/>
            </w:pPr>
            <w:r>
              <w:rPr/>
              <w:t> </w:t>
            </w:r>
          </w:p>
        </w:tc>
      </w:tr>
      <w:tr>
        <w:trPr/>
        <w:tc>
          <w:tcPr>
            <w:tcW w:w="32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Amortization of customer relationships</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1,814</w:t>
            </w:r>
          </w:p>
        </w:tc>
        <w:tc>
          <w:tcPr>
            <w:tcW w:w="191" w:type="dxa"/>
            <w:tcBorders/>
            <w:shd w:fill="FFFFFF" w:val="clear"/>
            <w:vAlign w:val="center"/>
          </w:tcPr>
          <w:p>
            <w:pPr>
              <w:pStyle w:val="TableContents"/>
              <w:bidi w:val="0"/>
              <w:spacing w:before="0" w:after="283"/>
              <w:jc w:val="left"/>
              <w:rPr/>
            </w:pPr>
            <w:r>
              <w:rPr/>
              <w:t> </w:t>
            </w:r>
          </w:p>
        </w:tc>
      </w:tr>
      <w:tr>
        <w:trPr/>
        <w:tc>
          <w:tcPr>
            <w:tcW w:w="32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Allocated overhead expenses</w:t>
            </w:r>
          </w:p>
        </w:tc>
        <w:tc>
          <w:tcPr>
            <w:tcW w:w="146" w:type="dxa"/>
            <w:tcBorders/>
            <w:shd w:fill="CFF0FC" w:val="cle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3,463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41,907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136,487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b w:val="false"/>
          <w:i/>
          <w:color w:val="000000"/>
          <w:sz w:val="20"/>
          <w:u w:val="single"/>
        </w:rPr>
      </w:pPr>
      <w:r>
        <w:rPr>
          <w:rFonts w:ascii="Times New Roman" w:hAnsi="Times New Roman"/>
          <w:b w:val="false"/>
          <w:i/>
          <w:color w:val="000000"/>
          <w:sz w:val="20"/>
          <w:u w:val="single"/>
        </w:rPr>
        <w:t>Three month change</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Employee-related costs increased as a result of increased headcount as we expanded our selling and marketing organizations to grow our customer base. Marketing programs increased due to the timing and size of certain marketing efforts as we made investments in attracting new customers. Solutions Partner commissions increased as a result of increased revenue generated through our Solutions Partners. Amortization of intangible assets increased primarily due to the purchase of a domain name in the second quarter of 2022. Allocated overhead expenses increased due to an increase in shared company expenses associated with our systems and infrastructure.</w:t>
      </w:r>
    </w:p>
    <w:p>
      <w:pPr>
        <w:pStyle w:val="TextBody"/>
        <w:bidi w:val="0"/>
        <w:spacing w:before="200" w:after="283"/>
        <w:jc w:val="left"/>
        <w:rPr>
          <w:rFonts w:ascii="Times New Roman" w:hAnsi="Times New Roman"/>
          <w:b w:val="false"/>
          <w:i/>
          <w:color w:val="000000"/>
          <w:sz w:val="20"/>
          <w:u w:val="single"/>
        </w:rPr>
      </w:pPr>
      <w:r>
        <w:rPr>
          <w:rFonts w:ascii="Times New Roman" w:hAnsi="Times New Roman"/>
          <w:b w:val="false"/>
          <w:i/>
          <w:color w:val="000000"/>
          <w:sz w:val="20"/>
          <w:u w:val="single"/>
        </w:rPr>
        <w:t>Nine month change</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Employee-related costs increased as a result of increased headcount as we expanded our selling and marketing organizations to grow our customer base. Marketing programs increased due to the timing and size of certain marketing efforts as we made investments in attracting new customers. Solutions Partner commissions increased as a result of increased revenue generated through our Solutions Partners. Amortization of intangible assets increased primarily due to the purchase of a domain name in the second quarter of 2022. Allocated overhead expenses increased due to an increase in shared company expenses associated with our systems and infrastructure.</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General and Administrative</w:t>
      </w:r>
    </w:p>
    <w:tbl>
      <w:tblPr>
        <w:tblW w:w="10751" w:type="dxa"/>
        <w:jc w:val="left"/>
        <w:tblInd w:w="0" w:type="dxa"/>
        <w:tblLayout w:type="fixed"/>
        <w:tblCellMar>
          <w:top w:w="28" w:type="dxa"/>
          <w:left w:w="28" w:type="dxa"/>
          <w:bottom w:w="28" w:type="dxa"/>
          <w:right w:w="28" w:type="dxa"/>
        </w:tblCellMar>
      </w:tblPr>
      <w:tblGrid>
        <w:gridCol w:w="1096"/>
        <w:gridCol w:w="146"/>
        <w:gridCol w:w="196"/>
        <w:gridCol w:w="601"/>
        <w:gridCol w:w="241"/>
        <w:gridCol w:w="146"/>
        <w:gridCol w:w="196"/>
        <w:gridCol w:w="601"/>
        <w:gridCol w:w="241"/>
        <w:gridCol w:w="146"/>
        <w:gridCol w:w="196"/>
        <w:gridCol w:w="601"/>
        <w:gridCol w:w="146"/>
        <w:gridCol w:w="146"/>
        <w:gridCol w:w="294"/>
        <w:gridCol w:w="577"/>
        <w:gridCol w:w="241"/>
        <w:gridCol w:w="146"/>
        <w:gridCol w:w="196"/>
        <w:gridCol w:w="691"/>
        <w:gridCol w:w="241"/>
        <w:gridCol w:w="146"/>
        <w:gridCol w:w="196"/>
        <w:gridCol w:w="691"/>
        <w:gridCol w:w="241"/>
        <w:gridCol w:w="146"/>
        <w:gridCol w:w="196"/>
        <w:gridCol w:w="601"/>
        <w:gridCol w:w="146"/>
        <w:gridCol w:w="146"/>
        <w:gridCol w:w="294"/>
        <w:gridCol w:w="577"/>
        <w:gridCol w:w="286"/>
      </w:tblGrid>
      <w:tr>
        <w:trPr/>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0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w:t>
              <w:br/>
              <w:t> Ended 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center"/>
              <w:rPr/>
            </w:pPr>
            <w:r>
              <w:rPr/>
              <w:t> </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w:t>
              <w:br/>
              <w:t> Ended 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center"/>
              <w:rPr/>
            </w:pPr>
            <w:r>
              <w:rPr/>
              <w:t> </w:t>
            </w:r>
          </w:p>
        </w:tc>
        <w:tc>
          <w:tcPr>
            <w:tcW w:w="286" w:type="dxa"/>
            <w:tcBorders/>
            <w:shd w:fill="FFFFFF" w:val="clear"/>
            <w:vAlign w:val="center"/>
          </w:tcPr>
          <w:p>
            <w:pPr>
              <w:pStyle w:val="TableContents"/>
              <w:bidi w:val="0"/>
              <w:spacing w:before="0" w:after="283"/>
              <w:jc w:val="center"/>
              <w:rPr/>
            </w:pPr>
            <w:r>
              <w:rPr/>
              <w:t> </w:t>
            </w:r>
          </w:p>
        </w:tc>
      </w:tr>
      <w:tr>
        <w:trPr/>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General and administrative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61,308</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50,465</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10,843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577"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21</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179,939</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146,309</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33,630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577"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23</w:t>
            </w:r>
          </w:p>
        </w:tc>
        <w:tc>
          <w:tcPr>
            <w:tcW w:w="28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r>
      <w:tr>
        <w:trPr/>
        <w:tc>
          <w:tcPr>
            <w:tcW w:w="109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Percentage of total revenue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11</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11</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11</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12</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sz w:val="20"/>
        </w:rPr>
      </w:pPr>
      <w:r>
        <w:rPr>
          <w:rFonts w:ascii="Times New Roman" w:hAnsi="Times New Roman"/>
          <w:b w:val="false"/>
          <w:color w:val="000000"/>
          <w:sz w:val="20"/>
        </w:rPr>
        <w:t xml:space="preserve">The increase in general and administrative expense for the three and nine months ended September 30, 2023 compared to the same period in 2022 was primarily due to the following: </w:t>
        <w:br/>
      </w:r>
      <w:r>
        <w:rPr>
          <w:rFonts w:ascii="Times New Roman" w:hAnsi="Times New Roman"/>
          <w:color w:val="000000"/>
          <w:sz w:val="20"/>
        </w:rPr>
        <w:t> </w:t>
      </w:r>
    </w:p>
    <w:tbl>
      <w:tblPr>
        <w:tblW w:w="5250" w:type="dxa"/>
        <w:jc w:val="left"/>
        <w:tblInd w:w="0" w:type="dxa"/>
        <w:tblLayout w:type="fixed"/>
        <w:tblCellMar>
          <w:top w:w="28" w:type="dxa"/>
          <w:left w:w="28" w:type="dxa"/>
          <w:bottom w:w="28" w:type="dxa"/>
          <w:right w:w="28" w:type="dxa"/>
        </w:tblCellMar>
      </w:tblPr>
      <w:tblGrid>
        <w:gridCol w:w="2491"/>
        <w:gridCol w:w="146"/>
        <w:gridCol w:w="264"/>
        <w:gridCol w:w="846"/>
        <w:gridCol w:w="146"/>
        <w:gridCol w:w="146"/>
        <w:gridCol w:w="242"/>
        <w:gridCol w:w="778"/>
        <w:gridCol w:w="19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2"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91" w:type="dxa"/>
            <w:tcBorders/>
            <w:shd w:fill="FFFFFF" w:val="clear"/>
            <w:vAlign w:val="center"/>
          </w:tcPr>
          <w:p>
            <w:pPr>
              <w:pStyle w:val="TableContents"/>
              <w:bidi w:val="0"/>
              <w:spacing w:before="0" w:after="283"/>
              <w:jc w:val="center"/>
              <w:rPr/>
            </w:pPr>
            <w:r>
              <w:rPr/>
              <w:t> </w:t>
            </w:r>
          </w:p>
        </w:tc>
      </w:tr>
      <w:tr>
        <w:trPr/>
        <w:tc>
          <w:tcPr>
            <w:tcW w:w="24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2"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24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Employee-related costs</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4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26,497</w:t>
            </w:r>
          </w:p>
        </w:tc>
        <w:tc>
          <w:tcPr>
            <w:tcW w:w="191" w:type="dxa"/>
            <w:tcBorders/>
            <w:shd w:fill="CFF0FC" w:val="clear"/>
            <w:vAlign w:val="center"/>
          </w:tcPr>
          <w:p>
            <w:pPr>
              <w:pStyle w:val="TableContents"/>
              <w:bidi w:val="0"/>
              <w:spacing w:before="0" w:after="283"/>
              <w:jc w:val="left"/>
              <w:rPr/>
            </w:pPr>
            <w:r>
              <w:rPr/>
              <w:t> </w:t>
            </w:r>
          </w:p>
        </w:tc>
      </w:tr>
      <w:tr>
        <w:trPr/>
        <w:tc>
          <w:tcPr>
            <w:tcW w:w="24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Customer credit card fees</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42"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4,865</w:t>
            </w:r>
          </w:p>
        </w:tc>
        <w:tc>
          <w:tcPr>
            <w:tcW w:w="191" w:type="dxa"/>
            <w:tcBorders/>
            <w:shd w:fill="FFFFFF" w:val="clear"/>
            <w:vAlign w:val="center"/>
          </w:tcPr>
          <w:p>
            <w:pPr>
              <w:pStyle w:val="TableContents"/>
              <w:bidi w:val="0"/>
              <w:spacing w:before="0" w:after="283"/>
              <w:jc w:val="left"/>
              <w:rPr/>
            </w:pPr>
            <w:r>
              <w:rPr/>
              <w:t> </w:t>
            </w:r>
          </w:p>
        </w:tc>
      </w:tr>
      <w:tr>
        <w:trPr/>
        <w:tc>
          <w:tcPr>
            <w:tcW w:w="24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Allocated overhead expenses</w:t>
            </w:r>
          </w:p>
        </w:tc>
        <w:tc>
          <w:tcPr>
            <w:tcW w:w="146" w:type="dxa"/>
            <w:tcBorders/>
            <w:shd w:fill="CFF0FC" w:val="cle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2,268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33,630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b w:val="false"/>
          <w:i/>
          <w:color w:val="000000"/>
          <w:sz w:val="20"/>
          <w:u w:val="single"/>
        </w:rPr>
      </w:pPr>
      <w:r>
        <w:rPr>
          <w:rFonts w:ascii="Times New Roman" w:hAnsi="Times New Roman"/>
          <w:b w:val="false"/>
          <w:i/>
          <w:color w:val="000000"/>
          <w:sz w:val="20"/>
          <w:u w:val="single"/>
        </w:rPr>
        <w:t>Three month change</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Employee-related costs increased as a result of increased headcount as we grew our business and required additional personnel to support our expanded operations. Customer credit card fees increased due to increased customer transactions as we continue to grow our business. Allocated overhead expenses increased due to an increase in shared company expenses associated with our systems and infrastructure as we continued to grow our business.</w:t>
      </w:r>
      <w:r>
        <w:rPr>
          <w:rFonts w:ascii="Times New Roman" w:hAnsi="Times New Roman"/>
          <w:color w:val="000000"/>
          <w:sz w:val="20"/>
        </w:rPr>
        <w:t xml:space="preserve"> </w:t>
      </w:r>
    </w:p>
    <w:p>
      <w:pPr>
        <w:pStyle w:val="TextBody"/>
        <w:bidi w:val="0"/>
        <w:spacing w:before="200" w:after="283"/>
        <w:jc w:val="left"/>
        <w:rPr>
          <w:rFonts w:ascii="Times New Roman" w:hAnsi="Times New Roman"/>
          <w:b w:val="false"/>
          <w:i/>
          <w:color w:val="000000"/>
          <w:sz w:val="20"/>
          <w:u w:val="single"/>
        </w:rPr>
      </w:pPr>
      <w:r>
        <w:rPr>
          <w:rFonts w:ascii="Times New Roman" w:hAnsi="Times New Roman"/>
          <w:b w:val="false"/>
          <w:i/>
          <w:color w:val="000000"/>
          <w:sz w:val="20"/>
          <w:u w:val="single"/>
        </w:rPr>
        <w:t>Nine month change</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Employee-related costs increased as a result of increased headcount as we grew our business and required additional personnel to support our expanded operations. Customer credit card fees increased due to increased customer transactions as we continue to grow our business. Allocated overhead expenses increased due to an increase in shared company expenses associated with our systems and infrastructure as we continued to grow our business.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i/>
          <w:color w:val="000000"/>
          <w:sz w:val="20"/>
        </w:rPr>
        <w:t xml:space="preserve">Restructuring </w:t>
        <w:br/>
      </w:r>
      <w:r>
        <w:rPr>
          <w:rFonts w:ascii="Times New Roman" w:hAnsi="Times New Roman"/>
          <w:color w:val="000000"/>
          <w:sz w:val="20"/>
        </w:rPr>
        <w:t> </w:t>
      </w:r>
    </w:p>
    <w:tbl>
      <w:tblPr>
        <w:tblW w:w="10205" w:type="dxa"/>
        <w:jc w:val="left"/>
        <w:tblInd w:w="0" w:type="dxa"/>
        <w:tblLayout w:type="fixed"/>
        <w:tblCellMar>
          <w:top w:w="28" w:type="dxa"/>
          <w:left w:w="28" w:type="dxa"/>
          <w:bottom w:w="28" w:type="dxa"/>
          <w:right w:w="28" w:type="dxa"/>
        </w:tblCellMar>
      </w:tblPr>
      <w:tblGrid>
        <w:gridCol w:w="1808"/>
        <w:gridCol w:w="146"/>
        <w:gridCol w:w="214"/>
        <w:gridCol w:w="411"/>
        <w:gridCol w:w="263"/>
        <w:gridCol w:w="159"/>
        <w:gridCol w:w="214"/>
        <w:gridCol w:w="378"/>
        <w:gridCol w:w="241"/>
        <w:gridCol w:w="146"/>
        <w:gridCol w:w="272"/>
        <w:gridCol w:w="524"/>
        <w:gridCol w:w="146"/>
        <w:gridCol w:w="146"/>
        <w:gridCol w:w="871"/>
        <w:gridCol w:w="146"/>
        <w:gridCol w:w="196"/>
        <w:gridCol w:w="601"/>
        <w:gridCol w:w="241"/>
        <w:gridCol w:w="146"/>
        <w:gridCol w:w="196"/>
        <w:gridCol w:w="346"/>
        <w:gridCol w:w="241"/>
        <w:gridCol w:w="146"/>
        <w:gridCol w:w="196"/>
        <w:gridCol w:w="601"/>
        <w:gridCol w:w="146"/>
        <w:gridCol w:w="146"/>
        <w:gridCol w:w="918"/>
      </w:tblGrid>
      <w:tr>
        <w:trPr/>
        <w:tc>
          <w:tcPr>
            <w:tcW w:w="18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r>
      <w:tr>
        <w:trPr/>
        <w:tc>
          <w:tcPr>
            <w:tcW w:w="180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3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w:t>
              <w:br/>
              <w:t> Ended 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w:t>
              <w:br/>
              <w:t> Ended 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center"/>
              <w:rPr/>
            </w:pPr>
            <w:r>
              <w:rPr/>
              <w:t> </w:t>
            </w:r>
          </w:p>
        </w:tc>
      </w:tr>
      <w:tr>
        <w:trPr/>
        <w:tc>
          <w:tcPr>
            <w:tcW w:w="1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vAlign w:val="center"/>
          </w:tcPr>
          <w:p>
            <w:pPr>
              <w:pStyle w:val="TableContents"/>
              <w:bidi w:val="0"/>
              <w:spacing w:before="0" w:after="283"/>
              <w:jc w:val="left"/>
              <w:rPr/>
            </w:pPr>
            <w:r>
              <w:rPr/>
              <w:t> </w:t>
            </w:r>
          </w:p>
        </w:tc>
        <w:tc>
          <w:tcPr>
            <w:tcW w:w="5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r>
      <w:tr>
        <w:trPr/>
        <w:tc>
          <w:tcPr>
            <w:tcW w:w="1808"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Restructuring</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41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846</w:t>
            </w:r>
          </w:p>
        </w:tc>
        <w:tc>
          <w:tcPr>
            <w:tcW w:w="263"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378" w:type="dxa"/>
            <w:tcBorders/>
            <w:shd w:fill="CFF0FC" w:val="clear"/>
            <w:vAlign w:val="center"/>
          </w:tcPr>
          <w:p>
            <w:pPr>
              <w:pStyle w:val="TableContents"/>
              <w:bidi w:val="0"/>
              <w:spacing w:before="0" w:after="283"/>
              <w:jc w:val="right"/>
              <w:rPr>
                <w:color w:val="000000"/>
              </w:rPr>
            </w:pPr>
            <w:r>
              <w:rPr>
                <w:color w:val="000000"/>
              </w:rPr>
              <w:t>—</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524"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846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n/a</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93,296</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93,296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8"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n/a</w:t>
            </w:r>
          </w:p>
        </w:tc>
      </w:tr>
      <w:tr>
        <w:trPr/>
        <w:tc>
          <w:tcPr>
            <w:tcW w:w="1808"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Percentage of total revenue</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0</w:t>
            </w:r>
          </w:p>
        </w:tc>
        <w:tc>
          <w:tcPr>
            <w:tcW w:w="263"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59"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0</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6</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0</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b w:val="false"/>
          <w:i/>
          <w:color w:val="000000"/>
          <w:sz w:val="20"/>
          <w:u w:val="single"/>
        </w:rPr>
      </w:pPr>
      <w:r>
        <w:rPr>
          <w:rFonts w:ascii="Times New Roman" w:hAnsi="Times New Roman"/>
          <w:b w:val="false"/>
          <w:i/>
          <w:color w:val="000000"/>
          <w:sz w:val="20"/>
          <w:u w:val="single"/>
        </w:rPr>
        <w:t>Three month change</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Restructuring charges were $0.8 million in the three months ended September 30, 2023 due to the implementation of the Restructuring Plan in the first quarter of 2023 and its continued execution during the third quarter. Restructuring costs consisted</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primarily of facilities related costs for the terminations and abandonments of leases globally (Note 15). There were no restructuring charges in the three months ended September 30, 2022.</w:t>
      </w:r>
      <w:r>
        <w:rPr>
          <w:rFonts w:ascii="Times New Roman" w:hAnsi="Times New Roman"/>
          <w:color w:val="000000"/>
          <w:sz w:val="20"/>
        </w:rPr>
        <w:t xml:space="preserve"> </w:t>
      </w:r>
    </w:p>
    <w:p>
      <w:pPr>
        <w:pStyle w:val="TextBody"/>
        <w:bidi w:val="0"/>
        <w:spacing w:before="200" w:after="283"/>
        <w:jc w:val="left"/>
        <w:rPr>
          <w:rFonts w:ascii="Times New Roman" w:hAnsi="Times New Roman"/>
          <w:b w:val="false"/>
          <w:i/>
          <w:color w:val="000000"/>
          <w:sz w:val="20"/>
          <w:u w:val="single"/>
        </w:rPr>
      </w:pPr>
      <w:r>
        <w:rPr>
          <w:rFonts w:ascii="Times New Roman" w:hAnsi="Times New Roman"/>
          <w:b w:val="false"/>
          <w:i/>
          <w:color w:val="000000"/>
          <w:sz w:val="20"/>
          <w:u w:val="single"/>
        </w:rPr>
        <w:t>Nine month change</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Restructuring charges were $93.3 million in the nine months ended September 30, 2023 due to the implementation of the Restructuring Plan in the first quarter of 2023 and its continued execution during the third quarter. Restructuring costs primarily consisted of $26.9 million of severance, employee related benefits and other costs, and $66.4 million related to facilities for the termination and abandonment of leases globally (Note 15). There were no restructuring charges in the nine months ended September 30, 2022.</w:t>
      </w:r>
    </w:p>
    <w:p>
      <w:pPr>
        <w:pStyle w:val="TextBody"/>
        <w:bidi w:val="0"/>
        <w:spacing w:before="200" w:after="283"/>
        <w:jc w:val="left"/>
        <w:rPr>
          <w:rFonts w:ascii="Times New Roman" w:hAnsi="Times New Roman"/>
          <w:sz w:val="20"/>
        </w:rPr>
      </w:pPr>
      <w:r>
        <w:rPr>
          <w:rFonts w:ascii="Times New Roman" w:hAnsi="Times New Roman"/>
          <w:b/>
          <w:i/>
          <w:color w:val="000000"/>
          <w:sz w:val="20"/>
        </w:rPr>
        <w:t xml:space="preserve">Interest income </w:t>
        <w:br/>
      </w:r>
      <w:r>
        <w:rPr>
          <w:rFonts w:ascii="Times New Roman" w:hAnsi="Times New Roman"/>
          <w:color w:val="000000"/>
          <w:sz w:val="20"/>
        </w:rPr>
        <w:t> </w:t>
      </w:r>
    </w:p>
    <w:tbl>
      <w:tblPr>
        <w:tblW w:w="10205" w:type="dxa"/>
        <w:jc w:val="left"/>
        <w:tblInd w:w="0" w:type="dxa"/>
        <w:tblLayout w:type="fixed"/>
        <w:tblCellMar>
          <w:top w:w="28" w:type="dxa"/>
          <w:left w:w="28" w:type="dxa"/>
          <w:bottom w:w="28" w:type="dxa"/>
          <w:right w:w="28" w:type="dxa"/>
        </w:tblCellMar>
      </w:tblPr>
      <w:tblGrid>
        <w:gridCol w:w="1206"/>
        <w:gridCol w:w="146"/>
        <w:gridCol w:w="196"/>
        <w:gridCol w:w="601"/>
        <w:gridCol w:w="241"/>
        <w:gridCol w:w="146"/>
        <w:gridCol w:w="196"/>
        <w:gridCol w:w="511"/>
        <w:gridCol w:w="241"/>
        <w:gridCol w:w="146"/>
        <w:gridCol w:w="196"/>
        <w:gridCol w:w="601"/>
        <w:gridCol w:w="146"/>
        <w:gridCol w:w="146"/>
        <w:gridCol w:w="201"/>
        <w:gridCol w:w="521"/>
        <w:gridCol w:w="241"/>
        <w:gridCol w:w="146"/>
        <w:gridCol w:w="196"/>
        <w:gridCol w:w="601"/>
        <w:gridCol w:w="241"/>
        <w:gridCol w:w="146"/>
        <w:gridCol w:w="196"/>
        <w:gridCol w:w="511"/>
        <w:gridCol w:w="241"/>
        <w:gridCol w:w="146"/>
        <w:gridCol w:w="196"/>
        <w:gridCol w:w="601"/>
        <w:gridCol w:w="146"/>
        <w:gridCol w:w="146"/>
        <w:gridCol w:w="201"/>
        <w:gridCol w:w="521"/>
        <w:gridCol w:w="288"/>
      </w:tblGrid>
      <w:tr>
        <w:trPr/>
        <w:tc>
          <w:tcPr>
            <w:tcW w:w="1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12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w:t>
              <w:br/>
              <w:t> Ended 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2" w:type="dxa"/>
            <w:gridSpan w:val="2"/>
            <w:tcBorders/>
            <w:shd w:fill="FFFFFF" w:val="clear"/>
            <w:vAlign w:val="center"/>
          </w:tcPr>
          <w:p>
            <w:pPr>
              <w:pStyle w:val="TableContents"/>
              <w:bidi w:val="0"/>
              <w:spacing w:before="0" w:after="283"/>
              <w:jc w:val="center"/>
              <w:rPr/>
            </w:pPr>
            <w:r>
              <w:rPr/>
              <w:t> </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w:t>
              <w:br/>
              <w:t> Ended 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2" w:type="dxa"/>
            <w:gridSpan w:val="2"/>
            <w:tcBorders/>
            <w:shd w:fill="FFFFFF" w:val="clear"/>
            <w:vAlign w:val="center"/>
          </w:tcPr>
          <w:p>
            <w:pPr>
              <w:pStyle w:val="TableContents"/>
              <w:bidi w:val="0"/>
              <w:spacing w:before="0" w:after="283"/>
              <w:jc w:val="center"/>
              <w:rPr/>
            </w:pPr>
            <w:r>
              <w:rPr/>
              <w:t> </w:t>
            </w:r>
          </w:p>
        </w:tc>
        <w:tc>
          <w:tcPr>
            <w:tcW w:w="288" w:type="dxa"/>
            <w:tcBorders/>
            <w:shd w:fill="FFFFFF" w:val="clear"/>
            <w:vAlign w:val="center"/>
          </w:tcPr>
          <w:p>
            <w:pPr>
              <w:pStyle w:val="TableContents"/>
              <w:bidi w:val="0"/>
              <w:spacing w:before="0" w:after="283"/>
              <w:jc w:val="center"/>
              <w:rPr/>
            </w:pPr>
            <w:r>
              <w:rPr/>
              <w:t> </w:t>
            </w:r>
          </w:p>
        </w:tc>
      </w:tr>
      <w:tr>
        <w:trPr/>
        <w:tc>
          <w:tcPr>
            <w:tcW w:w="1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w:t>
            </w:r>
            <w:r>
              <w:rPr>
                <w:rFonts w:ascii="Times New Roman" w:hAnsi="Times New Roman"/>
                <w:color w:val="000000"/>
                <w:sz w:val="16"/>
              </w:rPr>
              <w:t xml:space="preserve"> </w:t>
            </w:r>
            <w:r>
              <w:rPr>
                <w:rFonts w:ascii="Times New Roman" w:hAnsi="Times New Roman"/>
                <w:b/>
                <w:color w:val="000000"/>
                <w:sz w:val="16"/>
              </w:rPr>
              <w:t>Change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w:t>
            </w:r>
            <w:r>
              <w:rPr>
                <w:rFonts w:ascii="Times New Roman" w:hAnsi="Times New Roman"/>
                <w:color w:val="000000"/>
                <w:sz w:val="16"/>
              </w:rPr>
              <w:t xml:space="preserve"> </w:t>
            </w:r>
            <w:r>
              <w:rPr>
                <w:rFonts w:ascii="Times New Roman" w:hAnsi="Times New Roman"/>
                <w:b/>
                <w:color w:val="000000"/>
                <w:sz w:val="16"/>
              </w:rPr>
              <w:t>Change</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Interest income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16,181</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4,658</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11,523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pPr>
            <w:r>
              <w:rPr/>
              <w:t> </w:t>
            </w:r>
          </w:p>
        </w:tc>
        <w:tc>
          <w:tcPr>
            <w:tcW w:w="52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247</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40,195</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7,222</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32,973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pPr>
            <w:r>
              <w:rPr/>
              <w:t> </w:t>
            </w:r>
          </w:p>
        </w:tc>
        <w:tc>
          <w:tcPr>
            <w:tcW w:w="52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457</w:t>
            </w:r>
          </w:p>
        </w:tc>
        <w:tc>
          <w:tcPr>
            <w:tcW w:w="288"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r>
      <w:tr>
        <w:trPr/>
        <w:tc>
          <w:tcPr>
            <w:tcW w:w="120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Percentage of total revenue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2"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2" w:type="dxa"/>
            <w:gridSpan w:val="2"/>
            <w:tcBorders/>
            <w:shd w:fill="FFFFFF" w:val="clear"/>
            <w:vAlign w:val="center"/>
          </w:tcPr>
          <w:p>
            <w:pPr>
              <w:pStyle w:val="TableContents"/>
              <w:bidi w:val="0"/>
              <w:spacing w:before="0" w:after="283"/>
              <w:jc w:val="right"/>
              <w:rPr/>
            </w:pPr>
            <w:r>
              <w:rPr/>
              <w:t> </w:t>
            </w:r>
          </w:p>
        </w:tc>
        <w:tc>
          <w:tcPr>
            <w:tcW w:w="288" w:type="dxa"/>
            <w:tcBorders/>
            <w:shd w:fill="FFFFFF" w:val="clear"/>
            <w:vAlign w:val="center"/>
          </w:tcPr>
          <w:p>
            <w:pPr>
              <w:pStyle w:val="TableContents"/>
              <w:bidi w:val="0"/>
              <w:spacing w:before="0" w:after="283"/>
              <w:jc w:val="right"/>
              <w:rPr/>
            </w:pPr>
            <w:r>
              <w:rPr/>
              <w:t> </w:t>
            </w:r>
          </w:p>
        </w:tc>
      </w:tr>
    </w:tbl>
    <w:p>
      <w:pPr>
        <w:pStyle w:val="TextBody"/>
        <w:bidi w:val="0"/>
        <w:spacing w:before="200" w:after="283"/>
        <w:jc w:val="left"/>
        <w:rPr>
          <w:rFonts w:ascii="Times New Roman" w:hAnsi="Times New Roman"/>
          <w:b w:val="false"/>
          <w:i/>
          <w:color w:val="000000"/>
          <w:sz w:val="20"/>
          <w:u w:val="single"/>
        </w:rPr>
      </w:pPr>
      <w:r>
        <w:rPr>
          <w:rFonts w:ascii="Times New Roman" w:hAnsi="Times New Roman"/>
          <w:b w:val="false"/>
          <w:i/>
          <w:color w:val="000000"/>
          <w:sz w:val="20"/>
          <w:u w:val="single"/>
        </w:rPr>
        <w:t>Three and Nine month change</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Interest income primarily consists of interest earned on invested cash and cash equivalents balances and investments. The increase during the three and nine months ended September 30, 2023 is due to an increase in yields on our investment balances.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i/>
          <w:color w:val="000000"/>
          <w:sz w:val="20"/>
        </w:rPr>
        <w:t>Interest expense</w:t>
        <w:br/>
      </w:r>
      <w:r>
        <w:rPr>
          <w:rFonts w:ascii="Times New Roman" w:hAnsi="Times New Roman"/>
          <w:color w:val="000000"/>
          <w:sz w:val="20"/>
        </w:rPr>
        <w:t> </w:t>
      </w:r>
    </w:p>
    <w:tbl>
      <w:tblPr>
        <w:tblW w:w="10205" w:type="dxa"/>
        <w:jc w:val="left"/>
        <w:tblInd w:w="0" w:type="dxa"/>
        <w:tblLayout w:type="fixed"/>
        <w:tblCellMar>
          <w:top w:w="28" w:type="dxa"/>
          <w:left w:w="28" w:type="dxa"/>
          <w:bottom w:w="28" w:type="dxa"/>
          <w:right w:w="28" w:type="dxa"/>
        </w:tblCellMar>
      </w:tblPr>
      <w:tblGrid>
        <w:gridCol w:w="1500"/>
        <w:gridCol w:w="146"/>
        <w:gridCol w:w="203"/>
        <w:gridCol w:w="452"/>
        <w:gridCol w:w="172"/>
        <w:gridCol w:w="150"/>
        <w:gridCol w:w="203"/>
        <w:gridCol w:w="452"/>
        <w:gridCol w:w="166"/>
        <w:gridCol w:w="146"/>
        <w:gridCol w:w="323"/>
        <w:gridCol w:w="473"/>
        <w:gridCol w:w="146"/>
        <w:gridCol w:w="146"/>
        <w:gridCol w:w="331"/>
        <w:gridCol w:w="445"/>
        <w:gridCol w:w="241"/>
        <w:gridCol w:w="146"/>
        <w:gridCol w:w="196"/>
        <w:gridCol w:w="571"/>
        <w:gridCol w:w="166"/>
        <w:gridCol w:w="146"/>
        <w:gridCol w:w="196"/>
        <w:gridCol w:w="571"/>
        <w:gridCol w:w="166"/>
        <w:gridCol w:w="146"/>
        <w:gridCol w:w="345"/>
        <w:gridCol w:w="451"/>
        <w:gridCol w:w="166"/>
        <w:gridCol w:w="146"/>
        <w:gridCol w:w="281"/>
        <w:gridCol w:w="494"/>
        <w:gridCol w:w="323"/>
      </w:tblGrid>
      <w:tr>
        <w:trPr/>
        <w:tc>
          <w:tcPr>
            <w:tcW w:w="15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150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w:t>
              <w:br/>
              <w:t>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76" w:type="dxa"/>
            <w:gridSpan w:val="2"/>
            <w:tcBorders/>
            <w:shd w:fill="FFFFFF" w:val="clear"/>
            <w:vAlign w:val="center"/>
          </w:tcPr>
          <w:p>
            <w:pPr>
              <w:pStyle w:val="TableContents"/>
              <w:bidi w:val="0"/>
              <w:spacing w:before="0" w:after="283"/>
              <w:jc w:val="center"/>
              <w:rPr/>
            </w:pPr>
            <w:r>
              <w:rPr/>
              <w:t> </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w:t>
              <w:br/>
              <w:t>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75" w:type="dxa"/>
            <w:gridSpan w:val="2"/>
            <w:tcBorders/>
            <w:shd w:fill="FFFFFF" w:val="clear"/>
            <w:vAlign w:val="center"/>
          </w:tcPr>
          <w:p>
            <w:pPr>
              <w:pStyle w:val="TableContents"/>
              <w:bidi w:val="0"/>
              <w:spacing w:before="0" w:after="283"/>
              <w:jc w:val="center"/>
              <w:rPr/>
            </w:pPr>
            <w:r>
              <w:rPr/>
              <w:t> </w:t>
            </w:r>
          </w:p>
        </w:tc>
        <w:tc>
          <w:tcPr>
            <w:tcW w:w="323" w:type="dxa"/>
            <w:tcBorders/>
            <w:shd w:fill="FFFFFF" w:val="clear"/>
            <w:vAlign w:val="center"/>
          </w:tcPr>
          <w:p>
            <w:pPr>
              <w:pStyle w:val="TableContents"/>
              <w:bidi w:val="0"/>
              <w:spacing w:before="0" w:after="283"/>
              <w:jc w:val="center"/>
              <w:rPr/>
            </w:pPr>
            <w:r>
              <w:rPr/>
              <w:t> </w:t>
            </w:r>
          </w:p>
        </w:tc>
      </w:tr>
      <w:tr>
        <w:trPr/>
        <w:tc>
          <w:tcPr>
            <w:tcW w:w="1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vAlign w:val="center"/>
          </w:tcPr>
          <w:p>
            <w:pPr>
              <w:pStyle w:val="TableContents"/>
              <w:bidi w:val="0"/>
              <w:spacing w:before="0" w:after="283"/>
              <w:jc w:val="left"/>
              <w:rPr/>
            </w:pPr>
            <w:r>
              <w:rPr/>
              <w:t> </w:t>
            </w:r>
          </w:p>
        </w:tc>
        <w:tc>
          <w:tcPr>
            <w:tcW w:w="6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w:t>
            </w:r>
            <w:r>
              <w:rPr>
                <w:rFonts w:ascii="Times New Roman" w:hAnsi="Times New Roman"/>
                <w:color w:val="000000"/>
                <w:sz w:val="16"/>
              </w:rPr>
              <w:t xml:space="preserve"> </w:t>
            </w:r>
            <w:r>
              <w:rPr>
                <w:rFonts w:ascii="Times New Roman" w:hAnsi="Times New Roman"/>
                <w:b/>
                <w:color w:val="000000"/>
                <w:sz w:val="16"/>
              </w:rPr>
              <w:t>Change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w:t>
            </w:r>
            <w:r>
              <w:rPr>
                <w:rFonts w:ascii="Times New Roman" w:hAnsi="Times New Roman"/>
                <w:color w:val="000000"/>
                <w:sz w:val="16"/>
              </w:rPr>
              <w:t xml:space="preserve"> </w:t>
            </w:r>
            <w:r>
              <w:rPr>
                <w:rFonts w:ascii="Times New Roman" w:hAnsi="Times New Roman"/>
                <w:b/>
                <w:color w:val="000000"/>
                <w:sz w:val="16"/>
              </w:rPr>
              <w:t>Change</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00"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Interest expense</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452"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(950</w:t>
            </w:r>
          </w:p>
        </w:tc>
        <w:tc>
          <w:tcPr>
            <w:tcW w:w="172"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50"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452"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(923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323"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473"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(2,817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(2,822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CFF0FC" w:val="clear"/>
            <w:vAlign w:val="center"/>
          </w:tcPr>
          <w:p>
            <w:pPr>
              <w:pStyle w:val="TableContents"/>
              <w:bidi w:val="0"/>
              <w:spacing w:before="0" w:after="283"/>
              <w:jc w:val="right"/>
              <w:rPr/>
            </w:pPr>
            <w:r>
              <w:rPr/>
              <w:t> </w:t>
            </w:r>
          </w:p>
        </w:tc>
        <w:tc>
          <w:tcPr>
            <w:tcW w:w="345"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45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281" w:type="dxa"/>
            <w:tcBorders/>
            <w:shd w:fill="CFF0FC" w:val="clear"/>
            <w:vAlign w:val="center"/>
          </w:tcPr>
          <w:p>
            <w:pPr>
              <w:pStyle w:val="TableContents"/>
              <w:bidi w:val="0"/>
              <w:spacing w:before="0" w:after="283"/>
              <w:jc w:val="left"/>
              <w:rPr/>
            </w:pPr>
            <w:r>
              <w:rPr/>
              <w:t> </w:t>
            </w:r>
          </w:p>
        </w:tc>
        <w:tc>
          <w:tcPr>
            <w:tcW w:w="494"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(0</w:t>
            </w:r>
          </w:p>
        </w:tc>
        <w:tc>
          <w:tcPr>
            <w:tcW w:w="323"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r>
      <w:tr>
        <w:trPr/>
        <w:tc>
          <w:tcPr>
            <w:tcW w:w="1500"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Percentage of total revenue</w:t>
            </w:r>
          </w:p>
        </w:tc>
        <w:tc>
          <w:tcPr>
            <w:tcW w:w="146" w:type="dxa"/>
            <w:tcBorders/>
            <w:shd w:fill="FFFFFF" w:val="clear"/>
            <w:vAlign w:val="center"/>
          </w:tcPr>
          <w:p>
            <w:pPr>
              <w:pStyle w:val="TableContents"/>
              <w:bidi w:val="0"/>
              <w:spacing w:before="0" w:after="283"/>
              <w:jc w:val="left"/>
              <w:rPr/>
            </w:pPr>
            <w:r>
              <w:rPr/>
              <w:t> </w:t>
            </w:r>
          </w:p>
        </w:tc>
        <w:tc>
          <w:tcPr>
            <w:tcW w:w="655" w:type="dxa"/>
            <w:gridSpan w:val="2"/>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w:t>
            </w:r>
          </w:p>
        </w:tc>
        <w:tc>
          <w:tcPr>
            <w:tcW w:w="172" w:type="dxa"/>
            <w:tcBorders/>
            <w:shd w:fill="FFFFFF" w:val="clear"/>
            <w:vAlign w:val="center"/>
          </w:tcPr>
          <w:p>
            <w:pPr>
              <w:pStyle w:val="TableContents"/>
              <w:bidi w:val="0"/>
              <w:spacing w:before="0" w:after="283"/>
              <w:jc w:val="right"/>
              <w:rPr/>
            </w:pPr>
            <w:r>
              <w:rPr/>
              <w:t> </w:t>
            </w:r>
          </w:p>
        </w:tc>
        <w:tc>
          <w:tcPr>
            <w:tcW w:w="150" w:type="dxa"/>
            <w:tcBorders/>
            <w:shd w:fill="FFFFFF" w:val="clear"/>
            <w:vAlign w:val="center"/>
          </w:tcPr>
          <w:p>
            <w:pPr>
              <w:pStyle w:val="TableContents"/>
              <w:bidi w:val="0"/>
              <w:spacing w:before="0" w:after="283"/>
              <w:jc w:val="right"/>
              <w:rPr/>
            </w:pPr>
            <w:r>
              <w:rPr/>
              <w:t> </w:t>
            </w:r>
          </w:p>
        </w:tc>
        <w:tc>
          <w:tcPr>
            <w:tcW w:w="655" w:type="dxa"/>
            <w:gridSpan w:val="2"/>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76"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67" w:type="dxa"/>
            <w:gridSpan w:val="2"/>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79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75" w:type="dxa"/>
            <w:gridSpan w:val="2"/>
            <w:tcBorders/>
            <w:shd w:fill="FFFFFF" w:val="clear"/>
            <w:vAlign w:val="center"/>
          </w:tcPr>
          <w:p>
            <w:pPr>
              <w:pStyle w:val="TableContents"/>
              <w:bidi w:val="0"/>
              <w:spacing w:before="0" w:after="283"/>
              <w:jc w:val="right"/>
              <w:rPr/>
            </w:pPr>
            <w:r>
              <w:rPr/>
              <w:t> </w:t>
            </w:r>
          </w:p>
        </w:tc>
        <w:tc>
          <w:tcPr>
            <w:tcW w:w="323" w:type="dxa"/>
            <w:tcBorders/>
            <w:shd w:fill="FFFFFF" w:val="clear"/>
            <w:vAlign w:val="center"/>
          </w:tcPr>
          <w:p>
            <w:pPr>
              <w:pStyle w:val="TableContents"/>
              <w:bidi w:val="0"/>
              <w:spacing w:before="0" w:after="283"/>
              <w:jc w:val="right"/>
              <w:rPr/>
            </w:pPr>
            <w:r>
              <w:rPr/>
              <w:t> </w:t>
            </w:r>
          </w:p>
        </w:tc>
      </w:tr>
    </w:tbl>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 not meaningful</w:t>
      </w:r>
    </w:p>
    <w:p>
      <w:pPr>
        <w:pStyle w:val="TextBody"/>
        <w:bidi w:val="0"/>
        <w:spacing w:before="200" w:after="283"/>
        <w:jc w:val="left"/>
        <w:rPr>
          <w:rFonts w:ascii="Times New Roman" w:hAnsi="Times New Roman"/>
          <w:b w:val="false"/>
          <w:i/>
          <w:color w:val="000000"/>
          <w:sz w:val="20"/>
          <w:u w:val="single"/>
        </w:rPr>
      </w:pPr>
      <w:r>
        <w:rPr>
          <w:rFonts w:ascii="Times New Roman" w:hAnsi="Times New Roman"/>
          <w:b w:val="false"/>
          <w:i/>
          <w:color w:val="000000"/>
          <w:sz w:val="20"/>
          <w:u w:val="single"/>
        </w:rPr>
        <w:t>Three and Nine month change</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Interest expense primarily consists of amortization of the debt issuance costs and contractual interest expense related to our 2025 Notes. Interest expense remained relatively consistent.</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i/>
          <w:color w:val="000000"/>
          <w:sz w:val="20"/>
        </w:rPr>
        <w:t>Other expense</w:t>
        <w:br/>
      </w:r>
      <w:r>
        <w:rPr>
          <w:rFonts w:ascii="Times New Roman" w:hAnsi="Times New Roman"/>
          <w:color w:val="000000"/>
          <w:sz w:val="20"/>
        </w:rPr>
        <w:t> </w:t>
      </w:r>
    </w:p>
    <w:tbl>
      <w:tblPr>
        <w:tblW w:w="10205" w:type="dxa"/>
        <w:jc w:val="left"/>
        <w:tblInd w:w="0" w:type="dxa"/>
        <w:tblLayout w:type="fixed"/>
        <w:tblCellMar>
          <w:top w:w="28" w:type="dxa"/>
          <w:left w:w="28" w:type="dxa"/>
          <w:bottom w:w="28" w:type="dxa"/>
          <w:right w:w="28" w:type="dxa"/>
        </w:tblCellMar>
      </w:tblPr>
      <w:tblGrid>
        <w:gridCol w:w="1431"/>
        <w:gridCol w:w="146"/>
        <w:gridCol w:w="196"/>
        <w:gridCol w:w="571"/>
        <w:gridCol w:w="166"/>
        <w:gridCol w:w="146"/>
        <w:gridCol w:w="196"/>
        <w:gridCol w:w="571"/>
        <w:gridCol w:w="166"/>
        <w:gridCol w:w="146"/>
        <w:gridCol w:w="246"/>
        <w:gridCol w:w="550"/>
        <w:gridCol w:w="166"/>
        <w:gridCol w:w="146"/>
        <w:gridCol w:w="226"/>
        <w:gridCol w:w="537"/>
        <w:gridCol w:w="270"/>
        <w:gridCol w:w="146"/>
        <w:gridCol w:w="196"/>
        <w:gridCol w:w="571"/>
        <w:gridCol w:w="166"/>
        <w:gridCol w:w="146"/>
        <w:gridCol w:w="196"/>
        <w:gridCol w:w="436"/>
        <w:gridCol w:w="166"/>
        <w:gridCol w:w="146"/>
        <w:gridCol w:w="203"/>
        <w:gridCol w:w="593"/>
        <w:gridCol w:w="166"/>
        <w:gridCol w:w="146"/>
        <w:gridCol w:w="212"/>
        <w:gridCol w:w="551"/>
        <w:gridCol w:w="289"/>
      </w:tblGrid>
      <w:tr>
        <w:trPr/>
        <w:tc>
          <w:tcPr>
            <w:tcW w:w="1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14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w:t>
              <w:br/>
              <w:t>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3" w:type="dxa"/>
            <w:gridSpan w:val="2"/>
            <w:tcBorders/>
            <w:shd w:fill="FFFFFF" w:val="clear"/>
            <w:vAlign w:val="center"/>
          </w:tcPr>
          <w:p>
            <w:pPr>
              <w:pStyle w:val="TableContents"/>
              <w:bidi w:val="0"/>
              <w:spacing w:before="0" w:after="283"/>
              <w:jc w:val="center"/>
              <w:rPr/>
            </w:pPr>
            <w:r>
              <w:rPr/>
              <w:t> </w:t>
            </w:r>
          </w:p>
        </w:tc>
        <w:tc>
          <w:tcPr>
            <w:tcW w:w="27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w:t>
              <w:br/>
              <w:t>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3" w:type="dxa"/>
            <w:gridSpan w:val="2"/>
            <w:tcBorders/>
            <w:shd w:fill="FFFFFF" w:val="clear"/>
            <w:vAlign w:val="center"/>
          </w:tcPr>
          <w:p>
            <w:pPr>
              <w:pStyle w:val="TableContents"/>
              <w:bidi w:val="0"/>
              <w:spacing w:before="0" w:after="283"/>
              <w:jc w:val="center"/>
              <w:rPr/>
            </w:pPr>
            <w:r>
              <w:rPr/>
              <w:t> </w:t>
            </w:r>
          </w:p>
        </w:tc>
        <w:tc>
          <w:tcPr>
            <w:tcW w:w="289" w:type="dxa"/>
            <w:tcBorders/>
            <w:shd w:fill="FFFFFF" w:val="clear"/>
            <w:vAlign w:val="center"/>
          </w:tcPr>
          <w:p>
            <w:pPr>
              <w:pStyle w:val="TableContents"/>
              <w:bidi w:val="0"/>
              <w:spacing w:before="0" w:after="283"/>
              <w:jc w:val="center"/>
              <w:rPr/>
            </w:pPr>
            <w:r>
              <w:rPr/>
              <w:t> </w:t>
            </w:r>
          </w:p>
        </w:tc>
      </w:tr>
      <w:tr>
        <w:trPr/>
        <w:tc>
          <w:tcPr>
            <w:tcW w:w="1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w:t>
            </w:r>
            <w:r>
              <w:rPr>
                <w:rFonts w:ascii="Times New Roman" w:hAnsi="Times New Roman"/>
                <w:color w:val="000000"/>
                <w:sz w:val="16"/>
              </w:rPr>
              <w:t xml:space="preserve"> </w:t>
            </w:r>
            <w:r>
              <w:rPr>
                <w:rFonts w:ascii="Times New Roman" w:hAnsi="Times New Roman"/>
                <w:b/>
                <w:color w:val="000000"/>
                <w:sz w:val="16"/>
              </w:rPr>
              <w:t>Change</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w:t>
            </w:r>
            <w:r>
              <w:rPr>
                <w:rFonts w:ascii="Times New Roman" w:hAnsi="Times New Roman"/>
                <w:color w:val="000000"/>
                <w:sz w:val="16"/>
              </w:rPr>
              <w:t xml:space="preserve"> </w:t>
            </w:r>
            <w:r>
              <w:rPr>
                <w:rFonts w:ascii="Times New Roman" w:hAnsi="Times New Roman"/>
                <w:b/>
                <w:color w:val="000000"/>
                <w:sz w:val="16"/>
              </w:rPr>
              <w:t>Change</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31"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Other expense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(1,664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(1,185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550"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(479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537"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(40</w:t>
            </w:r>
          </w:p>
        </w:tc>
        <w:tc>
          <w:tcPr>
            <w:tcW w:w="270"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(2,128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(583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right"/>
              <w:rPr/>
            </w:pPr>
            <w:r>
              <w:rPr/>
              <w:t> </w:t>
            </w:r>
          </w:p>
        </w:tc>
        <w:tc>
          <w:tcPr>
            <w:tcW w:w="203"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593"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(1,545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265</w:t>
            </w:r>
          </w:p>
        </w:tc>
        <w:tc>
          <w:tcPr>
            <w:tcW w:w="289"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r>
      <w:tr>
        <w:trPr/>
        <w:tc>
          <w:tcPr>
            <w:tcW w:w="1431"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Percentage of total revenue</w:t>
            </w:r>
          </w:p>
        </w:tc>
        <w:tc>
          <w:tcPr>
            <w:tcW w:w="146" w:type="dxa"/>
            <w:tcBorders/>
            <w:shd w:fill="CFF0FC" w:val="clear"/>
            <w:vAlign w:val="center"/>
          </w:tcPr>
          <w:p>
            <w:pPr>
              <w:pStyle w:val="TableContents"/>
              <w:bidi w:val="0"/>
              <w:spacing w:before="0" w:after="283"/>
              <w:jc w:val="left"/>
              <w:rPr/>
            </w:pPr>
            <w:r>
              <w:rPr/>
              <w:t> </w:t>
            </w:r>
          </w:p>
        </w:tc>
        <w:tc>
          <w:tcPr>
            <w:tcW w:w="767" w:type="dxa"/>
            <w:gridSpan w:val="2"/>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7" w:type="dxa"/>
            <w:gridSpan w:val="2"/>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3" w:type="dxa"/>
            <w:gridSpan w:val="2"/>
            <w:tcBorders/>
            <w:shd w:fill="CFF0FC" w:val="clear"/>
            <w:vAlign w:val="center"/>
          </w:tcPr>
          <w:p>
            <w:pPr>
              <w:pStyle w:val="TableContents"/>
              <w:bidi w:val="0"/>
              <w:spacing w:before="0" w:after="283"/>
              <w:jc w:val="right"/>
              <w:rPr/>
            </w:pPr>
            <w:r>
              <w:rPr/>
              <w:t> </w:t>
            </w:r>
          </w:p>
        </w:tc>
        <w:tc>
          <w:tcPr>
            <w:tcW w:w="270"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7" w:type="dxa"/>
            <w:gridSpan w:val="2"/>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2" w:type="dxa"/>
            <w:gridSpan w:val="2"/>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79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63" w:type="dxa"/>
            <w:gridSpan w:val="2"/>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 not meaningful</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 xml:space="preserve">The change in other income during the three and nine months ended September 30, 2023 is primarily due to the following: </w:t>
        <w:br/>
      </w:r>
      <w:r>
        <w:rPr>
          <w:rFonts w:ascii="Times New Roman" w:hAnsi="Times New Roman"/>
          <w:color w:val="000000"/>
          <w:sz w:val="20"/>
        </w:rPr>
        <w:t> </w:t>
      </w:r>
    </w:p>
    <w:tbl>
      <w:tblPr>
        <w:tblW w:w="5425" w:type="dxa"/>
        <w:jc w:val="left"/>
        <w:tblInd w:w="0" w:type="dxa"/>
        <w:tblLayout w:type="fixed"/>
        <w:tblCellMar>
          <w:top w:w="28" w:type="dxa"/>
          <w:left w:w="28" w:type="dxa"/>
          <w:bottom w:w="28" w:type="dxa"/>
          <w:right w:w="28" w:type="dxa"/>
        </w:tblCellMar>
      </w:tblPr>
      <w:tblGrid>
        <w:gridCol w:w="2626"/>
        <w:gridCol w:w="146"/>
        <w:gridCol w:w="338"/>
        <w:gridCol w:w="772"/>
        <w:gridCol w:w="166"/>
        <w:gridCol w:w="146"/>
        <w:gridCol w:w="255"/>
        <w:gridCol w:w="765"/>
        <w:gridCol w:w="21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2"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shd w:fill="FFFFFF" w:val="clear"/>
            <w:vAlign w:val="center"/>
          </w:tcPr>
          <w:p>
            <w:pPr>
              <w:pStyle w:val="TableContents"/>
              <w:bidi w:val="0"/>
              <w:spacing w:before="0" w:after="283"/>
              <w:jc w:val="center"/>
              <w:rPr/>
            </w:pPr>
            <w:r>
              <w:rPr/>
              <w:t> </w:t>
            </w:r>
          </w:p>
        </w:tc>
      </w:tr>
      <w:tr>
        <w:trPr/>
        <w:tc>
          <w:tcPr>
            <w:tcW w:w="26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2"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26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Foreign currency (losses) gains</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6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2,655</w:t>
            </w:r>
          </w:p>
        </w:tc>
        <w:tc>
          <w:tcPr>
            <w:tcW w:w="211" w:type="dxa"/>
            <w:tcBorders/>
            <w:shd w:fill="CFF0FC" w:val="cle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Gain on strategic investments</w:t>
            </w:r>
          </w:p>
        </w:tc>
        <w:tc>
          <w:tcPr>
            <w:tcW w:w="146" w:type="dxa"/>
            <w:tcBorders/>
            <w:shd w:fill="FFFFFF" w:val="clear"/>
            <w:vAlign w:val="center"/>
          </w:tcPr>
          <w:p>
            <w:pPr>
              <w:pStyle w:val="TableContents"/>
              <w:bidi w:val="0"/>
              <w:spacing w:before="0" w:after="283"/>
              <w:jc w:val="lef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(4,200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62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(1,545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200" w:after="283"/>
        <w:jc w:val="left"/>
        <w:rPr>
          <w:rFonts w:ascii="Times New Roman" w:hAnsi="Times New Roman"/>
          <w:b w:val="false"/>
          <w:i/>
          <w:color w:val="000000"/>
          <w:sz w:val="20"/>
          <w:u w:val="single"/>
        </w:rPr>
      </w:pPr>
      <w:r>
        <w:rPr>
          <w:rFonts w:ascii="Times New Roman" w:hAnsi="Times New Roman"/>
          <w:b w:val="false"/>
          <w:i/>
          <w:color w:val="000000"/>
          <w:sz w:val="20"/>
          <w:u w:val="single"/>
        </w:rPr>
        <w:t>Three month change</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Other expense primarily consists of the impact of foreign currency transaction gains and losses associated with monetary assets and liabilities and any gains or impairments on our strategic investments. The increase in foreign currency transaction losses is primarily attributable to the decline in the value of the Euro and British Pound Sterling relative to the U.S. Dollar.</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val="false"/>
          <w:i/>
          <w:color w:val="000000"/>
          <w:sz w:val="20"/>
          <w:u w:val="single"/>
        </w:rPr>
      </w:pPr>
      <w:r>
        <w:rPr>
          <w:rFonts w:ascii="Times New Roman" w:hAnsi="Times New Roman"/>
          <w:b w:val="false"/>
          <w:i/>
          <w:color w:val="000000"/>
          <w:sz w:val="20"/>
          <w:u w:val="single"/>
        </w:rPr>
        <w:t>Nine month change</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Other expense primarily consists of the impact of foreign currency transaction gains and losses associated with monetary assets and liabilities and any gains or impairments on our strategic investments. The decrease in gain on strategic investments is due to gains of $4.2 million from observable price changes in the nine months ended September 30, 2022. No gains or losses were recorded in the nine months ended September 30, 2023. The change in foreign currency transactions is primarily attributable to the increase in the value of the Euro and British Pound Sterling relative to the U.S. Dollar.</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Income tax benefit (expense)</w:t>
      </w:r>
    </w:p>
    <w:tbl>
      <w:tblPr>
        <w:tblW w:w="10205" w:type="dxa"/>
        <w:jc w:val="left"/>
        <w:tblInd w:w="0" w:type="dxa"/>
        <w:tblLayout w:type="fixed"/>
        <w:tblCellMar>
          <w:top w:w="28" w:type="dxa"/>
          <w:left w:w="28" w:type="dxa"/>
          <w:bottom w:w="28" w:type="dxa"/>
          <w:right w:w="28" w:type="dxa"/>
        </w:tblCellMar>
      </w:tblPr>
      <w:tblGrid>
        <w:gridCol w:w="1110"/>
        <w:gridCol w:w="146"/>
        <w:gridCol w:w="196"/>
        <w:gridCol w:w="511"/>
        <w:gridCol w:w="253"/>
        <w:gridCol w:w="146"/>
        <w:gridCol w:w="196"/>
        <w:gridCol w:w="571"/>
        <w:gridCol w:w="241"/>
        <w:gridCol w:w="146"/>
        <w:gridCol w:w="220"/>
        <w:gridCol w:w="576"/>
        <w:gridCol w:w="146"/>
        <w:gridCol w:w="146"/>
        <w:gridCol w:w="175"/>
        <w:gridCol w:w="528"/>
        <w:gridCol w:w="253"/>
        <w:gridCol w:w="146"/>
        <w:gridCol w:w="196"/>
        <w:gridCol w:w="661"/>
        <w:gridCol w:w="241"/>
        <w:gridCol w:w="146"/>
        <w:gridCol w:w="196"/>
        <w:gridCol w:w="571"/>
        <w:gridCol w:w="241"/>
        <w:gridCol w:w="146"/>
        <w:gridCol w:w="203"/>
        <w:gridCol w:w="593"/>
        <w:gridCol w:w="166"/>
        <w:gridCol w:w="146"/>
        <w:gridCol w:w="195"/>
        <w:gridCol w:w="508"/>
        <w:gridCol w:w="290"/>
      </w:tblGrid>
      <w:tr>
        <w:trPr/>
        <w:tc>
          <w:tcPr>
            <w:tcW w:w="11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11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73"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w:t>
              <w:br/>
              <w:t> Ended September 30,</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3" w:type="dxa"/>
            <w:gridSpan w:val="2"/>
            <w:tcBorders/>
            <w:shd w:fill="FFFFFF" w:val="clear"/>
            <w:vAlign w:val="center"/>
          </w:tcPr>
          <w:p>
            <w:pPr>
              <w:pStyle w:val="TableContents"/>
              <w:bidi w:val="0"/>
              <w:spacing w:before="0" w:after="283"/>
              <w:jc w:val="center"/>
              <w:rPr/>
            </w:pPr>
            <w:r>
              <w:rPr/>
              <w:t> </w:t>
            </w:r>
          </w:p>
        </w:tc>
        <w:tc>
          <w:tcPr>
            <w:tcW w:w="25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11"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w:t>
              <w:br/>
              <w:t> Ended September 30,</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3" w:type="dxa"/>
            <w:gridSpan w:val="2"/>
            <w:tcBorders/>
            <w:shd w:fill="FFFFFF" w:val="clear"/>
            <w:vAlign w:val="center"/>
          </w:tcPr>
          <w:p>
            <w:pPr>
              <w:pStyle w:val="TableContents"/>
              <w:bidi w:val="0"/>
              <w:spacing w:before="0" w:after="283"/>
              <w:jc w:val="center"/>
              <w:rPr/>
            </w:pPr>
            <w:r>
              <w:rPr/>
              <w:t> </w:t>
            </w:r>
          </w:p>
        </w:tc>
        <w:tc>
          <w:tcPr>
            <w:tcW w:w="290" w:type="dxa"/>
            <w:tcBorders/>
            <w:shd w:fill="FFFFFF" w:val="clear"/>
            <w:vAlign w:val="center"/>
          </w:tcPr>
          <w:p>
            <w:pPr>
              <w:pStyle w:val="TableContents"/>
              <w:bidi w:val="0"/>
              <w:spacing w:before="0" w:after="283"/>
              <w:jc w:val="center"/>
              <w:rPr/>
            </w:pPr>
            <w:r>
              <w:rPr/>
              <w:t> </w:t>
            </w:r>
          </w:p>
        </w:tc>
      </w:tr>
      <w:tr>
        <w:trPr/>
        <w:tc>
          <w:tcPr>
            <w:tcW w:w="11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w:t>
            </w:r>
            <w:r>
              <w:rPr>
                <w:rFonts w:ascii="Times New Roman" w:hAnsi="Times New Roman"/>
                <w:color w:val="000000"/>
                <w:sz w:val="16"/>
              </w:rPr>
              <w:t xml:space="preserve"> </w:t>
            </w:r>
            <w:r>
              <w:rPr>
                <w:rFonts w:ascii="Times New Roman" w:hAnsi="Times New Roman"/>
                <w:b/>
                <w:color w:val="000000"/>
                <w:sz w:val="16"/>
              </w:rPr>
              <w:t>Change</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w:t>
            </w:r>
            <w:r>
              <w:rPr>
                <w:rFonts w:ascii="Times New Roman" w:hAnsi="Times New Roman"/>
                <w:color w:val="000000"/>
                <w:sz w:val="16"/>
              </w:rPr>
              <w:t xml:space="preserve"> </w:t>
            </w:r>
            <w:r>
              <w:rPr>
                <w:rFonts w:ascii="Times New Roman" w:hAnsi="Times New Roman"/>
                <w:b/>
                <w:color w:val="000000"/>
                <w:sz w:val="16"/>
              </w:rPr>
              <w:t>Change</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10"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Income tax benefit (expense)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1,412</w:t>
            </w:r>
          </w:p>
        </w:tc>
        <w:tc>
          <w:tcPr>
            <w:tcW w:w="25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(1,748</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576"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3,160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(181</w:t>
            </w:r>
          </w:p>
        </w:tc>
        <w:tc>
          <w:tcPr>
            <w:tcW w:w="253"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66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(14,233</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(5,313</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593"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(8,920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168</w:t>
            </w:r>
          </w:p>
        </w:tc>
        <w:tc>
          <w:tcPr>
            <w:tcW w:w="290"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r>
      <w:tr>
        <w:trPr/>
        <w:tc>
          <w:tcPr>
            <w:tcW w:w="1110"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Effective tax rate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(21</w:t>
            </w:r>
          </w:p>
        </w:tc>
        <w:tc>
          <w:tcPr>
            <w:tcW w:w="253"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6</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79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3" w:type="dxa"/>
            <w:gridSpan w:val="2"/>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10</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6</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79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3" w:type="dxa"/>
            <w:gridSpan w:val="2"/>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b w:val="false"/>
          <w:i/>
          <w:color w:val="000000"/>
          <w:sz w:val="20"/>
          <w:u w:val="single"/>
        </w:rPr>
      </w:pPr>
      <w:r>
        <w:rPr>
          <w:rFonts w:ascii="Times New Roman" w:hAnsi="Times New Roman"/>
          <w:b w:val="false"/>
          <w:i/>
          <w:color w:val="000000"/>
          <w:sz w:val="20"/>
          <w:u w:val="single"/>
        </w:rPr>
        <w:t>Three month change</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Income tax benefit (expense) consists of current and deferred taxes for U.S. and foreign jurisdictions. The increase in income tax benefit was primarily driven by an update to the Company's estimate of R&amp;D costs required to be capitalized in the U.S.</w:t>
      </w:r>
      <w:r>
        <w:rPr>
          <w:rFonts w:ascii="Times New Roman" w:hAnsi="Times New Roman"/>
          <w:color w:val="000000"/>
          <w:sz w:val="20"/>
        </w:rPr>
        <w:t xml:space="preserve"> </w:t>
      </w:r>
    </w:p>
    <w:p>
      <w:pPr>
        <w:pStyle w:val="TextBody"/>
        <w:bidi w:val="0"/>
        <w:spacing w:before="200" w:after="283"/>
        <w:jc w:val="left"/>
        <w:rPr>
          <w:rFonts w:ascii="Times New Roman" w:hAnsi="Times New Roman"/>
          <w:b w:val="false"/>
          <w:i/>
          <w:color w:val="000000"/>
          <w:sz w:val="20"/>
          <w:u w:val="single"/>
        </w:rPr>
      </w:pPr>
      <w:r>
        <w:rPr>
          <w:rFonts w:ascii="Times New Roman" w:hAnsi="Times New Roman"/>
          <w:b w:val="false"/>
          <w:i/>
          <w:color w:val="000000"/>
          <w:sz w:val="20"/>
          <w:u w:val="single"/>
        </w:rPr>
        <w:t>Nine month change</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Income tax benefit (expense) consists of current and deferred taxes for U.S. and foreign jurisdictions. The increase in income tax expense was primarily driven by increased income in jurisdictions outside of the U.S. that are profitable from a tax perspective and limitations on the utilization of U.S. state net operating loss carry-forwards.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Our principal sources of liquidity to date have been cash and cash equivalents, net accounts receivable, our common stock offerings, and our convertible notes offerings.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 xml:space="preserve">The following table shows cash and cash equivalents, working capital, net cash and cash equivalents provided by operating activities, net cash and cash equivalents used in investing activities, and net cash and cash equivalents provided by financing activities for the nine months ended September 30, 2023 and 2022. </w:t>
        <w:br/>
      </w:r>
      <w:r>
        <w:rPr>
          <w:rFonts w:ascii="Times New Roman" w:hAnsi="Times New Roman"/>
          <w:color w:val="000000"/>
          <w:sz w:val="20"/>
        </w:rPr>
        <w:t> </w:t>
      </w:r>
    </w:p>
    <w:tbl>
      <w:tblPr>
        <w:tblW w:w="8819" w:type="dxa"/>
        <w:jc w:val="left"/>
        <w:tblInd w:w="0" w:type="dxa"/>
        <w:tblLayout w:type="fixed"/>
        <w:tblCellMar>
          <w:top w:w="28" w:type="dxa"/>
          <w:left w:w="28" w:type="dxa"/>
          <w:bottom w:w="28" w:type="dxa"/>
          <w:right w:w="28" w:type="dxa"/>
        </w:tblCellMar>
      </w:tblPr>
      <w:tblGrid>
        <w:gridCol w:w="5956"/>
        <w:gridCol w:w="146"/>
        <w:gridCol w:w="211"/>
        <w:gridCol w:w="931"/>
        <w:gridCol w:w="166"/>
        <w:gridCol w:w="146"/>
        <w:gridCol w:w="211"/>
        <w:gridCol w:w="841"/>
        <w:gridCol w:w="211"/>
      </w:tblGrid>
      <w:tr>
        <w:trPr/>
        <w:tc>
          <w:tcPr>
            <w:tcW w:w="5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9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5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59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535,545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331,659</w:t>
            </w:r>
          </w:p>
        </w:tc>
        <w:tc>
          <w:tcPr>
            <w:tcW w:w="211" w:type="dxa"/>
            <w:tcBorders/>
            <w:shd w:fill="CFF0FC" w:val="clear"/>
            <w:vAlign w:val="center"/>
          </w:tcPr>
          <w:p>
            <w:pPr>
              <w:pStyle w:val="TableContents"/>
              <w:bidi w:val="0"/>
              <w:spacing w:before="0" w:after="283"/>
              <w:jc w:val="left"/>
              <w:rPr/>
            </w:pPr>
            <w:r>
              <w:rPr/>
              <w:t> </w:t>
            </w:r>
          </w:p>
        </w:tc>
      </w:tr>
      <w:tr>
        <w:trPr/>
        <w:tc>
          <w:tcPr>
            <w:tcW w:w="59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Working capital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1,135,733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892,884</w:t>
            </w:r>
          </w:p>
        </w:tc>
        <w:tc>
          <w:tcPr>
            <w:tcW w:w="211" w:type="dxa"/>
            <w:tcBorders/>
            <w:shd w:fill="FFFFFF" w:val="clear"/>
            <w:vAlign w:val="center"/>
          </w:tcPr>
          <w:p>
            <w:pPr>
              <w:pStyle w:val="TableContents"/>
              <w:bidi w:val="0"/>
              <w:spacing w:before="0" w:after="283"/>
              <w:jc w:val="left"/>
              <w:rPr/>
            </w:pPr>
            <w:r>
              <w:rPr/>
              <w:t> </w:t>
            </w:r>
          </w:p>
        </w:tc>
      </w:tr>
      <w:tr>
        <w:trPr/>
        <w:tc>
          <w:tcPr>
            <w:tcW w:w="59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and cash equivalents provided by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246,659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183,209</w:t>
            </w:r>
          </w:p>
        </w:tc>
        <w:tc>
          <w:tcPr>
            <w:tcW w:w="211" w:type="dxa"/>
            <w:tcBorders/>
            <w:shd w:fill="CFF0FC" w:val="clear"/>
            <w:vAlign w:val="center"/>
          </w:tcPr>
          <w:p>
            <w:pPr>
              <w:pStyle w:val="TableContents"/>
              <w:bidi w:val="0"/>
              <w:spacing w:before="0" w:after="283"/>
              <w:jc w:val="left"/>
              <w:rPr/>
            </w:pPr>
            <w:r>
              <w:rPr/>
              <w:t> </w:t>
            </w:r>
          </w:p>
        </w:tc>
      </w:tr>
      <w:tr>
        <w:trPr/>
        <w:tc>
          <w:tcPr>
            <w:tcW w:w="59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and cash equivalents used in 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(68,318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(211,121</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59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and cash equivalents provided by (used in) 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30,363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(1,179</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Our cash and cash equivalents at September 30, 2023 were held for working capital purposes. At September 30, 2023, $193.9 million of our cash and cash equivalents was held in accounts outside the United States. We do not assert indefinite reinvestment of our foreign earnings because these earnings have been subject to United States Federal tax. While we have concluded that any incremental tax incurred upon ultimate distribution of these earnings to be immaterial, our current plans do not demonstrate a need to repatriate undistributed earnings to fund our U.S. operations.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Cash from operations could be affected by various risks and uncertainties detailed in the section titled “Risk Factors” included under Part II, Item 1A. However, based on our current business plan and revenue prospects, we believe that our existing cash, cash equivalents and investment balances, and our anticipated cash flows from operations will be sufficient to meet our working capital and operating resource expenditure requirements for the next twelve months.</w:t>
      </w:r>
    </w:p>
    <w:p>
      <w:pPr>
        <w:pStyle w:val="TextBody"/>
        <w:bidi w:val="0"/>
        <w:spacing w:before="200" w:after="283"/>
        <w:jc w:val="left"/>
        <w:rPr>
          <w:rFonts w:ascii="Times New Roman" w:hAnsi="Times New Roman"/>
          <w:b w:val="false"/>
          <w:i/>
          <w:color w:val="000000"/>
          <w:sz w:val="20"/>
        </w:rPr>
      </w:pPr>
      <w:r>
        <w:rPr>
          <w:rFonts w:ascii="Times New Roman" w:hAnsi="Times New Roman"/>
          <w:b w:val="false"/>
          <w:i/>
          <w:color w:val="000000"/>
          <w:sz w:val="20"/>
        </w:rPr>
        <w:t>Net Cash and Cash Equivalents Provided by Operating Activities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Net cash and cash equivalents provided by operating activities consists primarily of net loss adjusted for certain non-cash items, including stock-based compensation, depreciation and amortization and other non-cash charges, net.</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Net cash and cash equivalents provided by operating activities during the nine months ended September 30, 2023 primarily reflected our net loss of $162.7 million, $30.2 million accretion of bond discounts, offset by non-cash expenses that included $53.5 million of depreciation and amortization, $318.5 million in stock-based compensation, restructuring charges of $64.9 million, and $1.5 million of amortization of debt discount and issuance costs. Working capital sources of cash and cash equivalents primarily included a $40.7 million increase in deferred revenue primarily resulting from the growth in the number of customers invoiced during the period, a $13.2 million decrease in accounts receivable related to increased collection, a $23.2 million increase in right-of-use asset, and $44.9 million increase in accrued expenses and other liabilities. These sources of cash and cash equivalents were offset by a $36.0 million increase in prepaid expenses and other assets, a $28.9 million decrease in operating lease liabilities, a $54.3 million increase in deferred commissions, and a $5.2 million increase in accounts payable related to timing of bill payments.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Net cash and cash equivalents provided by operating activities during the nine months ended September 30, 2022 primarily reflected our net loss of $97.1 million, benefit from deferred income taxes of $0.6 million, $3.3 million accretion of bond discounts, and gains on strategic investments of $4.2 million, offset by non-cash expenses that included $42.6 million of depreciation and amortization, $199.1 million in stock-based compensation, and $1.5 million of amortization of debt discount and issuance costs. Working capital sources of cash and cash equivalents primarily included a $63.7 million increase in deferred revenue primarily resulting from the growth in the number of customers invoiced during the period, a $19.6 million increase in right-of-use asset, a $10.7 million increase in accounts payable related to timing of bill payments, and $16.5 million increase in accrued expenses and other liabilities. These sources of cash and cash equivalents were offset by a $8.9 million increase in prepaid expenses and other assets, a $14.6 million decrease in operating lease liabilities, a $22.2 million increase in deferred commissions, and a $20.1 million increase in accounts receivable as a result of increased billings to customers.</w:t>
      </w:r>
      <w:r>
        <w:rPr>
          <w:rFonts w:ascii="Times New Roman" w:hAnsi="Times New Roman"/>
          <w:color w:val="000000"/>
          <w:sz w:val="20"/>
        </w:rPr>
        <w:t xml:space="preserve"> </w:t>
      </w:r>
    </w:p>
    <w:p>
      <w:pPr>
        <w:pStyle w:val="TextBody"/>
        <w:bidi w:val="0"/>
        <w:spacing w:before="200" w:after="283"/>
        <w:jc w:val="left"/>
        <w:rPr>
          <w:rFonts w:ascii="Times New Roman" w:hAnsi="Times New Roman"/>
          <w:b w:val="false"/>
          <w:i/>
          <w:color w:val="000000"/>
          <w:sz w:val="20"/>
        </w:rPr>
      </w:pPr>
      <w:r>
        <w:rPr>
          <w:rFonts w:ascii="Times New Roman" w:hAnsi="Times New Roman"/>
          <w:b w:val="false"/>
          <w:i/>
          <w:color w:val="000000"/>
          <w:sz w:val="20"/>
        </w:rPr>
        <w:t>Net Cash and Cash Equivalents Used in Investing Activities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Our investing activities have consisted primarily of purchases and maturities of investments, property and equipment purchases, purchases of strategic investments, and capitalization of software development costs. Capitalized software development costs are related to new products or improvements to our existing software platform that expands the functionality for our customers.</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Net cash and cash equivalents used in investing activities during the nine months ended September 30, 2023 consisted primarily of $1.1 billion purchases of investments and $25.0 million of purchased property and equipment, $9.3 million of purchases of strategic investments, $2.3 million in an equity method investment and $49.3 million of capitalized software development costs. These uses of cash were offset by $1.2 billion received related to the maturity of investments.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Net cash and cash equivalents used in investing activities during the nine months ended September 30, 2022 consisted primarily of $1.3 billion purchases of investments, $31.4 million of purchased property and equipment, $19.9 million of purchases of strategic investments, $31.4 million of capitalized software development costs, $1.9 million in an equity method investment and a $10.0 million purchase of intangible assets. These uses of cash were offset by $1.0 billion received related to the maturity of investments and $125.0 million received for sale of investments.</w:t>
      </w:r>
      <w:r>
        <w:rPr>
          <w:rFonts w:ascii="Times New Roman" w:hAnsi="Times New Roman"/>
          <w:color w:val="000000"/>
          <w:sz w:val="20"/>
        </w:rPr>
        <w:t xml:space="preserve"> </w:t>
      </w:r>
    </w:p>
    <w:p>
      <w:pPr>
        <w:pStyle w:val="TextBody"/>
        <w:bidi w:val="0"/>
        <w:spacing w:before="200" w:after="283"/>
        <w:jc w:val="left"/>
        <w:rPr>
          <w:rFonts w:ascii="Times New Roman" w:hAnsi="Times New Roman"/>
          <w:b w:val="false"/>
          <w:i/>
          <w:color w:val="000000"/>
          <w:sz w:val="20"/>
        </w:rPr>
      </w:pPr>
      <w:r>
        <w:rPr>
          <w:rFonts w:ascii="Times New Roman" w:hAnsi="Times New Roman"/>
          <w:b w:val="false"/>
          <w:i/>
          <w:color w:val="000000"/>
          <w:sz w:val="20"/>
        </w:rPr>
        <w:t>Net Cash and Cash Equivalents Provided by Financing Activities</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Our financing activities have consisted primarily of the various components of our 2022 Notes repayment, the repayment of our 2025 Notes, the issuance of common stock under our stock plans, and payments of employee taxes related to the net share settlement of stock-based awards.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For the nine months ended September 30, 2023 cash used in financing activities consisted $7.6 million used for payment of employee taxes related to the net share settlement of stock-based awards, offset by $37.9 million of proceeds related to issuance of common stock under stock plans.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For the nine months ended September 30, 2022 cash used in financing activities consisted of $1.6 million used for the repayment of the 2025 Notes attributable to the principal, $79.8 million payment for settlement of the 2022 Notes, and $10.0 million used for payment of employee taxes related to the net share settlement of stock-based awards, offset by $29.7 million of proceeds related to issuance of common stock under stock plans and $60.5 million of proceeds from settlement of the Convertible Note Hedges.</w:t>
      </w:r>
      <w:r>
        <w:rPr>
          <w:rFonts w:ascii="Times New Roman" w:hAnsi="Times New Roman"/>
          <w:color w:val="000000"/>
          <w:sz w:val="20"/>
        </w:rPr>
        <w:t xml:space="preserve">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There have been no significant changes in our critical accounting policies and estimates during the nine months ended September 30, 2023 as compared to the critical accounting policies and estimates disclosed in our Annual Report on Form 10-K for the year ended December 31, 2022.</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Contractual Obligations and Commitments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Contractual obligations are cash that we are obligated to pay as part of certain contracts that we have entered during our course of business. Our contractual obligations consist of operating lease liabilities that are included in our consolidated balance sheet and vendor commitments associated with agreements that are legally binding. See Note 10 for all obligations the Company is committed to in the notes to the consolidated financial statements appearing elsewhere in this Quarterly Report on Form 10-Q.</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 xml:space="preserve">For information on recent accounting pronouncements, see </w:t>
      </w:r>
      <w:r>
        <w:rPr>
          <w:rFonts w:ascii="Times New Roman" w:hAnsi="Times New Roman"/>
          <w:b w:val="false"/>
          <w:i/>
          <w:color w:val="000000"/>
          <w:sz w:val="20"/>
        </w:rPr>
        <w:t>Recent Accounting Pronouncements</w:t>
      </w:r>
      <w:r>
        <w:rPr>
          <w:rFonts w:ascii="Times New Roman" w:hAnsi="Times New Roman"/>
          <w:color w:val="000000"/>
          <w:sz w:val="20"/>
        </w:rPr>
        <w:t xml:space="preserve"> </w:t>
      </w:r>
      <w:r>
        <w:rPr>
          <w:rFonts w:ascii="Times New Roman" w:hAnsi="Times New Roman"/>
          <w:b w:val="false"/>
          <w:color w:val="000000"/>
          <w:sz w:val="20"/>
        </w:rPr>
        <w:t>in the notes to the consolidated financial statements appearing elsewhere in this Quarterly Report on Form 10-Q.</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As of September 30, 2023, we are committed to contribute additional capital of $4.0 million to the Black Economic Development Fund. There were no other material off-balance sheet arrangements exclusive of operating leases and indemnifications of officers, directors and employees for certain events or occurrences while the officer, director or employee is, or was, serving at our request in such capacity.</w:t>
      </w:r>
    </w:p>
    <w:p>
      <w:pPr>
        <w:pStyle w:val="TextBody"/>
        <w:bidi w:val="0"/>
        <w:spacing w:before="240" w:after="283"/>
        <w:jc w:val="left"/>
        <w:rPr>
          <w:rFonts w:ascii="Times New Roman" w:hAnsi="Times New Roman"/>
          <w:b/>
          <w:color w:val="000000"/>
          <w:sz w:val="20"/>
        </w:rPr>
      </w:pPr>
      <w:bookmarkStart w:id="11" w:name="item_3_quantitative_qualitative_disclosu"/>
      <w:bookmarkEnd w:id="11"/>
      <w:r>
        <w:rPr>
          <w:rFonts w:ascii="Times New Roman" w:hAnsi="Times New Roman"/>
          <w:b/>
          <w:color w:val="000000"/>
          <w:sz w:val="20"/>
        </w:rPr>
        <w:t>Item 3. Quantitative and Qualitative Disclosures About Market Risk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Foreign Currency Exchange Risk</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have foreign currency risks related to our revenue, cost of revenue, and operating expenses denominated in currencies other than the U.S. dollar, primarily the Euro, British Pound Sterling, Australian dollar, Singaporean dollar, Japanese Yen, Colombian Peso and Canadian dollar. Since we translate foreign currencies into U.S. dollars for financial reporting purposes, currency fluctuations can have an impact on our financial results.</w:t>
        <w:br/>
        <w:br/>
        <w:br/>
        <w:br/>
        <w:t>We have experienced and will continue to experience fluctuations in our net loss as a result of transaction gains or losses related to revaluing certain current asset and current liability balances that are denominated in currencies other than the functional currency of the entities in which they are recorded. While we have not engaged in the hedging of our foreign currency transactions to date, we are evaluating the costs and benefits of initiating such a program and may in the future hedge selected significant transactions denominated in currencies other than the U.S. dollar as we expand our international operations, and our risk grows.</w:t>
      </w:r>
    </w:p>
    <w:p>
      <w:pPr>
        <w:pStyle w:val="TextBody"/>
        <w:bidi w:val="0"/>
        <w:spacing w:before="240" w:after="283"/>
        <w:jc w:val="left"/>
        <w:rPr>
          <w:rFonts w:ascii="Times New Roman" w:hAnsi="Times New Roman"/>
          <w:sz w:val="20"/>
        </w:rPr>
      </w:pPr>
      <w:r>
        <w:rPr>
          <w:rFonts w:ascii="Times New Roman" w:hAnsi="Times New Roman"/>
          <w:b/>
          <w:i/>
          <w:color w:val="000000"/>
          <w:sz w:val="20"/>
        </w:rPr>
        <w:t>Interest Rate Sensitivity</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Our portfolio of cash and cash equivalents and short- and long-term investments is maintained in a variety of securities, including government agency obligations, corporate bonds and money market funds. Investments are classified as available-for-sale securities and carried at their fair market value with cumulative unrealized gains or losses recorded as a component of accumulated other comprehensive loss within stockholders' equity. A sharp rise in interest rates could have an adverse impact on the fair market value of certain securities in our portfolio. We do not currently hedge our interest rate exposure and do not enter into financial instruments for trading or speculative purposes.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Market Risk and Market Interest Risk</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June 2020, we issued $460 million aggregate principal amount of convertible senior notes due June 1, 2025, of which $459.1 million remains outstanding as of September 30, 2023 (the “2025 Notes”). The fair value of the 2025 Notes is subject to interest rate risk, market risk and other factors due to the convertible feature. The fair value of the 2025 Notes will generally increase as our common stock price increases and will generally decrease as our common stock price declines in value. The interest and market value changes affect the fair value of the 2025 Notes but do not impact our financial position, cash flows or results of operations due to the fixed nature of the debt obligation. Generally, the fair values of the 2025 Notes will increase as interest rates fall and decrease as interest rates rise. Additionally, we carry the 2025 Notes at face value less unamortized discount on our balance sheet, and we present the fair value for required disclosure purposes only. The Federal Reserve has raised, and may continue to raise interest rates in an effort to combat high inflation and may continue to do so in the future. There continues to be uncertainty in the changing market and</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economic conditions, including the possibility or additional measures that could be taken by the Federal Reserve and other government agencies, related to concerns over inflation risk.</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table below provides a sensitivity analysis of hypothetical 10% changes of our stock price as of September 30, 2023 and the estimated impact on the fair value of the 2025 Notes. The selected scenarios are not predictions of future events, but rather are intended to illustrate the effect such an event may have on the fair value of the 2025 Notes.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2025 Notes</w:t>
      </w:r>
    </w:p>
    <w:tbl>
      <w:tblPr>
        <w:tblW w:w="10205" w:type="dxa"/>
        <w:jc w:val="left"/>
        <w:tblInd w:w="0" w:type="dxa"/>
        <w:tblLayout w:type="fixed"/>
        <w:tblCellMar>
          <w:top w:w="28" w:type="dxa"/>
          <w:left w:w="28" w:type="dxa"/>
          <w:bottom w:w="28" w:type="dxa"/>
          <w:right w:w="28" w:type="dxa"/>
        </w:tblCellMar>
      </w:tblPr>
      <w:tblGrid>
        <w:gridCol w:w="2598"/>
        <w:gridCol w:w="349"/>
        <w:gridCol w:w="146"/>
        <w:gridCol w:w="211"/>
        <w:gridCol w:w="781"/>
        <w:gridCol w:w="146"/>
        <w:gridCol w:w="146"/>
        <w:gridCol w:w="305"/>
        <w:gridCol w:w="1219"/>
        <w:gridCol w:w="166"/>
        <w:gridCol w:w="146"/>
        <w:gridCol w:w="1012"/>
        <w:gridCol w:w="2614"/>
        <w:gridCol w:w="366"/>
      </w:tblGrid>
      <w:tr>
        <w:trPr/>
        <w:tc>
          <w:tcPr>
            <w:tcW w:w="259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6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2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Hypothetical change in HubSpot stock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Estimated change in</w:t>
              <w:br/>
              <w:t>fair 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6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Hypothetical percentage increase (decrease) in fair value</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8"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10% increase</w:t>
            </w:r>
          </w:p>
        </w:tc>
        <w:tc>
          <w:tcPr>
            <w:tcW w:w="34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956,241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1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137,760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12" w:type="dxa"/>
            <w:tcBorders/>
            <w:shd w:fill="CFF0FC" w:val="clear"/>
            <w:vAlign w:val="center"/>
          </w:tcPr>
          <w:p>
            <w:pPr>
              <w:pStyle w:val="TableContents"/>
              <w:bidi w:val="0"/>
              <w:spacing w:before="0" w:after="283"/>
              <w:jc w:val="left"/>
              <w:rPr/>
            </w:pPr>
            <w:r>
              <w:rPr/>
              <w:t> </w:t>
            </w:r>
          </w:p>
        </w:tc>
        <w:tc>
          <w:tcPr>
            <w:tcW w:w="261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w:t>
            </w:r>
          </w:p>
        </w:tc>
        <w:tc>
          <w:tcPr>
            <w:tcW w:w="3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598"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No change</w:t>
            </w:r>
          </w:p>
        </w:tc>
        <w:tc>
          <w:tcPr>
            <w:tcW w:w="34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818,481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1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012" w:type="dxa"/>
            <w:tcBorders/>
            <w:shd w:fill="FFFFFF" w:val="clear"/>
            <w:vAlign w:val="center"/>
          </w:tcPr>
          <w:p>
            <w:pPr>
              <w:pStyle w:val="TableContents"/>
              <w:bidi w:val="0"/>
              <w:spacing w:before="0" w:after="283"/>
              <w:jc w:val="left"/>
              <w:rPr/>
            </w:pPr>
            <w:r>
              <w:rPr/>
              <w:t> </w:t>
            </w:r>
          </w:p>
        </w:tc>
        <w:tc>
          <w:tcPr>
            <w:tcW w:w="2614" w:type="dxa"/>
            <w:tcBorders/>
            <w:shd w:fill="FFFFFF" w:val="clear"/>
            <w:vAlign w:val="center"/>
          </w:tcPr>
          <w:p>
            <w:pPr>
              <w:pStyle w:val="TableContents"/>
              <w:bidi w:val="0"/>
              <w:spacing w:before="0" w:after="283"/>
              <w:jc w:val="right"/>
              <w:rPr>
                <w:color w:val="000000"/>
              </w:rPr>
            </w:pPr>
            <w:r>
              <w:rPr>
                <w:color w:val="000000"/>
              </w:rPr>
              <w:t>—</w:t>
            </w:r>
          </w:p>
        </w:tc>
        <w:tc>
          <w:tcPr>
            <w:tcW w:w="366" w:type="dxa"/>
            <w:tcBorders/>
            <w:shd w:fill="FFFFFF" w:val="clear"/>
            <w:vAlign w:val="center"/>
          </w:tcPr>
          <w:p>
            <w:pPr>
              <w:pStyle w:val="TableContents"/>
              <w:bidi w:val="0"/>
              <w:spacing w:before="0" w:after="283"/>
              <w:jc w:val="left"/>
              <w:rPr/>
            </w:pPr>
            <w:r>
              <w:rPr/>
              <w:t> </w:t>
            </w:r>
          </w:p>
        </w:tc>
      </w:tr>
      <w:tr>
        <w:trPr/>
        <w:tc>
          <w:tcPr>
            <w:tcW w:w="2598"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10% decrease</w:t>
            </w:r>
          </w:p>
        </w:tc>
        <w:tc>
          <w:tcPr>
            <w:tcW w:w="34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672,338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1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(146,143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012" w:type="dxa"/>
            <w:tcBorders/>
            <w:shd w:fill="CFF0FC" w:val="clear"/>
            <w:vAlign w:val="center"/>
          </w:tcPr>
          <w:p>
            <w:pPr>
              <w:pStyle w:val="TableContents"/>
              <w:bidi w:val="0"/>
              <w:spacing w:before="0" w:after="283"/>
              <w:jc w:val="left"/>
              <w:rPr/>
            </w:pPr>
            <w:r>
              <w:rPr/>
              <w:t> </w:t>
            </w:r>
          </w:p>
        </w:tc>
        <w:tc>
          <w:tcPr>
            <w:tcW w:w="261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w:t>
            </w:r>
          </w:p>
        </w:tc>
        <w:tc>
          <w:tcPr>
            <w:tcW w:w="3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240" w:after="283"/>
        <w:jc w:val="left"/>
        <w:rPr>
          <w:rFonts w:ascii="Times New Roman" w:hAnsi="Times New Roman"/>
          <w:sz w:val="20"/>
        </w:rPr>
      </w:pPr>
      <w:bookmarkStart w:id="12" w:name="item_4_controls_procedures"/>
      <w:bookmarkEnd w:id="12"/>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240" w:after="283"/>
        <w:jc w:val="left"/>
        <w:rPr>
          <w:rFonts w:ascii="Times New Roman" w:hAnsi="Times New Roman"/>
          <w:sz w:val="20"/>
        </w:rPr>
      </w:pPr>
      <w:r>
        <w:rPr>
          <w:rFonts w:ascii="Times New Roman" w:hAnsi="Times New Roman"/>
          <w:b w:val="false"/>
          <w:color w:val="000000"/>
          <w:sz w:val="20"/>
          <w:u w:val="single"/>
        </w:rPr>
        <w:t>Evaluation of Disclosure Controls and Procedures</w:t>
      </w:r>
      <w:r>
        <w:rPr>
          <w:rFonts w:ascii="Times New Roman" w:hAnsi="Times New Roman"/>
          <w:b w:val="false"/>
          <w:color w:val="000000"/>
          <w:sz w:val="20"/>
        </w:rPr>
        <w:t>. Our management, with the participation of our principal executive officer and principal financial officer, has evaluated the effectiveness of our disclosure controls and procedures (as defined in Rules 13a-15(e) and 15d-15(e) under the Securities Exchange Act of 1934, as amended (the “Exchange Act”), as of the end of the period covered by this Quarterly Report on Form 10-Q. Based on such evaluation, our principal executive officer and principal financial officer have concluded that as of such date, our disclosure controls and procedures were effective.</w:t>
      </w:r>
    </w:p>
    <w:p>
      <w:pPr>
        <w:pStyle w:val="TextBody"/>
        <w:bidi w:val="0"/>
        <w:spacing w:before="240" w:after="283"/>
        <w:jc w:val="left"/>
        <w:rPr>
          <w:rFonts w:ascii="Times New Roman" w:hAnsi="Times New Roman"/>
          <w:sz w:val="20"/>
        </w:rPr>
      </w:pPr>
      <w:r>
        <w:rPr>
          <w:rFonts w:ascii="Times New Roman" w:hAnsi="Times New Roman"/>
          <w:b w:val="false"/>
          <w:color w:val="000000"/>
          <w:sz w:val="20"/>
          <w:u w:val="single"/>
        </w:rPr>
        <w:t>Changes in Internal Control Over Financial Reporting</w:t>
      </w:r>
      <w:r>
        <w:rPr>
          <w:rFonts w:ascii="Times New Roman" w:hAnsi="Times New Roman"/>
          <w:b w:val="false"/>
          <w:color w:val="000000"/>
          <w:sz w:val="20"/>
        </w:rPr>
        <w:t>. There was no change in our internal control over financial reporting (as defined in Rules 13a-15(f) and 15d-15(f) under the Exchange Act) that occurred during the quarter covered by this Quarterly Report on Form 10-Q that has materially affected, or is reasonably likely to materially affect, our internal control over financial reporting.</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u w:val="single"/>
        </w:rPr>
        <w:t>Inherent Limitations of Internal Controls</w:t>
      </w:r>
      <w:r>
        <w:rPr>
          <w:rFonts w:ascii="Times New Roman" w:hAnsi="Times New Roman"/>
          <w:b w:val="false"/>
          <w:color w:val="000000"/>
          <w:sz w:val="20"/>
        </w:rPr>
        <w:t>. Our management, including our Chief Executive Officer and Chief Financial Officer, does not expect that our disclosure controls and procedures or our internal controls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bookmarkStart w:id="13" w:name="part_ii"/>
      <w:bookmarkEnd w:id="13"/>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Other Information</w:t>
      </w:r>
    </w:p>
    <w:p>
      <w:pPr>
        <w:pStyle w:val="TextBody"/>
        <w:bidi w:val="0"/>
        <w:spacing w:before="240" w:after="283"/>
        <w:jc w:val="left"/>
        <w:rPr>
          <w:rFonts w:ascii="Times New Roman" w:hAnsi="Times New Roman"/>
          <w:sz w:val="20"/>
        </w:rPr>
      </w:pPr>
      <w:bookmarkStart w:id="14" w:name="item_1_legal_proceedings"/>
      <w:bookmarkEnd w:id="14"/>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From time to time we may become involved in legal proceedings or be subject to claims arising in the ordinary course of our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pStyle w:val="TextBody"/>
        <w:bidi w:val="0"/>
        <w:spacing w:before="240" w:after="283"/>
        <w:jc w:val="left"/>
        <w:rPr/>
      </w:pPr>
      <w:r>
        <w:rPr/>
        <w:t> </w:t>
      </w:r>
    </w:p>
    <w:p>
      <w:pPr>
        <w:pStyle w:val="TextBody"/>
        <w:bidi w:val="0"/>
        <w:spacing w:before="200" w:after="283"/>
        <w:jc w:val="left"/>
        <w:rPr/>
      </w:pPr>
      <w:r>
        <w:rPr/>
        <w:t> </w:t>
      </w:r>
    </w:p>
    <w:p>
      <w:pPr>
        <w:pStyle w:val="TextBody"/>
        <w:bidi w:val="0"/>
        <w:spacing w:before="200" w:after="283"/>
        <w:jc w:val="left"/>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spacing w:before="200" w:after="283"/>
        <w:jc w:val="left"/>
        <w:rPr>
          <w:rFonts w:ascii="Times New Roman" w:hAnsi="Times New Roman"/>
          <w:b w:val="false"/>
          <w:i/>
          <w:color w:val="000000"/>
          <w:sz w:val="20"/>
        </w:rPr>
      </w:pPr>
      <w:r>
        <w:rPr>
          <w:rFonts w:ascii="Times New Roman" w:hAnsi="Times New Roman"/>
          <w:b w:val="false"/>
          <w:i/>
          <w:color w:val="000000"/>
          <w:sz w:val="20"/>
        </w:rPr>
        <w:t>An investment in our common stock involves a high degree of risk. You should carefully consider the risks described below and the other information in this Quarterly Report on Form 10-Q and in our other public filings before making an investment decision. Our business, prospects, financial condition, or operating results could be harmed by any of these risks, as well as other risks not currently known to us or that we currently consider immaterial. If any such risks and uncertainties actually occurs, our business, financial condition or operating results could differ materially from the plans, projections and other forward-looking statements included in the section titled “Management’s Discussion and Analysis of Financial Condition and Results of Operations” and elsewhere in this Quarterly Report on Form 10-Q and in our other public filings. The trading price of our common stock could decline due to any of these risks, and, as a result, you may lose all or part of your investment.</w:t>
      </w:r>
    </w:p>
    <w:p>
      <w:pPr>
        <w:pStyle w:val="TextBody"/>
        <w:bidi w:val="0"/>
        <w:spacing w:before="200" w:after="283"/>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Risks Related to Our Business and Strategy</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are dependent upon customer renewals, the addition of new customers, increased revenue from existing customers and the continued growth of the market for a CRM Platform.</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We derive, and expect to continue to derive, a substantial portion of our revenue from the sale of subscriptions to our CRM Platform. The market for inbound marketing, sales, service, operations and customer management products is still evolving, and competitive dynamics may cause pricing levels to change as the market matures and as existing and new market participants introduce new types of point applications and different approaches to enable businesses to address their respective needs. As a result, we may be forced to reduce the prices we charge for our platform and may be unable to renew existing customer agreements or enter into new customer agreements at the same prices and upon the same terms that we have historically. In addition, our growth strategy involves a scalable pricing model (including freemium versions of our products) intended to provide us with an opportunity to increase the value of our customer relationships over time as we expand their use of our platform, sell to other parts of their organizations, cross-sell our sales products to existing marketing product customers and vice versa through touchless or low touch in product purchases, and upsell additional offerings and features. If our cross-selling efforts are unsuccessful or if our existing customers do not expand their use of our platform or adopt additional offerings and features, our operating results may suffer.</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Our subscription renewal rates may decrease, and any decrease could harm our future revenue and operating results.</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Our customers have no obligation to renew their subscriptions for our platform after the expiration of their subscription periods, substantially all of which are one year or less. In addition, our customers may seek to renew for lower subscription tiers, for fewer contacts or seats, or for shorter contract lengths. Also, customers may choose not to renew their subscriptions for a variety of reasons. Our renewal rates may decline or fluctuate as a result of a number of factors, including limited customer resources, pricing changes, the prices of services offered by our competitors, adoption and utilization of our platform and add-on applications by our customers, adoption of our new products, customer satisfaction with our platform, mergers and acquisitions affecting our customer base, reductions in our customers’ spending levels or declines in customer activity as a result of economic downturns or uncertainty in financial markets. If our customers do not renew their subscriptions for our platform or decrease the amount they spend with us, our revenue will decline and our business will suffer.</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In addition, a subscription model creates certain risks related to the timing of revenue recognition and potential reductions in cash flows. A portion of the subscription-based revenue we report each quarter results from the recognition of deferred revenue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relating to subscription agreements entered into during previous quarters. In addition, we do not record deferred revenue beyond amounts invoiced as a liability on our balance sheet. A decline in new or renewed subscriptions in any period may not be immediately reflected in our reported financial results for that period, but may result in a decline in our revenue in future quarters. If we were to experience significant downturns in subscription sales and renewal rates, our reported financial results might not reflect such downturns until future periods.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face significant competition from both established and new companies offering marketing, sales, customer service, operations and content management software and other related applications, as well as internally developed software, which may harm our ability to add new customers, retain existing customers and grow our business.</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The marketing, sales, customer service, operations, and content management software market is evolving, highly competitive and significantly fragmented. With the introduction of new technologies and the potential entry of new competitors into the market, we expect competition to persist and intensify in the future, which could harm our ability to increase sales, maintain or increase renewals and maintain our prices.</w:t>
      </w:r>
      <w:r>
        <w:rPr>
          <w:rFonts w:ascii="Times New Roman" w:hAnsi="Times New Roman"/>
          <w:color w:val="000000"/>
          <w:sz w:val="2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We face intense competition from other software companies that develop marketing, sales, customer service, operations, and content management software and from marketing services companies that provide interactive marketing services. Competition could significantly impede our ability to sell subscriptions to our CRM Platform on terms favorable to us. Our current and potential competitors may develop and market new technologies including as a result of new or better use of evolving artificial intelligence (“AI”) technologies that render our existing or future products less competitive, or obsolete. In addition, if these competitors develop products with similar or superior functionality to our platform, we may need to decrease the prices or accept less favorable terms for our platform subscriptions in order to remain competitive. If we are unable to maintain our pricing due to competitive pressures, our margins will be reduced and our operating results will be negatively affected.</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Our competitors include:</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cloud-based marketing automation providers;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email marketing software vendors;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sales force automation and CRM software vendors;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large-scale enterprise suites;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customer service software providers; and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content management systems.</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In addition, instead of using our platform, some prospective customers may elect to combine disparate point applications, such as content management, marketing automation, CRM, analytics and social media management. We expect that new competitors, such as enterprise software vendors that have traditionally focused on enterprise resource planning or other applications supporting back office functions, will develop and introduce applications serving customer-facing and other front office functions. This development could have an adverse effect on our business, operating results and financial condition. In addition, sales force automation and CRM vendors could acquire or develop applications that compete with our sales and CRM offerings. Some of these companies have acquired social media marketing and other marketing software providers to integrate with their broader offerings.</w:t>
      </w:r>
      <w:r>
        <w:rPr>
          <w:rFonts w:ascii="Times New Roman" w:hAnsi="Times New Roman"/>
          <w:color w:val="000000"/>
          <w:sz w:val="2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Our current and potential competitors may have significantly more financial, technical, marketing and other resources than we have, be able to devote greater resources to the development, promotion, sale and support of their products and services, may have more extensive customer bases and broader customer relationships than we have, and may have longer operating histories and greater name recognition than we have. As a result, these competitors may respond faster to new technologies and undertake more extensive marketing campaigns for their products. In a few cases, these vendors may also be able to offer marketing, sales, customer service and content management software at little or no additional cost by bundling it with their existing suite of applications. To the extent any of our competitors has existing relationships with potential customers for either marketing software or other applications, those customers may be unwilling to purchase our platform because of their existing relationships with our competitor. If we are unable to compete with such companies, the demand for our CRM Platform could substantially decline.</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In addition, if one or more of our competitors were to merge or partner with another of our competitors, our ability to compete effectively could be adversely affected. Our competitors may also establish or strengthen cooperative relationships with our current or future strategic distribution and technology partners or other parties with whom we have relationships, thereby limiting our ability to promote and implement our platform. We may not be able to compete successfully against current or future competitors, and competitive pressures may harm our business, operating results and financial condition.</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have experienced rapid growth and organizational change in recent periods and expect growth of headcount and operations over the long-term. If we fail to manage growth and organizational change effectively, we may be unable to execute our business plan, maintain high levels of service or address competitive challenges adequately.</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Prior to the implementation of our Restructuring Plan in January 2023, our headcount and operations grew substantially. To date, we have opened several international offices. This growth has placed, and will continue to place, a significant strain on our management, administrative, operational and financial infrastructure. While we expect to continue to grow headcount and operations over the long-term, in January 2023, we authorized a workforce reduction impacting approximately 7% of our workforce and began exiting select leases to consolidate our office space. We may be unable to effectively manage the organizational changes we have made in connection with the Restructuring Plan, which could result in difficulty or delays in delivering our products to customers, declines in quality or customer satisfaction, increases in costs, difficulties in introducing new products and services or enhancing existing products and services, reputational harm, loss of customers, or operational difficulties in executing sales strategies, any of which could adversely affect our business performance and operating results. We anticipate future growth will be required over the long term to address increases in our product offerings and continued expansion. Our success will depend in part upon our ability to recruit, hire, train, manage and integrate qualified managers, technical personnel and employees in specialized roles within our company, including in technology, sales and marketing. Furthermore, as more of our employees work remotely from geographic areas across the globe on a permanent basis pursuant to our hybrid workplace model, which provides our employees with the option to be fully remote, work full-time from one of our offices, or have the flexibility to work both in the office and remotely, we may need to reallocate our investment of resources and closely monitor a variety of local regulations and requirements, including local tax laws. We may experience unpredictability in our expenses and employee work culture. If we experience any of these effects in connection with future growth, if our new employees perform poorly, or if we are unsuccessful in recruiting, hiring, training, managing and integrating new employees, or retaining our existing employees, it could materially impair our ability to attract new customers, retain existing customers and expand their use of our platform, all of which would materially and adversely affect our business, financial condition and results of operations.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In addition, our information technology infrastructure, operational, financial and management systems and procedures may not be able to effectively manage changes to our headcount, operations and office space that result from the Restructuring Plan. Our Restructuring Plan has increased our short-term costs, which makes it more difficult for us to address any future revenue shortfalls by reducing expenses in the short-term. If we fail to successfully manage organizational changes in connection with the Restructuring Plan or our future growth, we will be unable to successfully execute our business plan, which could have a negative impact on our business, results of operations or financial condition.</w:t>
      </w:r>
      <w:r>
        <w:rPr>
          <w:rFonts w:ascii="Times New Roman" w:hAnsi="Times New Roman"/>
          <w:color w:val="000000"/>
          <w:sz w:val="20"/>
        </w:rPr>
        <w:t xml:space="preserve">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Failure to effectively develop and expand our marketing, sales, customer service, operations, and content management capabilities could harm our ability to increase our customer base and achieve broader market acceptance of our platform.</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To increase Customers and achieve broader market acceptance of our CRM Platform, we will need to continue to expand our marketing, sales, customer service, operations, and content management capabilities, including our sales force and third-party channel partners. We will continue to dedicate significant resources to inbound sales and marketing programs. The effectiveness of our inbound sales and marketing and third-party channel partners has varied over time and may vary in the future and depends on our ability to maintain and improve our CRM Platform including with respect to AI and machine learning. All of these efforts will require us to invest significant financial and other resources. Our business will be seriously harmed if our efforts do not generate a correspondingly significant increase in revenue. We may not achieve anticipated revenue growth from expanding our sales force if we are unable to hire, develop and retain talented sales personnel, if our new sales personnel are unable to achieve desired productivity levels in a reasonable period of time or if our sales and marketing programs are not effective.</w:t>
      </w:r>
    </w:p>
    <w:p>
      <w:pPr>
        <w:pStyle w:val="TextBody"/>
        <w:bidi w:val="0"/>
        <w:spacing w:before="200" w:after="283"/>
        <w:jc w:val="left"/>
        <w:rPr>
          <w:rFonts w:ascii="Times New Roman" w:hAnsi="Times New Roman"/>
          <w:b/>
          <w:i/>
          <w:color w:val="212529"/>
          <w:sz w:val="20"/>
        </w:rPr>
      </w:pPr>
      <w:r>
        <w:rPr>
          <w:rFonts w:ascii="Times New Roman" w:hAnsi="Times New Roman"/>
          <w:b/>
          <w:i/>
          <w:color w:val="212529"/>
          <w:sz w:val="20"/>
        </w:rPr>
        <w:t>The rate of growth of our business depends on the continued participation and level of service of our Solutions Partners.</w:t>
      </w:r>
    </w:p>
    <w:p>
      <w:pPr>
        <w:pStyle w:val="TextBody"/>
        <w:bidi w:val="0"/>
        <w:spacing w:before="200" w:after="283"/>
        <w:jc w:val="left"/>
        <w:rPr>
          <w:rFonts w:ascii="Times New Roman" w:hAnsi="Times New Roman"/>
          <w:b w:val="false"/>
          <w:color w:val="212529"/>
          <w:sz w:val="20"/>
        </w:rPr>
      </w:pPr>
      <w:r>
        <w:rPr>
          <w:rFonts w:ascii="Times New Roman" w:hAnsi="Times New Roman"/>
          <w:b w:val="false"/>
          <w:color w:val="212529"/>
          <w:sz w:val="20"/>
        </w:rPr>
        <w:t>We rely on our Solutions Partners to provide certain services to our customers, as well as pursue sales of our CRM Platform to customers. To the extent we do not attract new Solutions Partners, or existing or new Solutions Partners do not refer a growing number of customers to us, our revenue and operating results would be harmed. In addition, if our Solutions Partners do not continue to provide services to our customers, we would be required to provide such services ourselves either by expanding our internal team or engaging other third-party providers, which would increase our operating costs.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If we fail to maintain our inbound thought leadership position, our business may suffer.</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We believe that maintaining our thought leadership position in inbound marketing, sales, services, operations and content management is an important element in attracting new customers. We devote significant resources to develop and maintain our thought leadership position, with a focus on identifying and interpreting emerging trends in the inbound experience, shaping and guiding industry dialog and creating and sharing the best inbound practices. Our activities related to developing and maintaining our thought leadership may not yield increased revenue, and even if they do, any increased revenue may not offset the expenses we incurred in such effort. We rely upon the continued services of our management and employees with domain expertise with inbound</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marketing, sales, services, operations, and content management, and the loss of any key employees in this area could harm our competitive position and reputation. If we fail to successfully grow and maintain our thought leadership position, we may not attract enough new customers or retain our existing customers, and our business could suffer.</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If we fail to further enhance our brand and maintain our existing strong brand awareness, our ability to expand our customer base will be impaired and our financial condition may suffer.</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We believe that our development of the HubSpot brand is critical to achieving widespread awareness of our existing and future inbound experience solutions, and, as a result, is important to attracting new customers and maintaining existing customers. In the past, our efforts to build our brand have involved significant expenses, and we believe that this investment has resulted in strong brand recognition in the B2B market. Successful promotion and maintenance of our brands will depend largely on the effectiveness of our marketing efforts and on our ability to provide a reliable and useful CRM Platform at competitive prices. Brand promotion activities may not yield increased revenue, and even if they do, any increased revenue may not offset the expenses we incurred in building our brand. If we fail to successfully promote and maintain our brand, our business could suffer.</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If we fail to adapt and respond effectively to rapidly changing technology, including evolving artificial intelligence and machine learning technologies, evolving industry standards and changing customer needs or requirements, our CRM Platform may become less competitive.</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Our future success depends on our ability to adapt and innovate our CRM Platform. To attract new customers and increase revenue from existing customers, we need to continue to enhance and improve our offerings to meet customer needs at prices that our customers are willing to pay. Such efforts will require adding new functionality and responding to technological advancements, including AI and machine learning, which will increase our research and development costs. If we are unable to develop new applications that address our customers’ needs, or to enhance and improve our platform in a timely manner, we may not be able to maintain or increase market acceptance of our platform. Our ability to grow is also subject to the risk of future disruptive technologies. Access and use of our CRM Platform is provided via the cloud, which, itself, was disruptive to the previous enterprise software model. If new technologies emerge that are able to deliver inbound marketing software and related applications at lower prices, more efficiently, more conveniently or more securely, such technologies could adversely affect our ability to compete.</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If we fail to offer high-quality customer support, our business and reputation may suffer.</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High-quality education, training and customer support are important for the successful marketing, sale and use of our CRM Platform and for the renewal of existing customers. Providing this education, training and support requires that our personnel who manage our online training resource, HubSpot Academy, or provide customer support have specific inbound experience domain knowledge and expertise, making it more difficult for us to hire qualified personnel and to scale up our support operations. The importance of high-quality customer support will increase as we expand our business and pursue new customers. If we do not help our customers use multiple applications within our CRM Platform and provide effective ongoing support, our ability to sell additional functionality and services to, or to retain, existing customers may suffer and our reputation with existing or potential customers may be harmed.</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may not be able to scale our business quickly enough to meet our customers’ growing needs and if we are not able to grow efficiently, our operating results could be harmed.</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 xml:space="preserve">As usage of our CRM Platform grows and as customers use our platform for additional inbound applications, such as sales and services, we will need to devote additional resources to improving our application architecture, integrating with third-party systems and maintaining infrastructure performance. In addition, we will need to appropriately scale our internal business systems and our services organization, including customer support and professional services, to serve our growing customer base, particularly as our customer demographics change over time. Any failure of or delay in these efforts could cause impaired system performance and reduced customer satisfaction. These issues could reduce the attractiveness of our CRM Platform to customers, resulting in decreased sales to new customers, lower renewal rates by existing customers, the issuance of service credits, or requested refunds, which could impede our revenue growth and harm our reputation. Even if we are able to upgrade our systems and expand our staff, any such expansion will be expensive and complex, requiring management’s time and attention. We could also face inefficiencies or operational failures as a result of our efforts to scale our infrastructure. Moreover, there are inherent risks associated with upgrading, improving and expanding our information technology systems. We cannot be sure that the expansion and improvements to our infrastructure and systems will be fully or effectively implemented on a timely basis, if at all. </w:t>
        <w:br/>
        <w:br/>
      </w:r>
      <w:r>
        <w:rPr>
          <w:rFonts w:ascii="Times New Roman" w:hAnsi="Times New Roman"/>
          <w:b/>
          <w:i/>
          <w:color w:val="000000"/>
          <w:sz w:val="20"/>
        </w:rPr>
        <w:t>Our ability to introduce new products and features, including new products and features that utilize artificial intelligence, is dependent on adequate research and development resources. If we do not adequately fund our research and development efforts, we may not be able to compete effectively and our business and operating results may be harmed.</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To remain competitive, we must continue to develop new product offerings, applications, features and enhancements to our existing CRM Platform. Maintaining adequate research and development personnel and resources to meet the demands of the market</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is essential. If we are unable to develop our platform internally due to certain constraints, such as high employee turnover, lack of management ability or a lack of other research and development resources, we may miss market opportunities. Further, many of our competitors expend a considerably greater amount of funds on their research and development programs, and those that do not may be acquired by larger companies that would allocate greater resources to our competitors’ research and development programs. Our failure to maintain adequate research and development resources or to compete effectively with the research and development programs of our competitors could materially adversely affect our business.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The development of next-generation solutions that utilize new and advanced features, including AI and machine learning, involves making predictions regarding the willingness of the market to adopt such technologies over legacy solutions. The Company may be required to commit significant resources to developing new products, software and services before knowing whether such investment will result in products or services that the market will accept.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The Company’s inability, for technological or other reasons, some of which may be beyond the Company’s control, to enhance, develop, introduce and monetize products and services in a timely manner, or at all, in response to changing market conditions or customer requirements could have a material adverse effect on the Company’s business, results of operations and financial condition or could result in its products and services not achieving market acceptance or becoming obsolete. In addition, if the Company fails to deliver a compelling customer experience or accurately predict emerging technological trends and the changing needs of customers and end users, or if the features of its new products and services do not meet the demands of its customers or are not sufficiently differentiated from those of its competitors, the Company’s business, results of operations and financial condition could be materially harmed.</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Uncertainty around new and emerging AI applications such as generative AI content creation may require additional investment in the development of proprietary datasets, machine learning models and systems to test for accuracy, bias and other variables, which are often complex, development of new approaches and processes to provide attribution or remuneration to content creators and building systems that enable creatives to have greater control over the use of their work in the development of AI, which may be costly and could impact our profit margin if we are unable to monetize such assets. In addition, AI technologies, including generative AI, may create content that appears correct but is factually inaccurate or flawed, or contains copyrighted or other protected material, and if our customers or others use this flawed content to their detriment, we may be exposed to brand or reputational harm, competitive harm, and/or legal liability. Developing, testing and deploying AI systems may also increase the cost profile of our offerings due to the nature of the computing costs involved in such systems.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Changes in the sizes or types of businesses that purchase our platform or in the applications within our CRM Platform purchased or used by our customers could negatively affect our operating results.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Our strategy is to sell subscriptions to our CRM Platform to mid-sized businesses, but we have sold and will continue to sell to organizations ranging from small businesses to enterprises. Our gross margins can vary depending on numerous factors related to the implementation and use of our CRM Platform, including the sophistication and intensity of our customers’ use of our platform and the level of professional services and support required by a customer. Sales to enterprise customers may entail longer sales cycles and more significant selling efforts. Selling to small businesses may involve greater credit risk and uncertainty. If there are changes in the mix of businesses that purchase our platform or the mix of the product plans purchased by our customers, our gross margins could decrease and our operating results could be adversely affected.</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have in the past completed acquisitions and may acquire or invest in other companies or technologies in the future, which could divert management’s attention, fail to meet our expectations, result in additional dilution to our stockholders, increase expenses, disrupt our operations or harm our operating results.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We have in the past acquired, and we may in the future acquire or invest in, businesses, products or technologies that we believe could complement or expand our platform, enhance our technical capabilities or otherwise offer growth opportunities. We may not be able to fully realize the anticipated benefits of historical or any future acquisitions. The pursuit of potential acquisitions may divert the attention of management and cause us to incur various expenses related to identifying, investigating and pursuing suitable acquisitions, whether or not they are consummated.</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There are inherent risks in integrating and managing acquisitions. If we acquire additional businesses, we may not be able to assimilate or integrate the acquired personnel, operations and technologies successfully or effectively manage the combined business following the acquisition and our management may be distracted from operating our business. We also may not achieve the anticipated benefits from the acquired business due to a number of factors, including: unanticipated costs or liabilities associated with the acquisition; incurrence of acquisition-related costs, which would be recognized as a current period expense; inability to generate sufficient revenue to offset acquisition or investment costs; the inability to maintain relationships with customers and partners of the acquired business; the difficulty of incorporating acquired technology and rights into our platform and of maintaining quality and security standards consistent with our brand; delays in customer purchases due to uncertainty related to any acquisition; the need to integrate or implement additional controls, procedures and policies; challenges caused by distance, language and cultural differences; harm to our existing business relationships with business partners and customers as a result of the acquisition; the potential loss of key</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employees; use of resources that are needed in other parts of our business and diversion of management and employee resources; and use of substantial portions of our available cash or the incurrence of debt to consummate the acquisition. Acquisitions also increase the risk of unforeseen legal liability, including for potential violations of applicable law or industry rules and regulations, arising from prior or ongoing acts or omissions by the acquired businesses which are not discovered by due diligence during the acquisition process. Generally, if an acquired business fails to meet our expectations, our operating results, business and financial condition may suffer. Acquisitions could also result in dilutive issuances of equity securities or the incurrence of debt, which could adversely affect our business, results of operations or financial condition.</w:t>
      </w:r>
      <w:r>
        <w:rPr>
          <w:rFonts w:ascii="Times New Roman" w:hAnsi="Times New Roman"/>
          <w:color w:val="000000"/>
          <w:sz w:val="2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In addition, a significant portion of the purchase price of companies we acquire may be allocated to goodwill and other intangible assets, which must be assessed for impairment at least annually. If our acquisitions do not ultimately yield expected returns, we may be required to make charges to our operating results based on our impairment assessment process, which could harm our results of operations.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Because our long-term growth strategy involves further expansion of our sales to customers outside the United States, our business will be susceptible to risks associated with international operations.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A component of our growth strategy involves the further expansion of our operations and customer base internationally. We have formed several international entities and may plan to form additional entities in the future. These international operations focus primarily on sales, professional services and support, and select international locations have development teams. Our current international operations and future initiatives will involve a variety of risks, including:</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difficulties in maintaining our company culture with a dispersed and distant workforce;</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more stringent regulations relating to data security and the unauthorized use of, or access to, commercial and personal data, particularly in the European Union;</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unexpected changes in regulatory requirements, taxes or trade laws;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differing labor regulations, especially in the European Union, where labor laws are generally more advantageous to employees as compared to the United States, including deemed hourly wage and overtime regulations in these locations;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challenges inherent in efficiently managing an increased number of employees over large geographic distances, including the need to implement appropriate systems, policies, benefits and compliance programs;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difficulties in managing a business in new markets with diverse cultures, languages, customs, legal systems, alternative dispute systems and regulatory systems;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currency exchange rate fluctuations and the resulting effect on our revenue and expenses, and the cost and risk of entering into hedging transactions if we chose to do so in the future;</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global economic uncertainty caused by global political events,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limitations on our ability to reinvest earnings from operations in one country to fund the capital needs of our operations in other countries;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limited or insufficient intellectual property protection;</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 xml:space="preserve">international disputes, wars (such as the conflict between Russia and Ukraine and the evolving events in Israel and Gaza), political instability or terrorist activities and resulting economic instability;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likelihood of potential or actual violations of domestic and international anticorruption laws, such as the U.S. Foreign Corrupt Practices Act and the U.K. Bribery Act, or of U.S. and international export control and sanctions regulations, which likelihood may increase with an increase of sales or operations in foreign jurisdictions and operations in certain industries; and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adverse tax burdens and foreign exchange controls that could make it difficult to repatriate earnings and cash.</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Our limited experience in operating our business internationally increases the risk that any potential future expansion efforts that we may undertake will not be successful. If in the future, we invest substantial time and resources to expand our international operations and are unable to do so successfully and in a timely manner, our business and operating results will suffer. We continue to implement policies and procedures to facilitate our compliance with U.S. laws and regulations applicable to or arising from our</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international business. Inadequacies in our past or current compliance practices may increase the risk of inadvertent violations of such laws and regulations, which could lead to financial and other penalties that could damage our reputation and impose costs on us.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Our Restructuring Plan and associated organizational changes may not adequately reduce our operating costs or improve operating margins, may lead to additional workforce attrition, and may cause operational disruptions.</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In January 2023, we implemented our Restructuring Plan, which was designed to reduce operating costs and enable investment in key opportunities for long-term growth while driving continued profitability. The Restructuring Plan included a reduction of the Company’s current workforce by approximately 7% and a lease consolidation to create higher density across our workspaces.</w:t>
      </w:r>
      <w:r>
        <w:rPr>
          <w:rFonts w:ascii="Times New Roman" w:hAnsi="Times New Roman"/>
          <w:color w:val="000000"/>
          <w:sz w:val="2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The Restructuring Plan may yield unintended consequences and costs, such as the loss of institutional knowledge and expertise, employee attrition beyond our intended reduction in force, a reduction in morale among our remaining employees, greater-than-anticipated costs incurred in connection with implementing the Restructuring Plan, and the risk that we may not achieve the benefits from the Restructuring Plan to the extent or as quickly as we anticipate, all of which may have a material adverse effect on our results of operations or financial condition. These restructuring initiatives could place substantial demands on our management and employees, which could lead to the diversion of our management’s and employees’ attention from other business priorities. In addition, while certain positions have been eliminated in connection with the Restructuring Plan, certain functions necessary to our reduced operations remain, and we may be unsuccessful in distributing the duties and obligations of departed employees among our remaining employees or to external service providers, which could result in disruptions to our operations. We may also discover that the workforce reduction and other restructuring efforts will make it difficult for us to pursue new opportunities and initiatives and require us to hire qualified replacement personnel, which may require us to incur additional and unanticipated costs and expenses. We may further discover that, despite the implementation of our Restructuring Plan, we may require additional capital to continue expanding our business, and we may be unable to obtain such capital on acceptable terms, if at all. Our failure to successfully accomplish any of the above activities and goals may have a material adverse impact on our business, financial condition, and results of operations.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Social and ethical issues relating to the use of new and evolving technologies, such as AI, in our offerings may result in reputational harm and liability.</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 xml:space="preserve">Social and ethical issues relating to the use of new and evolving technologies such as AI in our offerings, may result in reputational harm and liability, and may cause us to incur additional research and development costs to resolve such issues. We are increasingly building AI into many of our offerings including early-stage </w:t>
      </w:r>
      <w:r>
        <w:rPr>
          <w:rFonts w:ascii="Times New Roman" w:hAnsi="Times New Roman"/>
          <w:b w:val="false"/>
          <w:color w:val="1D1C1D"/>
          <w:sz w:val="20"/>
        </w:rPr>
        <w:t>generative</w:t>
      </w:r>
      <w:r>
        <w:rPr>
          <w:rFonts w:ascii="Times New Roman" w:hAnsi="Times New Roman"/>
          <w:color w:val="000000"/>
          <w:sz w:val="20"/>
        </w:rPr>
        <w:t xml:space="preserve"> </w:t>
      </w:r>
      <w:r>
        <w:rPr>
          <w:rFonts w:ascii="Times New Roman" w:hAnsi="Times New Roman"/>
          <w:b w:val="false"/>
          <w:color w:val="000000"/>
          <w:sz w:val="20"/>
        </w:rPr>
        <w:t>AI features. As with many innovations, AI presents risks and challenges that could affect its adoption, and therefore our business. If we enable or offer solutions that draw controversy due to their perceived or actual impact on human rights, privacy, employment, or in other social contexts, we may experience brand or reputational harm, competitive harm or legal liability. Potential government regulation related to AI use and ethics may also increase the burden and cost of research and development in this area, and failure to properly remediate AI usage or ethics issues may cause public confidence in AI to be undermined, which could slow adoption of AI in our products and services. The rapid evolution of AI will require the application of resources to develop, test and maintain our products and services to help ensure that AI is implemented ethically in order to minimize unintended, harmful impact.</w:t>
      </w:r>
    </w:p>
    <w:p>
      <w:pPr>
        <w:pStyle w:val="TextBody"/>
        <w:bidi w:val="0"/>
        <w:spacing w:before="200" w:after="283"/>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Risks Related to Employee Matters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If we cannot maintain our company culture as we experience changes in our workforce, we could lose the innovation, teamwork, passion and focus on execution that we believe contribute to our success and our business may be harmed.</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We believe that a critical component to our success has been our company culture, which is based on transparency and personal autonomy. We have invested substantial time and resources in building our team within this company culture. In January 2023, we authorized a workforce reduction impacting approximately 7% of our workforce as part of our Restructuring Plan. The workforce reduction may make it more difficult to preserve our company culture and may negatively impact employee morale. In 2020, we made the decision to permanently move to a hybrid workplace model, which means our employees have the option to be fully remote, work full-time from one of our offices, or work both in the office and remotely. Preservation of our corporate culture has been made more difficult as the majority of our workforce has been working from home, and may become more difficult due to the changes resulting from the Restructuring Plan. Any failure to preserve our culture could negatively affect our ability to retain and recruit personnel and to effectively focus on and pursue our corporate objectives. As we grow and continue to develop our company infrastructure, and experience organizational change, we may find it difficult to maintain these important aspects of our company culture and our business may be adversely impacted.</w:t>
        <w:br/>
        <w:br/>
      </w:r>
      <w:r>
        <w:rPr>
          <w:rFonts w:ascii="Times New Roman" w:hAnsi="Times New Roman"/>
          <w:b/>
          <w:i/>
          <w:color w:val="000000"/>
          <w:sz w:val="20"/>
        </w:rPr>
        <w:t>We rely on our management team and other key employees, and the loss of one or more key employees could harm our business.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Our success and future growth depend upon the continued services of our management team, including our co-founders, Brian Halligan and Dharmesh Shah, our chief executive officer, Yamini Rangan, and other key employees in the areas of research and development, marketing, sales, services, operations, content management, and general and administrative functions. From time to time, there may be changes in our management team resulting from the hiring or departure of executives, which could disrupt our business. We also are dependent on the continued service of our existing software engineers and information technology personnel because of the complexity of our platform, technologies and infrastructure. We may terminate any employee’s employment at any time, with or without cause, and any employee may resign at any time, with or without cause. We do not have employment agreements with any of our key personnel. The loss of one or more of our key employees could harm our business.</w:t>
        <w:br/>
        <w:br/>
      </w:r>
      <w:r>
        <w:rPr>
          <w:rFonts w:ascii="Times New Roman" w:hAnsi="Times New Roman"/>
          <w:b/>
          <w:i/>
          <w:color w:val="000000"/>
          <w:sz w:val="20"/>
        </w:rPr>
        <w:t>The failure to attract and retain additional qualified personnel could prevent us from executing our business strategy.</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To execute our business strategy, we must attract and retain highly qualified personnel. In particular, we compete with many other companies for software developers with high levels of experience in designing, developing and managing cloud-based software, as well as for skilled information technology, marketing, sales and operations professionals, and we may not be successful in attracting and retaining the professionals we need. Also, inbound sales, marketing, services, operations, and content management domain experts are very important to our success and are difficult to replace. We have from time to time in the past experienced, and we expect to continue to experience in the future, difficulty in hiring and difficulty in retaining highly skilled employees with appropriate qualifications. In particular, we have experienced a competitive hiring environment in the Greater Boston area, where we are headquartered and will continue to experience a competitive hiring environment as we recruit for remote talent worldwide. Many of the companies with which we compete for experienced personnel have greater resources than we do. The change by companies to offer a remote or hybrid work environment may increase the competition for such employees from employers outside of our traditional office locations. The workforce reduction we have implemented as part of our Restructuring Plan may negatively impact our ability to attract, integrate, retain and motivate highly qualified employees, and may harm our reputation with current or prospective employees. In addition, if we choose to no longer offer a remote or hybrid work environment, we may face more difficulty in retaining our workforce. Further, labor is subject to external factors that are beyond our control, including our industry’s highly competitive market for skilled workers and leaders, cost inflation, and workforce participation rates. In addition, if our reputation were to be harmed, whether as a result of media, legislative, or regulatory scrutiny or otherwise, it could make it more difficult to attract and retain personnel that are critical to the success of our business.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In addition, in making employment decisions, particularly in the software industry, job candidates often consider the value of equity incentives they are to receive in connection with their employment. If the price of our stock declines, or experiences significant volatility, our ability to attract or retain key employees will be adversely affected. If we fail to attract new personnel or fail to retain and motivate our current personnel, our growth prospects could be severely harmed.</w:t>
      </w:r>
    </w:p>
    <w:p>
      <w:pPr>
        <w:pStyle w:val="TextBody"/>
        <w:bidi w:val="0"/>
        <w:spacing w:before="200" w:after="283"/>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Risks Related to Global Economic Conditions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are exposed to fluctuations in currency exchange rates that could adversely affect our financial results.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We face exposure to movements in currency exchange rates, which may cause our revenue and operating results to differ materially from expectations. As we have expanded our international operations, our exposure to exchange rate fluctuations has increased, in particular with respect to the Euro, British Pound Sterling, Australian Dollar, Singapore Dollar, Japanese Yen, Colombian Peso, and Canadian Dollar. Fluctuations in the value of the U.S. dollar versus foreign currencies may impact our operating results when translated into U.S. dollars. Thus, our results of operations and cash flows are subject to fluctuations due to changes in foreign currency exchange rates and may be adversely affected in the future due to changes in foreign currency exchange rates. As exchange rates vary, revenue, cost of revenue, operating expenses and other operating results, when re-measured, may differ materially from expectations. In addition, our operating results are subject to fluctuation if our mix of U.S. and foreign currency denominated transactions and expenses changes in the future. Although we may apply certain strategies to mitigate foreign currency risk, these strategies might not eliminate our exposure to foreign exchange rate fluctuations and would involve costs and risks of their own, such as ongoing management time and expertise, external costs to implement the strategies and potential accounting implications. Additionally, as we anticipate growing our business further outside of the United States, the effects of movements in currency exchange rates will increase as our transaction volume outside of the United States increases.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Weakened global economic conditions may harm our industry, business and results of operations.</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Our overall performance depends in part on worldwide economic conditions. Global financial developments and downturns seemingly unrelated to us or the software industry may harm us. The United States and other key international economies have been affected from time to time by falling demand for a variety of goods and services, restricted credit, poor liquidity, reduced corporate profitability, volatility in credit, equity and foreign exchange markets, volatility in the banking sector, changes in the labor market, supply chain disruptions, bankruptcies, inflation and overall uncertainty with respect to the economy, including with respect to tariff and trade issues. Moreover, a potential U.S. federal government shutdown resulting from budgetary decisions, a prolonged continuing</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resolution, breach of the federal debt ceiling, or a potential U.S. sovereign default may increase uncertainty and volatility in the global economy and financial markets. Weak economic conditions or significant uncertainty regarding the stability of financial markets related to stock market volatility, inflation, recession, changes in tariffs, trade agreements or governmental fiscal, monetary and tax policies, among others, could adversely impact our business, financial condition and operating results. Further, weak market conditions have, and could in the future result in, impairment of our investments and long-lived assets.</w:t>
      </w:r>
      <w:r>
        <w:rPr>
          <w:rFonts w:ascii="Times New Roman" w:hAnsi="Times New Roman"/>
          <w:color w:val="000000"/>
          <w:sz w:val="2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Further, the economies of countries in Europe have been experiencing weakness associated with high sovereign debt levels, weakness in the banking sector, uncertainty over the future of the Euro zone and volatility in the value of the pound sterling and the Euro and instability resulting from the ongoing conflict between Russia and Ukraine. The effect of the conflict between Russia and Ukraine, including any resulting sanctions, export controls or other restrictive actions that may be imposed against governmental or other entities in, for example, Russia, have in the past contributed and may in the future contribute to disruption, instability and volatility in the global markets. We have operations, as well as current and potential new customers, throughout Europe. If economic conditions in Europe and other key markets for our platform continue to remain uncertain or deteriorate further, it could adversely affect our customers’ ability or willingness to subscribe to our platform, delay prospective customers’ purchasing decisions, reduce the value or duration of their subscriptions or affect renewal rates, all of which could harm our operating results.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More recently, global inflation rates have increased to levels not seen in several decades, which may result in decreased demand for our products and services, increases in our operating costs, including our labor costs, constrained credit and liquidity, reduced government spending and volatility in financial markets. The Federal Reserve and other international government agencies have raised, and may again raise, interest rates in response to concerns over inflation risk. Increases in interest rates on credit and debt that would increase the cost of any borrowing that we may make from time to time and could impact our ability to access the capital markets. Increases in interest rates, especially if coupled with reduced government spending and volatility in financial markets, may have the effect of further increasing economic uncertainty and heightening these risks. In an inflationary environment, we may be unable to raise the sales prices of our products and services at or above the rate at which our costs increase, which could/would reduce our profit margins and have a material adverse effect on our financial results and net income. We also may experience lower than expected sales and potential adverse impacts on our competitive position if there is a decrease in consumer spending or a negative reaction to our pricing. A reduction in our revenue would be detrimental to our profitability and financial condition and could also have an adverse impact on our future growth.</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There continues to be uncertainty in the changing market and economic conditions, including the possibility of additional measures that could be taken by the Federal Reserve and other domestic and international government agencies, related to concerns over inflation risk. A sharp rise in interest rates could have an adverse impact on the fair market value of certain securities in our portfolio and investments in some financial instruments could pose risks arising from market liquidity and credit concerns, which could adversely affect our financial results.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The current economic downturn may lead to decreased demand for our products and services and otherwise harm our business and results of operations.</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Our overall performance depends, in part, on worldwide economic conditions. In recent months, we have observed increased economic uncertainty in the United States and abroad. Impacts of such economic weakness include:</w:t>
      </w:r>
      <w:r>
        <w:rPr>
          <w:rFonts w:ascii="Times New Roman" w:hAnsi="Times New Roman"/>
          <w:color w:val="000000"/>
          <w:sz w:val="20"/>
        </w:rPr>
        <w:t xml:space="preserve">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falling overall demand for goods and services, leading to reduced profitability;</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reduced credit availability;</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higher borrowing costs;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reduced liquidity;</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changes in the labor market;</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supply chain disruptions;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volatility in credit, equity and foreign exchange markets; and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bankruptcies.</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These developments could lead to inflation, higher interest rates, and uncertainty about business continuity, which may adversely affect our business and our results of operations. As our customers react to global economic conditions and the potential for a global recession, we may see them reduce spending on our products and take additional precautionary measures to limit or delay expenditures and preserve capital and liquidity. Reductions in spending on our solutions, delays in purchasing decisions, lack of</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renewals, inability to attract new customers, as well as pressure for extended billing terms or pricing discounts, would limit our ability to grow our business and could negatively affect our operating results and financial condition.</w:t>
        <w:br/>
        <w:br/>
      </w:r>
      <w:r>
        <w:rPr>
          <w:rFonts w:ascii="Times New Roman" w:hAnsi="Times New Roman"/>
          <w:color w:val="000000"/>
          <w:sz w:val="20"/>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Risks Related to Our Technical Operations Infrastructure and Dependence on Third Parties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Interruptions or delays in service from our third-party data center providers could impair our ability to deliver our platform to our customers, resulting in customer dissatisfaction, damage to our reputation, loss of customers, limited growth and reduction in revenue.</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We currently serve the majority of our platform functions from third-party data center hosting facilities operated by Amazon Web Services in the United States and Europe. We also have several colocations which host certain critical services (for example, VPN access) in various locations around the world. In addition, we use Cloudflare Global CDN to optimize content delivery across our locations.</w:t>
      </w:r>
      <w:r>
        <w:rPr>
          <w:rFonts w:ascii="Times New Roman" w:hAnsi="Times New Roman"/>
          <w:color w:val="000000"/>
          <w:sz w:val="2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Any damage to, or failure of, the systems of our third-party providers could result in interruptions to our platform. Despite precautions taken at our data centers, the occurrence of spikes in usage volume, a natural disaster, such as earthquakes or hurricane, an act of terrorism, geopolitical conflict, vandalism or sabotage, a disruptive cyber attack, a decision to close a facility without adequate notice, power or telecommunications failures or other unanticipated problems at a facility could result in lengthy interruptions in the availability of our on-demand software. In the event that any of our third-party facilities arrangements is terminated, or if there is a lapse of service or damage to a facility, we could experience interruptions in our platform as well as delays and additional expenses in arranging new facilities and services. Even with current and planned disaster recovery arrangements, our business could be harmed. Also, in the event of damage or interruption, our insurance policies may not adequately compensate us for any losses that we may incur. These factors in turn could further reduce our revenue, subject us to liability and cause us to issue credits or cause customers to fail to renew their subscriptions, any of which could materially adversely affect our business.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If our CRM Platform has outages or fails due to defects or similar problems, and if we fail to correct any defect or other software problems, we could lose customers, become subject to service performance or warranty claims or incur significant costs.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Our CRM Platform and its underlying infrastructure are inherently complex and may contain material defects or errors. We release modifications, updates, bug fixes and other changes to our software several times per day, without traditional human-performed quality control reviews for each release. We have from time to time found defects in our software and may discover additional defects in the future. We may not be able to detect and correct defects or errors before customers begin to use our platform or its applications. Consequently, we or our customers may discover defects or errors after our platform has been implemented. Defects or errors could result in product outages and could also cause inaccuracies in the data we collect and process for our customers, or even the loss, damage or inadvertent release of such confidential data. We implement bug fixes and upgrades as part of our regular system maintenance, which may lead to system downtime. Even if we are able to implement the bug fixes and upgrades in a timely manner, any history of product outages, defects or inaccuracies in the data we collect for our customers, or the loss, damage or inadvertent release of confidential data could cause our reputation to be harmed, and customers may elect not to purchase or renew their agreements with us. Furthermore, these issues could subject us to service performance credits (whether offered by us or required by contract), warranty claims or increased insurance costs. The costs associated with product outages, any material defects or errors in our platform or other performance problems may be substantial and could materially adversely affect our operating results.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In addition, third-party applications and features on our CRM Platform may not meet the same quality standards that we apply to our own development efforts and, to the extent they contain bugs, vulnerabilities or defects, they may create disruptions in our customers’ use of our products, lead to data loss, unauthorized access to customer data, damage our brand and reputation and affect the continued use of our products, any of which could harm our business, results of operations and financial condition.</w:t>
      </w:r>
    </w:p>
    <w:p>
      <w:pPr>
        <w:pStyle w:val="TextBody"/>
        <w:bidi w:val="0"/>
        <w:spacing w:before="200" w:after="283"/>
        <w:jc w:val="left"/>
        <w:rPr>
          <w:rFonts w:ascii="Times New Roman" w:hAnsi="Times New Roman"/>
          <w:sz w:val="20"/>
        </w:rPr>
      </w:pPr>
      <w:r>
        <w:rPr>
          <w:rFonts w:ascii="Times New Roman" w:hAnsi="Times New Roman"/>
          <w:b/>
          <w:i/>
          <w:color w:val="000000"/>
          <w:sz w:val="20"/>
        </w:rPr>
        <w:t>If our information technology systems, including our CRM Platform, have outages or fail due to defects or similar problems, and if we fail to correct any defect or other software problems, it could disrupt our internal operations or services provided to customers, and could reduce our revenue, increase our expenses, damage our reputation and adversely affect our cash flows and stock price.</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We rely on our information technology systems, including the sustained and uninterrupted performance of our CRM Platform, to manage numerous aspects of our business, including marketing, sales, content management, customer service and other internal operations. Our information technology systems are an essential component of our business and any disruption could significantly limit our ability to manage and operate our business efficiently.</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Our CRM Platform and its underlying infrastructure are inherently complex and may contain material defects or errors. We release modifications, updates, bug fixes and other changes to our software several times per day, without traditional human-performed quality control reviews for each release. We have from time to time found defects in our software and may discover in the future additional defects, outages, delays or cessations of service, performance and quality problems or may produce errors in</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connection with systems integrations, migration work or other causes, which could result in business disruptions and the process of remediating them could be more expensive, time-consuming, disruptive and resource intensive than planned. Such disruptions could adversely impact our internal operations and interrupt other processes. Delayed sales, lower margins or lost customers resulting from these disruptions could reduce our revenue, increase our expenses, damage our reputation and adversely affect our cash flows and stock price.</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are dependent on the continued availability of third-party data hosting and transmission services.</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A significant portion of our operating cost is from our third-party data hosting and transmission services, including Amazon Web Services (“AWS”), which hosts the substantial majority of our products and platform. If the costs for such services increase due to vendor consolidation, regulation, contract renegotiation, or otherwise, we may not be able to increase the fees for our CRM Platform or services to cover the changes, which could have a negative impact on our operating results.</w:t>
      </w:r>
      <w:r>
        <w:rPr>
          <w:rFonts w:ascii="Times New Roman" w:hAnsi="Times New Roman"/>
          <w:color w:val="000000"/>
          <w:sz w:val="2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Additionally, our customers need to be able to access our platform at any time, without interruption or degradation of performance. AWS runs its own platform that we access, and we are, therefore, vulnerable to service interruptions at AWS. We have experienced, and expect that in the future we may experience interruptions, delays and outages in service and availability due to a variety of factors, including infrastructure changes, human or software errors, website hosting disruptions and capacity constraints. In some instances, including because we do not control our service providers, we may not be able to identify the cause or causes of these problems within a period of time acceptable to our customers. Additionally, as our business continues to grow, to the extent that we do not effectively address capacity constraints, through our providers of cloud infrastructure, our results of operations may be adversely affected. In addition, any changes in service levels from our service providers may adversely affect our ability to meet our customers’ requirements, result in negative publicity which could harm our reputation and brand and may adversely affect the usage of our platform.</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If we do not or cannot maintain the compatibility of our CRM Platform with third-party applications that our customers use in their businesses, our revenue will decline.</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A significant percentage of our customers choose to integrate our platform with certain capabilities provided by third-party application providers using application programming interfaces (“APIs”) published by these providers. The functionality and popularity of our CRM Platform depends, in part, on our ability to integrate our platform with third-party applications and platforms, including CRM, CMS, e-commerce, call center, analytics and social media sites that our customers use and from which they obtain data. Third-party providers of applications and APIs may change the features of their applications and platforms, restrict our access to their applications and platforms, or alter the terms governing use of their applications and APIs and access to those applications and platforms in an adverse manner. Such changes could functionally limit or terminate our ability to use these third-party applications and platforms in conjunction with our platform, which could negatively impact our offerings and harm our business. If we fail to integrate our platform with new third-party applications and platforms that our customers use for marketing, sales, services, operations or content management purposes, or fail to renew existing relationships pursuant to which we currently provide such integration, we may not be able to offer the functionality that our customers need, which would negatively impact our ability to generate new revenue or maintain existing revenue and adversely impact our business.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rely on data provided by third parties, the loss of which could limit the functionality of our platform and disrupt our business.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Select functionality of our CRM Platform depends on our ability to deliver data, including search engine results and social media updates, provided by unaffiliated third parties, such as Facebook, Google, LinkedIn and Twitter. Some of this data is provided to us pursuant to third-party data sharing policies and terms of use, under data sharing agreements by third-party providers or by customer consent. In the future, any of these third parties could change its data sharing policies, including making them more restrictive, or alter its algorithms that determine the placement, display, and accessibility of search results and social media updates, any of which could result in the loss of, or significant impairment to, our ability to collect and provide useful data to our customers. These third parties could also interpret our, or our service providers’ data collection policies or practices as being inconsistent with their policies, which could result in the loss of our ability to collect this data for our customers. Any such changes could impair our ability to deliver data to our customers and could adversely impact select functionality of our platform, impairing the return on investment that our customers derive from using our solution, as well as adversely affecting our business and our ability to generate revenue.</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Privacy concerns and end users’ acceptance of Internet behavior tracking may limit the applicability, use and adoption of our CRM Platform.</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Privacy concerns may cause end users to resist providing the personal data necessary to allow our customers to use our platform effectively. We have implemented various features intended to enable our customers to better protect end user privacy, but these measures may not alleviate all potential privacy concerns and threats. Even the perception of privacy concerns, whether or not valid, may inhibit market adoption of our platform. Privacy advocacy groups and the technology and other industries are considering various new, additional or different self-regulatory standards that may place additional burdens on us. The costs of compliance with, and other</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burdens imposed by these groups’ policies and actions may limit the use and adoption of our CRM Platform and reduce overall demand for it, or lead to significant fines, penalties or liabilities for any noncompliance or loss of any such action.</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If our or our customers’ security measures are compromised or unauthorized access to data of our customers or their customers is otherwise obtained, our CRM Platform may be perceived as not being secure, our customers may be harmed and may curtail or cease their use of our platform, our reputation may be damaged and we may incur significant liabilities.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Our operations involve the storage and transmission of data of our customers and their customers, including personal data. Our storage is typically the sole source of record for portions of our customers’ businesses and end user data, such as initial contact information and online interactions. Security incidents could result in unauthorized access to, loss of or unauthorized disclosure of this information, litigation, indemnity obligations and other possible liabilities, as well as negative publicity, which could damage our reputation, impair our sales and harm our customers and our business. Cyber-attacks and other malicious Internet-based activity continue to increase generally, and cloud-based platform providers of marketing services have been targeted. If our security measures, or those of our service providers, are compromised as a result of third-party action, employee or customer error, malfeasance, stolen or fraudulently obtained log-in credentials or otherwise, our reputation could be damaged, our business may be harmed and we could incur significant liability. Additionally, if third parties with whom we work, such as vendors or developers, violate applicable laws, our security policies or our acceptable use policy, such violations may also put our customers’ information at risk and could in turn have an adverse effect on our business. In addition, if the security measures of our customers or our service providers are compromised, even without any actual compromise of our own systems, we may face negative publicity or reputational harm if our customers or anyone else incorrectly attributes the blame for such security breaches to us or our systems. We may be unable to anticipate or prevent techniques used to obtain unauthorized access or to sabotage systems because they change frequently and generally are not detected until after an incident has occurred. As we increase our customer base and our brand becomes more widely known and recognized, we may become more of a target for third parties seeking to compromise our security systems or gain unauthorized access to our customers’ data. Additionally, we provide extensive access to our database, which stores our customer data, to our development team to facilitate our rapid pace of product development. If such access or our own operations cause the loss, damage or destruction of our customers’ business data, their sales, lead generation, support and other business operations may be permanently harmed. As a result, our customers may bring claims against us for lost profits and other damages, or such concerns may cause us to limit access by our development team. Additionally, in certain of our subscription agreements with our customers, we agree to indemnify these customers against claims by a third party alleging our breach of confidentiality obligations or our misuse of customer data in violation of the subscription agreement.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Cyber-attacks, denial-of-service attacks, ransomware attacks, business email compromises, computer malware, viruses, and social engineering (including phishing) are prevalent in our industry, the industries of certain of our service providers and our customers' industries. Our internal computer systems and those of our current and any future strategic collaborators, vendors, and other contractors or consultants are vulnerable to damage from cyber-attacks, computer viruses, unauthorized access, natural disasters, cybersecurity threats, terrorism, geopolitical conflict, war and telecommunication and electrical failures. Accordingly, if our cybersecurity measures or those of our service providers fail to protect against unauthorized access, attacks (which may include sophisticated cyber-attacks), compromise or the mishandling of data by our employees and contractors, then our reputation, customer trust, business, results of operations and financial condition could be adversely affected. Cyber incidents have been increasing in sophistication and frequency and can include third parties gaining access to employee or customer data using stolen or inferred credentials, computer malware, viruses, spamming, phishing attacks, ransomware, card skimming code, and other deliberate attacks and attempts to gain unauthorized access. The techniques used to sabotage or to obtain unauthorized access to our platform, systems, networks, or physical facilities in which data is stored or through which data is transmitted change frequently, and we may be unable to implement adequate preventative measures or stop security breaches while they are occurring. Because the techniques used by threat actors who may attempt to penetrate and sabotage our computer systems change frequently and may not be recognized until launched against a target, we may be unable to anticipate these techniques. Additionally, as remote work and resource access expand, there is an increased risk that we may experience cybersecurity-related events such as phishing attacks, exploitation of any cybersecurity flaws that may exist, an increase in the number of cybersecurity threats or attacks, and other security challenges as a result of most of our employees and our service providers continuing to work remotely from non-corporate managed networks. There is also a risk of potential increase in such attacks due to cyberwarfare in connection with the ongoing conflict between Russia and Ukraine, and this could adversely affect our and our suppliers' ability to maintain or enhance key cybersecurity and data protection measures. We have previously been, and may in the future become, the target of cyber-attacks by third parties seeking unauthorized access to our or our customers' data, systems, or infrastructure, or to disrupt our operations or ability to provide our services.</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Additionally, it is also possible that unauthorized access to sensitive customer and business data may be obtained through inadequate use of security controls by our customers, suppliers or other vendors. Like other businesses, we rely on hardware and software supplied by third-parties and, therefore, are susceptible to supply chain attacks. Such attacks are becoming increasingly common, and we may not be able to anticipate and prevent negative impacts from such an attack. If we are impacted by a supply chain attack, we could incur liability, our competitive position could be harmed and the further development and commercialization of our product and services could be hindered or delayed.</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Recent cybersecurity incidents and compromises affecting large institutions, including an incident that affected us, suggest that the risk of such events is significant, even if privacy protection and security measures are implemented and enforced. A cyber-attack could result in a material disruption of our development programs and our business operations, whether due to a loss of our trade secrets or other proprietary information or other disruptions. These cyber-attacks could be carried out by threat actors of all types (including but not limited to nation states, organized crime, other criminal enterprises, individual actors and/or advanced persistent threat groups). In addition, we may experience intrusions on our physical premises by any of these threat actors. To the extent that any disruption or security breach were to result in a loss of, or damage to, our data or applications, or inappropriate disclosure of confidential or proprietary information, we could incur liability, incur significant costs associated with remediation and the implementation of additional security measures, including costs to deploy additional personnel and protection technologies, train employees, and engage third-party experts and consultants, and our competitive position could be harmed. Any breach, loss, or compromise of personal data may also subject us to civil fines and penalties, or claims for damages either under the General Data Protection Regulation (the “EU GDPR”), the EU GDPR as incorporated into United Kingdom law, and relevant member state law in the European Union, other foreign laws, and other relevant state and federal privacy laws in the United States.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Many governments have enacted laws requiring companies to notify individuals of data security incidents or unauthorized transfers involving certain types of personal data. In addition, the data processing agreement we execute with our customers contractually requires us to notify them of any personal data breach. Under payment card network rules and our contracts with our payment processors, if there is a breach of payment card information that we store, or that is stored by our direct payment card processing vendors, we could be liable to the payment card issuing banks for their cost of issuing new cards and related expenses. Data breaches and other data security compromises experienced by our competitors, by our customers or by us may lead to public disclosures, which may lead to widespread negative publicity. Any security compromise in our industry, whether actual or perceived, could harm our reputation, erode customer confidence in the effectiveness of our security measures, negatively impact our ability to attract new customers, cause existing customers to elect not to renew their subscriptions or subject us to third-party lawsuits, regulatory fines or other action or liability, which could materially and adversely affect our business and operating results.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There can be no assurance that any limitations of liability provisions in our contracts for a security breach would be enforceable or adequate or would otherwise protect us from any such liabilities or damages with respect to any particular claim. We also cannot be sure that our existing insurance coverage will continue to be available on acceptable terms or will be available in sufficient amounts to cover one or more large claims,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and operating results.</w:t>
      </w:r>
    </w:p>
    <w:p>
      <w:pPr>
        <w:pStyle w:val="TextBody"/>
        <w:bidi w:val="0"/>
        <w:spacing w:before="200" w:after="283"/>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Our business may suffer if it is alleged or determined that our technology infringes the intellectual property rights of others.</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The software industry is characterized by the existence of a large number of patents, copyrights, trademarks, trade secrets and other intellectual and proprietary rights. Companies in the software industry, including those in marketing software, are often required to defend against litigation claims based on allegations of infringement or other violations of intellectual property rights. Many of our competitors and other industry participants have been issued patents and/or have filed patent applications and may assert patent or other intellectual property rights within the industry.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or notices or may be the subject of claims that our services and/or platform and underlying technology infringe or violate the intellectual property rights of others. Responding to such claims, regardless of their merit, can be time consuming, costly to defend in litigation, divert management’s attention and resources, damage our reputation and brand and cause us to incur significant expenses. Our technologies may not be able to withstand any third-party claims or rights against their use. Claims of intellectual property infringement might require us to redesign our application, delay releases, enter into costly settlement or license agreements or pay costly damage awards, or face a temporary or permanent injunction prohibiting us from marketing or selling our platform. If we cannot or do not license the infringed technology on reasonable terms or at all, or substitute similar technology from another source, our revenue and operating results could be adversely impacted. Additionally, our customers may not purchase our CRM Platform if they are concerned that they may infringe third-party intellectual property rights. The occurrence of any of these events may have a material adverse effect on our business.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In certain of our subscription agreements with customers, we agree to indemnify these customers against claims by a third party alleging infringement of a valid patent, registered copyright or registered trademark. However, whether or not a subscription agreement includes an indemnity obligation in favor of a customer, there can be no assurance that customers will not assert a common law indemnity claim or that any existing limitations of liability provisions in our contracts would be enforceable or adequate, or would otherwise protect us from any such liabilities or damages with respect to any particular claim. Our customers who are accused of intellectual property infringement may in the future seek indemnification from us under common law or other legal theories. If such</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claims are successful, or if we are required to indemnify or defend our customers from these or other claims, these matters could be disruptive to our business and management and have a material adverse effect on our business, operating results and financial condition.</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If we fail to adequately protect our proprietary rights, in the United States and abroad, our competitive position could be impaired and we may lose valuable assets, experience reduced revenue and incur costly litigation to protect our rights.</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Our success is dependent, in part, upon protecting our proprietary technology. We rely on a combination of copyrights, trademarks, service marks, trade secret laws and contractual restrictions to establish and protect our proprietary rights in our products and services. However, the steps we take to protect our intellectual property may be inadequate. We will not be able to protect our intellectual property if we are unable to enforce our rights or if we do not detect unauthorized use of our intellectual property. Any of our trademarks or other intellectual property rights may be challenged by others or invalidated through administrative process or litigation. Furthermore, legal standards relating to the validity, enforceability and scope of protection of intellectual property rights are uncertain. Additionally, the intellectual property ownership and license rights, including copyright, surrounding AI technologies, which we are increasingly building into our product offerings, has not been fully addressed by U.S. courts or other federal or state laws or regulations, and the use or adoption of AI technologies in our products and services may expose us to copyright infringement or other intellectual property misappropriation claims. Despite our precautions, it may be possible for unauthorized third parties to copy our technology and use information that we regard as proprietary to create products and services that compete with ours. Some license provisions protecting against unauthorized use, copying, transfer and disclosure of our offerings may be unenforceable under the laws of certain jurisdictions and foreign countries. In addition, the laws of some countries do not protect proprietary rights to the same extent as the laws of the United States. To the extent we expand our international activities, our exposure to unauthorized copying and use of our technology and proprietary information may increase.</w:t>
      </w:r>
      <w:r>
        <w:rPr>
          <w:rFonts w:ascii="Times New Roman" w:hAnsi="Times New Roman"/>
          <w:color w:val="000000"/>
          <w:sz w:val="2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Further, these agreements may not prevent our competitors from independently developing technologies that are substantially equivalent or superior to our platform and offerings.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We may be required to spend significant resources to monitor and protect our intellectual property rights.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could delay further sales or the implementation of our platform and offerings, impair the functionality of our platform and offerings, delay introductions of new features or enhancements, result in our substituting inferior or more costly technologies into our platform and offerings, or injure our reputation.</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Our use of “open source” software could negatively affect our ability to offer our platform and subject us to possible litigation.</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A substantial portion of our cloud-based platform incorporates so-called “open source” software, and we may incorporate additional open source software in the future. Open source software is generally freely accessible, usable and modifiable. Certain open source licenses may, in certain circumstances, require us to offer the components of our platform that incorporate the open source software for no cost, that we make available source code for modifications or derivative works we create based upon, incorporating or using the open source software and that we license such modifications or derivative works under the terms of the particular open source license. If an author or other third party that distributes open source software we use were to allege that we had not complied with the conditions of one or more of these licenses, we could be required to incur significant legal expenses defending against such allegations and could be subject to significant damages, including being enjoined from the offering of the components of our platform that contained the open source software and being required to comply with the foregoing conditions, which could disrupt our ability to offer the affected software. We could also be subject to suits by parties claiming ownership of what we believe to be open source software. Litigation could be costly for us to defend, have a negative effect on our operating results and financial condition and require us to devote additional research and development resources to change our products.</w:t>
      </w:r>
    </w:p>
    <w:p>
      <w:pPr>
        <w:pStyle w:val="TextBody"/>
        <w:bidi w:val="0"/>
        <w:spacing w:before="200" w:after="283"/>
        <w:jc w:val="left"/>
        <w:rPr/>
      </w:pPr>
      <w:r>
        <w:rPr/>
        <w:t> </w:t>
      </w:r>
    </w:p>
    <w:p>
      <w:pPr>
        <w:pStyle w:val="TextBody"/>
        <w:bidi w:val="0"/>
        <w:spacing w:before="200" w:after="283"/>
        <w:jc w:val="left"/>
        <w:rPr>
          <w:rFonts w:ascii="Times New Roman" w:hAnsi="Times New Roman"/>
          <w:sz w:val="20"/>
        </w:rPr>
      </w:pPr>
      <w:r>
        <w:rPr>
          <w:rFonts w:ascii="Times New Roman" w:hAnsi="Times New Roman"/>
          <w:b/>
          <w:color w:val="000000"/>
          <w:sz w:val="20"/>
        </w:rPr>
        <w:t>Risks Related to Government Regulation</w:t>
      </w:r>
      <w:r>
        <w:rPr>
          <w:rFonts w:ascii="Times New Roman" w:hAnsi="Times New Roman"/>
          <w:color w:val="000000"/>
          <w:sz w:val="20"/>
        </w:rPr>
        <w:t xml:space="preserve">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are subject to governmental regulation and other legal obligations, particularly related to privacy, data protection and information security, and our actual or perceived failure to comply with such obligations could harm our business. Compliance with such laws could also impair our efforts to maintain and expand our customer base, and thereby decrease our revenue.</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Our handling of data is subject to a variety of laws and regulations, including regulation by various government agencies, including the U.S. Federal Trade Commission (“FTC”), and state attorneys general, and various state, local and foreign agencies, such as the California Privacy Protection Agency and EU data protection authorities. We collect personal data and other data from our customers, prospects, and partners. We also handle personal data about our customers’ customers. We use and share this information to provide services to our customers, to support, expand and improve our business.</w:t>
      </w:r>
      <w:r>
        <w:rPr>
          <w:rFonts w:ascii="Times New Roman" w:hAnsi="Times New Roman"/>
          <w:color w:val="000000"/>
          <w:sz w:val="2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The U.S. federal and various state and foreign governments have adopted or proposed limitations on the collection, processing, distribution, use, storage and safeguarding of personal data. In the United States, the FTC and many state attorneys general are applying federal and state privacy and consumer protection laws to impose standards for the online collection, use and dissemination of personal and other data. However, these obligations may be interpreted and applied in a manner that is inconsistent from one jurisdiction to another and may conflict with other requirements or our practices. Any failure or perceived failure by us to comply with privacy or data security laws, policies, legal obligations or industry standards or any security incident that results in the unauthorized, disclosure, release or transfer of personal data or other customer data may result in governmental enforcement actions, litigation, fines and penalties and/or adverse publicity, and could cause our customers to lose trust in us, which could have an adverse effect on our reputation and business.</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Laws and regulations governing privacy, data protection and cybersecurity are rapidly evolving, and changes to such laws and regulations could require us to change features of our platform or restrict our customers’ ability to collect and use email addresses, page viewing data and other personal data, which may reduce demand for our platform. Our failure to comply with federal, state and foreign privacy and cybersecurity laws and regulations could harm our ability to successfully operate our business and pursue our business goals.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For example, the California Consumer Privacy Act (the “CCPA”), as amended by the California Privacy Rights Act (the “CPRA”), among other things, require covered companies to provide new disclosures to California residents and afford such individuals the ability to opt out of the sales or sharing of their personal data. The CCPA may require us to modify our data collection or processing practices and policies and to potentially incur substantial costs and expenses in an effort to comply. In addition to increasing our potential exposure to regulatory enforcement, the CCPA also provides for violations and a limited private right of action, which may increase our exposure to civil litigation.</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Other states, including Virginia, Colorado, Utah, Connecticut, Iowa, Indiana, Montana, Tennessee, and Texas, among others, have passed comprehensive privacy and data security laws, which impose obligations on covered businesses similar – but not identical – to those under the CCPA. Such laws will enter into force in 2023 and beyond. A number of other states have proposed similar or sector specific privacy legislation,; and the U.S. Congress is considering legislation that may preempt some or all of such U.S. state privacy laws, providing a more robust private right of action. The evolving complexity of privacy and data security legislation in the U.S. may complicate our compliance efforts and further increase our risk of regulatory enforcement, penalties and litigation.</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In addition, many foreign jurisdictions in which we do business, including the European Union, Japan, United Kingdom, Canada, Australia, and others have laws and regulations dealing with the collection and use of personal data obtained from their residents, which are more restrictive in certain respects than those in the U.S. Laws and regulations in these jurisdictions apply broadly to the collection, use, storage, disclosure and security of personal data that identifies or may be used to identify an individual. In relevant part, these foreign laws and regulations may affect our ability to engage in lead generation activities by imposing heightened requirements, such as affirmative opt-ins or other consent prior to sending commercial correspondence, obtaining leads or engaging in electronic tracking activities that aid our marketing and business intelligence. We may be required to modify our policies, procedures, and data processing measures in order to address requirements under these or other privacy, data protection, or cyber security regimes, and may face claims, litigation, investigations, or other proceedings regarding them and may incur related liabilities, expenses, costs, and operational losses.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Within the European Union, the EU GDPR, and in the United Kingdom, the EU GDPR as incorporated into the laws of the United Kingdom (the “UK GDPR” together with the EU GDPR, the “GDPR”), impose heightened obligations and risk upon our business and may substantially increase the penalties to which we could be subject in the event of any non-compliance. Non-compliance with the GDPR and the related national data protection laws of the European Union Member States may result in monetary penalties of up to €20 million (£17.5 million) or 4% of worldwide annual revenue, whichever is higher.</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The proliferation of privacy and data protection laws has heightened risks and uncertainties concerning cross-border transfers of personal data and other data, which could impose significant compliance costs and expenses on our business, increase our potential exposure to regulatory enforcement and/or litigation, and have a negative effect on our existing business and on our ability to attract and retain new customers. To enable the transfer of personal data outside of the European Union or United Kingdom, adequate safeguards must be implemented in compliance with data protection laws. On June 4, 2021, the European Commission published new versions of its Standard Contractual Clauses (“SCCs”), which are required for all transfers of personal data from the European Union to third countries (including the U.S). The United Kingdom is not subject to the new SCCs but has its own equivalent, being the international data transfer agreement and/or UK Addendum (“IDTAs”). The IDTAs must be entered into for new contracts, but allow for a transition period until March 21, 2024 for existing contracts. Our customer agreements include the updated SCCs and UK</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IDTAs. We are in the process of transitioning to the IDTAs for existing contracts, and doing so will require significant effort and cost. Under the new SCCs and IDTAs, companies are also required to assess the risk of a data transfer on a case-by-case basis by undertaking a transfer impact assessment, and may be required to adopt additional measures to accomplish transfers of personal data to United States and other third countries. There continue to be concerns about whether the SCCs will face additional challenges.</w:t>
      </w:r>
      <w:r>
        <w:rPr>
          <w:rFonts w:ascii="Times New Roman" w:hAnsi="Times New Roman"/>
          <w:color w:val="000000"/>
          <w:sz w:val="2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On July 10, 2023, the European Commission approved the EU-U.S. Data Privacy Framework (“DPF”) to support transfers of personal data from the EU to companies in the U.S. Because we have maintained our certification under the previously invalidated Privacy Shield, we have now automatically become subject to the DPF and are required to maintain policies and procedures to comply with the DPF principles. We may be subject to regulatory enforcement by the FTC if we are found to be noncompliant with any of the DPF principles, and this regulatory enforcement may lead to significant civil penalties.</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Until the remaining legal uncertainties regarding SCCs, DPF and other transfer mechanisms are settled, we will continue to face uncertainty as to whether our customers will be permitted to transfer personal data to the United States for processing by us as part of our platform services. Our customers may view data transfer mechanisms as being too costly, too burdensome, too legally uncertain or otherwise objectionable and therefore decide not to do business with us.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We publicly post documentation regarding our practices concerning the collection, processing, use and disclosure of data. Although we endeavor to comply with our published policies and documentation, we may at times fail to do so or be alleged to have failed to do so. Any failure or perceived failure by us to comply with our privacy policies or any applicable privacy, security or data protection, information security or consumer-protection related laws, regulations, orders or industry standards could expose us to costly litigation, significant awards, fines or judgments, civil and/or criminal penalties or negative publicity, and could materially and adversely affect our business, financial condition and results of operations. The publication of our privacy policy and other documentation that provide promises and assurances about privacy and security can subject us to potential state and federal action if they are found to be deceptive, unfair, or misrepresentative of our actual practices, which could, individually or in the aggregate, materially and adversely affect our business, financial condition and results of operations.</w:t>
      </w:r>
      <w:r>
        <w:rPr>
          <w:rFonts w:ascii="Times New Roman" w:hAnsi="Times New Roman"/>
          <w:color w:val="000000"/>
          <w:sz w:val="2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If our privacy or data security measures fail to comply with current or future laws and regulations, we may be subject to claims, legal proceedings or other actions by individuals or governmental authorities based on privacy or data protection regulations and our commitments to customers or others, as well as negative publicity and a potential loss of business. Moreover, if future laws and regulations limit our subscribers’ ability to use and share personal data or our ability to store, process and share personal data, demand for our solutions could decrease, our costs could increase, and our business, results of operations and financial condition could be harmed.</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Separately, as the regulatory framework for machine learning technology and AI evolves, it is possible that new laws and regulations will be adopted, or that existing laws and regulations may be interpreted in ways that would affect our business and the ways in which we use AI and machine learning technology, our financial condition and our results of operations, including as a result of the cost to comply with such laws or regulations. Further, potential government regulation related to AI use and ethics may also increase the burden and cost of research and development in this area, and failure to properly remediate AI usage or ethics issues may cause public confidence in AI to be undermined, which could slow adoption of AI in our products and services.</w:t>
      </w:r>
      <w:r>
        <w:rPr>
          <w:rFonts w:ascii="Times New Roman" w:hAnsi="Times New Roman"/>
          <w:color w:val="000000"/>
          <w:sz w:val="20"/>
        </w:rPr>
        <w:t xml:space="preserve">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could face liability, or our reputation might be harmed, as a result of the activities of our customers, the content of their websites or the data they store on our servers.</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As a provider of a cloud-based inbound marketing, sales and customer service software platform, we may be subject to potential liability for the activities of our customers on or in connection with the data they store on our servers. Although our customer terms of use prohibit illegal use of our services by our customers and permit us to take down websites or take other appropriate actions for illegal use, customers may nonetheless engage in prohibited activities or upload or store content with us in violation of applicable law or the customer’s own policies, which could subject us to liability or harm our reputation. Furthermore, customers may upload, store, or use content on our CRM Platform that may violate our policy on acceptable use which prohibits content that is threatening, abusive, harassing, deceptive, false, misleading, vulgar, obscene, or indecent. While such content may not be illegal, use of our CRM Platform for such content could harm our reputation resulting in a loss of business.</w:t>
      </w:r>
      <w:r>
        <w:rPr>
          <w:rFonts w:ascii="Times New Roman" w:hAnsi="Times New Roman"/>
          <w:color w:val="000000"/>
          <w:sz w:val="2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Several U.S. federal statutes may apply to us with respect to various customer activities: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 xml:space="preserve">The Digital Millennium Copyright Act of 1998 ("DMCA"), provides recourse for owners of copyrighted material who believe that their rights under U.S. copyright law have been infringed on the Internet. Under the DMCA, based on our current business activity as an Internet service provider that does not own or control website content posted by our customers, we generally are not liable for infringing content posted by our customers or other third parties, provided that we follow the procedures for handling copyright infringement claims set forth in the DMCA. Generally, if we receive a proper notice from, or on behalf, of a copyright owner alleging infringement of copyrighted material located on websites we host, and we fail to expeditiously remove or disable access to the allegedly infringing material or otherwise fail to meet the requirements of the safe harbor provided by the DMCA, the copyright owner may seek to impose liability on us.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Technical mistakes in complying with the detailed DMCA take-down procedures could subject us to liability for copyright infringement.</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 xml:space="preserve">The Communications Decency Act of 1996 ("CDA"), generally protects online service providers, such as us, from liability for certain activities of their customers, such as the posting of defamatory or obscene content, unless the online service provider is participating in the unlawful conduct. Under the CDA, we are generally not responsible for the customer-created content hosted on our servers. Consequently, we do not monitor hosted websites or prescreen the content placed by our customers on their sites. However, the CDA does not apply in foreign jurisdictions and we may nonetheless be brought into disputes between our customers and third parties which would require us to devote management time and resources to resolve such matters and any publicity from such matters could also have an adverse effect on our reputation and therefore our business.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In addition to the CDA, the Securing the Protection of our Enduring and Established Constitutional Heritage Act (the "SPEECH Act"), provides a statutory exception to the enforcement by a U.S. court of a foreign judgment for defamation under certain circumstances. Generally, the exception applies if the defamation law applied in the foreign court did not provide at least as much protection for freedom of speech and press as would be provided by the First Amendment of the U.S. Constitution or by the constitution and law of the state in which the U.S. court is located, or if no finding of defamation would be supported under the First Amendment of the U.S. Constitution or under the constitution and law of the state in which the U.S. court is located. Although the SPEECH Act may protect us from the enforcement of foreign judgments in the United States, it does not affect the enforceability of the judgment in the foreign country that issued the judgment. Given our international presence, we may therefore, nonetheless, have to defend against or comply with any foreign judgments made against us, which could take up substantial management time and resources and damage our reputation.</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Although these statutes and case law in the United States have generally shielded us from liability for customer activities to date, court rulings in pending or future litigation may narrow the scope of protection afforded us under these laws. In addition, laws governing these activities are unsettled in many international jurisdictions, or may prove difficult or impossible for us to comply with in some international jurisdictions. Also, notwithstanding the exculpatory language of these bodies of law, we may become involved in complaints and lawsuits which, even if ultimately resolved in our favor, add cost to our doing business and may divert management’s time and attention. Finally, other existing bodies of law, including the criminal laws of various states, may be deemed to apply or new statutes or regulations may be adopted in the future, any of which could expose us to further liability and increase our costs of doing business.</w:t>
      </w:r>
      <w:r>
        <w:rPr>
          <w:rFonts w:ascii="Times New Roman" w:hAnsi="Times New Roman"/>
          <w:color w:val="000000"/>
          <w:sz w:val="2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Additionally, Payments, our end-to-end payment solution built natively as part of our CRM Platform, is susceptible to potentially illegal or improper uses, including money laundering, terrorist financing, fraudulent or illegal sales of goods or services, piracy of software, movies, music, and other copyrighted or trademarked information, bank fraud, securities fraud, pyramid or ponzi schemes, or the facilitation of other illegal or improper activity. While we engage a third party as our registered payment facilitator, the use of Payments for illegal or improper uses may subject us to claims (including claims brought by our third-party payment processor), government and regulatory requests, inquiries, or investigations that could result in liability, and harm our reputation. Moreover, certain activity that may be legal in one jurisdiction may be illegal in another jurisdiction, and a merchant may be found responsible for intentionally or inadvertently importing or exporting illegal goods, resulting in liability for us. Owners of intellectual property rights or government authorities may seek to bring legal action against providers of payments solutions, including Payments, that are peripherally involved in the sale of infringing or allegedly infringing items. Any threatened or resulting claims could result in reputational harm, and any resulting liabilities, loss of transaction volume, or increased costs could harm our business.</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If Payments is used for illegal or improper uses, we may incur substantial losses as a result of claims from merchants and consumers. Allowances for transaction losses that we have established may be insufficient to cover incurred losses. Moreover, if measures to detect and reduce the risk of fraud are not effective and our loss rate is higher than anticipated, Payments and our business could be negatively impacted.</w:t>
      </w:r>
      <w:r>
        <w:rPr>
          <w:rFonts w:ascii="Times New Roman" w:hAnsi="Times New Roman"/>
          <w:color w:val="000000"/>
          <w:sz w:val="20"/>
        </w:rPr>
        <w:t xml:space="preserve">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The standards that private entities use to regulate the use of email have in the past interfered with, and may in the future interfere with, the effectiveness of our CRM Platform and our ability to conduct business.</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Our customers rely on email to communicate with their existing or prospective customers. Various private entities attempt to regulate the use of email for commercial solicitation. These entities often advocate standards of conduct or practice that significantly exceed current legal requirements and classify certain email solicitations that comply with current legal requirements as spam. Some of these entities maintain “blacklists” of companies and individuals, and the websites, internet service providers and internet protocol addresses associated with those entities or individuals that do not adhere to those standards of conduct or practices for commercial email solicitations that the blacklisting entity believes are appropriate. If a company’s internet protocol addresses are listed by a blacklisting entity, emails sent from those addresses may be blocked if they are sent to any internet domain or internet address that subscribes to the blacklisting entity’s service or purchases its blacklist.</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From time to time, some of our internet protocol addresses may become listed with one or more blacklisting entities due to the messaging practices of our customers. There can be no guarantee that we will be able to successfully remove ourselves from those lists. Blacklisting of this type could interfere with our ability to market our CRM Platform and services and communicate with our customers and, because we fulfill email delivery on behalf of our customers, could undermine the effectiveness of our customers’ email marketing campaigns, all of which could have a material negative impact on our business and results of operations.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Existing federal, state and foreign laws regulate Internet tracking software, the senders of commercial emails and text messages, website owners and other activities, and could impact the use of our CRM Platform and potentially subject us to regulatory enforcement or private litigation.</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Certain aspects of how our customers utilize our platform are subject to regulations in the United States, European Union and elsewhere. In recent years, U.S. and European lawmakers and regulators have expressed concern over the use of third-party cookies or web beacons for online behavioral advertising, and legislation adopted recently in the European Union requires informed consent for the placement of a cookie on a user’s device. Regulation of cookies and web beacons may lead to restrictions on our activities, such as efforts to understand users’ Internet usage. New and expanding “Do Not Track” regulations have recently been enacted or proposed that protect users’ right to choose whether or not to be tracked online. These regulations seek, among other things, to allow end users to have greater control over the use of private information collected online, to forbid the collection or use of online information, to demand a business to comply with their choice to opt out of such collection or use, and to place limits upon the disclosure of information to third-party websites. These policies could have a significant impact on the operation of our CRM Platform and could impair our attractiveness to customers, which would harm our business.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Many of our customers and potential customers in the healthcare, financial services and other industries are subject to substantial regulation regarding their collection, use and protection of data and may be the subject of further regulation in the future. Accordingly, these laws or significant new laws or regulations or changes in, or repeals of, existing laws, regulations or governmental policy may change the way these customers do business and may require us to implement additional features or offer additional contractual terms to satisfy customer and regulatory requirements, or could cause the demand for and sales of our CRM Platform to decrease and adversely impact our financial results.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In addition, the Controlling the Assault of Non-Solicited Pornography and Marketing Act of 2003 ("CAN-SPAM Act"), establishes certain requirements for commercial email messages and specifies penalties for the transmission of commercial email messages that are intended to deceive the recipient as to source or content. The CAN-SPAM Act, among other things, obligates the sender of commercial emails to provide recipients with the ability to opt out of receiving future commercial emails from the sender. The ability of our customers’ message recipients to opt out of receiving commercial emails may minimize the effectiveness of the email components of our CRM Platform. In addition, certain states and foreign jurisdictions, such as Australia, Canada and the European Union, have enacted laws that regulate sending email, and some of these laws are more restrictive than U.S. laws. For example, some foreign laws prohibit sending unsolicited email unless the recipient has provided the sender advance consent to receipt of such email, or in other words has “opted-in” to receiving it. A requirement that recipients opt into, or the ability of recipients to opt out of, receiving commercial emails may minimize the effectiveness of our platform.</w:t>
      </w:r>
      <w:r>
        <w:rPr>
          <w:rFonts w:ascii="Times New Roman" w:hAnsi="Times New Roman"/>
          <w:color w:val="000000"/>
          <w:sz w:val="2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While these laws and regulations generally govern our customers’ use of our CRM Platform, we may be subject to certain laws as a data processor on behalf of, or as a business associate of, our customers. For example, laws and regulations governing the collection, use and disclosure of personal data include, in the United States, rules and regulations promulgated under the authority of the Federal Trade Commission, the Health Insurance Portability and Accountability Act of 1996, the Gramm-Leach-Bliley Act of 1999 and state breach notification laws, and internationally, the GDPR and other privacy and data protection laws. If we were found to be in violation of any of these laws or regulations as a result of government enforcement or private litigation, we could be subjected to civil and criminal sanctions, including both monetary fines and injunctive action that could force us to change our business practices, all of which could adversely affect our financial performance and significantly harm our reputation and our business.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are subject to governmental export controls and economic sanctions laws that could impair our ability to compete in international markets and subject us to liability if we are not in full compliance with applicable laws.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Our business activities are subject to various restrictions under U.S. export controls and trade and economic sanctions laws, including the U.S. Commerce Department’s Export Administration Regulations and economic and trade sanctions regulations maintained by the U.S. Treasury Department’s Office of Foreign Assets Control. If we fail to comply with these laws and regulations, we and certain of our employees could be subject to civil or criminal penalties and reputational harm. Obtaining the necessary authorizations, including any required license, for a particular transaction may be time-consuming, is not guaranteed, and may result in the delay or loss of sales opportunities. Furthermore, U.S. export control laws and economic sanctions laws prohibit certain transactions with U.S. embargoed or sanctioned countries, governments, persons and entities. These sanctions laws with which we must comply may also change rapidly from time to time as a result of geopolitical events, such as the recent imposition of sanctions on Russia as a result of the conflict between Russia and Ukraine. Although we take precautions to prevent transactions with U.S. sanction targets, the possibility exists that we could inadvertently provide our solutions to persons prohibited by U.S. sanctions. This could result in negative consequences to us, including government investigations, penalties and reputational harm.</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Risks Related to Taxation</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may be subject to additional obligations to collect and remit sales tax and other taxes, and we may be subject to tax liability for past sales, which could harm our business.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State, local, and non-U.S. jurisdictions have differing rules and regulations governing sales, use, value added, digital service, and other taxes, and these rules and regulations are subject to varying interpretations that may change over time. In particular, the applicability of such taxes to our CRM Platform in various jurisdictions can be unclear. Further, these jurisdictions’ rules regarding tax nexus are complex and vary significantly. As a result, we could face the possibility of tax assessments and audits, and our liability for these taxes and associated penalties could exceed our original estimates. A successful assertion that we should be collecting additional sales, use, value added or other taxes in those jurisdictions where we have not historically done so and do not accrue for such taxes could result in substantial tax liabilities and related penalties for past sales, discourage customers from purchasing our application or otherwise harm our business and operating results.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Changes in tax laws or regulations that are applied adversely to us or our customers could increase the costs of our CRM Platform and adversely impact our business.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New income, sales, use or other tax laws, statutes, rules, regulations or ordinances could be enacted at any time. Any new taxes could adversely affect our domestic and international business operations, and our business and financial performance. Further, existing tax laws, statutes, rules, regulations or ordinances could be interpreted, changed, modified or applied adversely to us. These events could require us or our customers to pay additional tax amounts on a prospective or retroactive basis, as well as require us or our customers to pay fines and/or penalties and interest for past amounts deemed to be due. If we raise our prices to offset the costs of these changes, existing and potential future customers may elect not to continue or purchase our CRM Platform in the future. Additionally, new, changed, modified or newly interpreted or applied tax laws could increase our customers’ and our compliance, operating and other costs, as well as the costs of our platform. Any or all of these events could adversely impact our business, cash flows and financial performance. Furthermore, as our employees continue to work remotely from geographic locations across the United States and internationally, we may become subject to additional taxes and our compliance burdens with respect to the tax laws of additional jurisdictions may increase.</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are a multinational organization faced with increasingly complex tax issues in many jurisdictions, and we could be obligated to pay additional taxes in various jurisdictions.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As a multinational organization,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or challenges to our tax positions by tax authorities, any of which could have a material adverse effect on our liquidity, financial condition or operating results. In addition, the authorities in these jurisdictions could review our tax returns and impose additional tax, interest and penalties, and the authorities could claim that various withholding requirements apply to us or our subsidiaries or assert that benefits of tax treaties are not available to us or our subsidiaries, or assert that we are subject to tax in a jurisdiction where we believe we have not established a taxable nexus, often referred to as a “permanent establishment” under international tax treaties, any of which could have a material impact on us, our financial condition or our operating results.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may not be able to utilize a significant portion of our net operating loss carryforwards, which could adversely affect our profitability.</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We have incurred losses during our history and do not expect to become profitable in the near future, and we may never achieve profitability. As of December 31, 2022, we had $960.7 million of U.S. federal and $677.0 million of state net operating loss carryforwards due to prior period losses, which, if not utilized, some of which will begin to expire in 2027 for federal purposes and begin to expire in 2023 for state purposes. These net operating loss carryforwards could expire unused and be unavailable to offset future income tax liabilities, which could adversely affect our profitability. Under current law, U.S federal and certain state net operating loss carryforwards incurred for periods beginning on or after January 1, 2018 would not expire unused because they can be carried forward indefinitely. Our unused U.S. federal net operating losses arising in taxable years beginning after December 31, 2017 and before January 1, 2021 may generally be carried back to each of the five taxable years preceding the tax year of such losses, but those losses arising in taxable years beginning after December 31, 2017 may not be carried back. Moreover, for taxable years beginning after December 31, 2017, the deductibility of our U.S. federal net operating losses is limited to 80% of our taxable income in any future taxable year. States have varying carryback and carryforward periods. Moreover, certain states have enacted rules that limit the utilization of loss carryforwards, which also change from time-to-time. In addition, under Section 382 and Section 383 of the Internal Revenue Code of 1986, as amended, which we refer to as the Code, our ability to utilize net operating loss carryforwards or other tax attributes, such as research tax credits, in any taxable year may be further limited if we experience an “ownership change.”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An ownership change generally occurs if one or more stockholders or groups of stockholders who own at least 5% of our stock increase their ownership by more than 50 percentage points over their lowest ownership percentage (by value) within a rolling three-year period. Similar rules may apply under state tax laws. We may have experienced an ownership change in the past, and future issuances of our stock could cause an ownership change. It is possible that any such ownership change could have a material effect on the use of our net operating loss carryforwards or other tax attributes accrued prior to such ownership change, which could adversely affect our profitability.</w:t>
      </w:r>
      <w:r>
        <w:rPr>
          <w:rFonts w:ascii="Times New Roman" w:hAnsi="Times New Roman"/>
          <w:color w:val="000000"/>
          <w:sz w:val="20"/>
        </w:rPr>
        <w:t xml:space="preserve"> </w:t>
      </w:r>
    </w:p>
    <w:p>
      <w:pPr>
        <w:pStyle w:val="TextBody"/>
        <w:bidi w:val="0"/>
        <w:spacing w:before="200" w:after="283"/>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Risks Related to Our Operating Results and Financial Condition</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have a history of losses and may not achieve profitability in the future.</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We generated net losses of $162.7 million and $97.1 million for the nine months ended September 30, 2023 and 2022, respectively. As of September 30, 2023, we had an accumulated deficit of $805.1 million. We will need to generate and sustain increased revenue levels in future periods to become profitable, and, even if we do, we may not be able to maintain or increase our level of profitability. We have spent and intend to continue to expend significant funds on our marketing, sales, customer service, operations, and content management operations, develop and enhance our CRM Platform, scale our data center infrastructure and services capabilities and expand into new markets. Our efforts to grow our business may be more costly than we expect, and we may not be able to increase our revenue enough to offset our higher operating expenses. We may incur significant losses in the future for a number of reasons, including the other risks described in this Quarterly Report on Form 10-Q, and unforeseen expenses, difficulties, complications and delays and other unknown events. If we are unable to achieve and sustain profitability, the market price of our common stock may significantly decrease.</w:t>
      </w:r>
      <w:r>
        <w:rPr>
          <w:rFonts w:ascii="Times New Roman" w:hAnsi="Times New Roman"/>
          <w:color w:val="000000"/>
          <w:sz w:val="20"/>
        </w:rPr>
        <w:t xml:space="preserve">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From time to time, we may invest funds in social impact investment funds, and may receive no return on our investment or lose our entire investment.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From time to time, we may invest in social impact investment funds. As of September 30, 2023, we have invested $8.5 million in the Black Economic Development Fund and $7.5 million in support of Minority Depository Institutions to help close the racial wealth, health and opportunity gap. There is no guarantee as to the performance of this investment or any similar investments we make in the future. Depending on the performance of this investment and future investments we may make, we may not receive any return on our investment or we may lose our entire investment, which could have an adverse effect on our business.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may experience quarterly fluctuations in our operating results due to a number of factors, which makes our future results difficult to predict and could cause our operating results to fall below expectations or our guidance.</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Our quarterly operating results have fluctuated in the past and are expected to fluctuate in the future due to a variety of factors, many of which are outside of our control. As a result, our past results may not be indicative of our future performance, and comparing our operating results on a period-to-period basis may not be meaningful. In addition to the other risks described in this Quarterly Report on Form 10-Q, factors that may affect our quarterly operating results include the following:</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changes in spending on marketing, sales, customer service, operations and content management software by our current or prospective customers;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pricing our CRM Platform subscriptions effectively so that we are able to attract and retain customers without compromising our profitability;</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attracting new customers for our marketing, sales, customer service, operations, and content management software, increasing our existing customers’ use of our platform and providing our customers with excellent customer support;</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customer renewal rates and the amounts for which agreements are renewed;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 xml:space="preserve">global awareness of our thought leadership and brand;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 xml:space="preserve">changes in the competitive dynamics of our market, including consolidation among competitors or customers and the introduction of new products or product enhancements;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changes to the commission plans, quotas and other compensation-related metrics for our sales representatives;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 xml:space="preserve">the amount and timing of payment for operating expenses, particularly research and development, sales and marketing expenses and employee benefit expenses;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the amount and timing of costs associated with recruiting, training and integrating new employees while maintaining our company culture;</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our ability to manage our existing business and future growth, including increases in the number of customers on our platform and the introduction and adoption of our CRM Platform in new markets outside of the United States;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unforeseen costs and expenses related to the expansion of our business, operations and infrastructure, including disruptions in our hosting network infrastructure and privacy and data security;</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 xml:space="preserve">foreign currency exchange rate fluctuations;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rising inflation in the economies in which we operate and our ability to control costs, including operating expenses; and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general economic and political conditions in our domestic and international markets.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We may not be able to accurately forecast the amount and mix of future subscriptions, revenue and expenses and, as a result, our operating results may fall below our estimates or the expectations of public market analysts and investors. If our revenue or operating results fall below the expectations of investors or securities analysts, or below any guidance we may provide, the price of our common stock could decline.</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If we do not accurately predict subscription renewal rates or otherwise fail to forecast our revenue accurately, or if we fail to match our expenditures with corresponding revenue, our operating results could be adversely affected.</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Because our recent growth has resulted in the rapid expansion of our business, we do not have a long history upon which to base forecasts of renewal rates with customers or future operating revenue. As a result, our operating results in future reporting periods may be significantly below the expectations of the public market, equity research analysts or investors, which could harm the price of our common stock.</w:t>
        <w:br/>
      </w:r>
      <w:r>
        <w:rPr>
          <w:rFonts w:ascii="Times New Roman" w:hAnsi="Times New Roman"/>
          <w:color w:val="000000"/>
          <w:sz w:val="20"/>
        </w:rPr>
        <w:t> </w:t>
      </w:r>
    </w:p>
    <w:p>
      <w:pPr>
        <w:pStyle w:val="TextBody"/>
        <w:bidi w:val="0"/>
        <w:jc w:val="left"/>
        <w:rPr>
          <w:rFonts w:ascii="Times New Roman" w:hAnsi="Times New Roman"/>
          <w:sz w:val="20"/>
        </w:rPr>
      </w:pPr>
      <w:r>
        <w:rPr>
          <w:rFonts w:ascii="Times New Roman" w:hAnsi="Times New Roman"/>
          <w:b/>
          <w:i/>
          <w:color w:val="000000"/>
          <w:sz w:val="20"/>
        </w:rPr>
        <w:t>Changes in accounting standards and subjective assumptions, estimates and judgments by management related to complex accounting matters could significantly affect our financial condition and results of operations.</w:t>
      </w:r>
      <w:r>
        <w:rPr>
          <w:rFonts w:ascii="Times New Roman" w:hAnsi="Times New Roman"/>
          <w:color w:val="000000"/>
          <w:sz w:val="2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We apply accounting principles and related pronouncements, implementation guidelines and interpretations to a wide range of matters that are relevant to our business, are highly complex and involve subjective assumptions, estimates and judgments by our management. Changes in these rules or their interpretation, or changes in underlying assumptions, estimates or judgments by our management, could significantly change our reported or expected financial performance.</w:t>
      </w:r>
    </w:p>
    <w:p>
      <w:pPr>
        <w:pStyle w:val="TextBody"/>
        <w:bidi w:val="0"/>
        <w:spacing w:before="200" w:after="283"/>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Risks Related to Our Notes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Servicing our debt may require a significant amount of cash. We may not have sufficient cash flow from our business to pay our indebtedness, and we may not have the ability to raise the funds necessary to settle for cash conversions of the Notes or to repurchase the Notes for cash upon a fundamental change, which could adversely affect our business and results of operations.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In June 2020, we incurred indebtedness in the aggregate principal amount of $460.0 million in connection with the issuance of our 0.375% convertible senior notes due June 1, 2025 (the “2025 Notes”). Our ability to make scheduled payments of the principal of, to pay interest on or to refinance our indebtedness, including the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debt financing or equity capital on terms that may be onerous or highly dilutive. Our ability to refinance any future indebtedness will depend on the capital markets and our financial condition at such time. We may not be able to engage in any of these activities or engage in these activities on desirable terms, which could result in a default on our debt obligations. In addition, any of our future debt agreements may contain restrictive covenants that may prohibit us from adopting any of these alternatives. Our failure to comply with these covenants could result in an event of default which, if not cured or waived, could result in the acceleration of our debt.</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In addition, holders of the Notes have the right to require us to repurchase their Notes upon the occurrence of a fundamental change at a fundamental change repurchase price equal to 100% of the principal amount of the Notes to be repurchased, plus accrued and unpaid interest, if any. Upon conversion of the Notes, unless we elect to deliver solely shares of our common stock to settle such conversion (other than paying cash in lieu of delivering any fractional share), we will be required to make cash payments in respect of the Notes being converted. We may not have enough available cash or be able to obtain financing at the time we are required to make repurchases of Notes surrendered therefor or Notes being converted. In addition, our ability to repurchase the Notes or to pay cash</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upon conversions of the Notes may be limited by law, by regulatory authority or by agreements governing our future indebtedness. Our failure to repurchase Notes at a time when the repurchase is required by the indenture governing the notes or to pay any cash payable on future conversions of the Notes as required by such indenture would constitute a default under such indenture. A default under the indenture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Notes or make cash payments upon conversions thereof.</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In addition, our indebtedness, combined with our other financial obligations and contractual commitments, could have other important consequences. For example, it could: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make us more vulnerable to adverse changes in general U.S. and worldwide economic, industry and competitive conditions and adverse changes in government regulation;</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limit our flexibility in planning for, or reacting to, changes in our business and our industry;</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place us at a disadvantage compared to our competitors who have less debt; and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limit our ability to borrow additional amounts to fund acquisitions, for working capital and for other general corporate purposes.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Any of these factors could materially and adversely affect our business, financial condition and results of operations. In addition, if we incur additional indebtedness, the risks related to our business and our ability to service or repay our indebtedness would increase.</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The conditional conversion feature of the Notes, if triggered, may adversely affect our financial condition and operating results.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In the event the conditional conversion feature of the 2025 Notes is triggered, the holders thereof will be entitled to convert the 2025 Notes respectively, at any time during specified periods at their option.</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Because the last reported sale price of the Company’s common stock for at least 20 trading days during the period of 30 consecutive trading days ending on the last trading day of the calendar quarter ended September 30, 2023 was equal to or greater than 130% of the applicable conversion price on each applicable trading day, the 2025 Notes are convertible at the option of the holders thereof during the calendar quarter ending September 30, 2023. As of November 3, 2023, the Company has not received any material conversion notices with respect to the 2025 Notes. Whether the Notes that remain outstanding will be convertible following the calendar quarter ended September 30, 2023 will depend on the continued satisfaction of this condition or another conversion condition in the future. If one or more holders elect to convert their Notes, unless we elect to satisfy our conversion obligation by delivering solely shares of our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Notes, we could be required under applicable accounting rules to reclassify all or a portion of the outstanding principal of the Notes as a current rather than long-term liability, which would result in a material reduction of our net working capital.</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The accounting method for convertible debt securities that may be settled in cash, such as the Notes, could have a material effect on our reported financial results.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In August 2020, the FASB issued guidance simplifying the accounting for convertible instruments by reducing the number of accounting models for convertible debt instruments and convertible preferred stock. The new standard eliminates requirements to separately account for liability and equity components of such convertible debt instruments and requires the use of the if-converted method for calculating the diluted earnings per share for convertible debt instruments. We adopted the guidance on January 1, 2022, using the modified retrospective method. Future interest expense of the convertible notes will be lower as a result of adoption of this guidance and net loss per share will be computed using the if-converted method for these securities.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The if-converted method assumes that all of the Notes were converted solely into shares of common stock at the beginning of the reporting period, unless the result would be anti-dilutive. The application of the if-converted method may reduce our reported diluted net income per share to the extent we are profitable, and accounting standards may change in the future in a manner that may otherwise adversely affect our diluted net income per share.</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are subject to counterparty risk with respect to the Capped Call Options.</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In connection with the offering of the 2025 Notes, we purchased capped call options (“Capped Call Options”) with respect to our common stock for $50.6 million. The counterparties to the Capped Call Options are financial institutions, and we will be subject to the risk that one or more of the counterparties may default, fail to perform or exercise their termination rights under the Capped Call</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Options. Global economic conditions have, from time to time, resulted in the actual or perceived failure or financial difficulties of many financial institutions. If a counterparty to the Capped Call Options becomes subject to insolvency proceedings, we will become an unsecured creditor in those proceedings with a claim equal to our exposure at the time under such transaction. In addition, upon a default, failure to perform or a termination of the Capped Call Options by a counterparty, we may suffer more dilution than we currently anticipate with respect to our common stock. We can provide no assurances as to the financial stability or viability of the counterparties.</w:t>
      </w:r>
    </w:p>
    <w:p>
      <w:pPr>
        <w:pStyle w:val="TextBody"/>
        <w:bidi w:val="0"/>
        <w:spacing w:before="200" w:after="283"/>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Risks Related to Our Common Stock</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Our stock price may be volatile and you may be unable to sell your shares at or above the price you purchased them.</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The trading prices of the securities of technology companies, including providers of software via the cloud-based model, have been highly volatile. Since shares of our common stock were sold in our initial public offering in October 2014 at a price of $25.00 per share, our stock price has ranged from $25.79 to $866.00 through September 30, 2023. The market price of our common stock may fluctuate significantly in response to numerous factors, many of which are beyond our control, including:</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actual or anticipated fluctuations in our revenue and other operating results, including as a result of the addition or loss of any number of customers;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announcements by us or our competitors of significant technical innovations, acquisitions, strategic partnerships, joint ventures or capital commitments;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the financial projections we may provide to the public, any changes in these projections or our failure to meet these projections;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failure of securities analysts to initiate or maintain coverage of us, changes in ratings and financial estimates and the publication of other news by any securities analysts who follow our company, or our failure to meet these estimates or the expectations of investors;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changes in operating performance and stock market valuations of cloud-based software or other technology companies, or those in our industry in particular;</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price and volume fluctuations in the trading of our common stock and in the overall stock market, including as a result of trends in the economy as a whole;</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sales of large blocks of our common stock or the dilutive effect of our Notes or any other equity or equity-linked financings;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new laws or regulations or new interpretations of existing laws or regulations applicable to our business or industry, including data privacy and data security;</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lawsuits threatened or filed against us;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changes in key personnel; and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 xml:space="preserve">other events or factors, including changes in general economic, industry and market conditions and trends, international disputes, wars (such as the conflict between Russia and Ukraine and the evolving events in Israel and Gaza), and political stability.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In addition, the stock markets have experienced extreme price and volume fluctuations that have affected and continue to affect the market prices of equity securities of many technology companies. Stock prices of many technology companies have fluctuated in a manner unrelated or disproportionate to the operating performance of those companies.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pStyle w:val="TextBody"/>
        <w:bidi w:val="0"/>
        <w:spacing w:before="200" w:after="283"/>
        <w:jc w:val="left"/>
        <w:rPr>
          <w:rFonts w:ascii="Times New Roman" w:hAnsi="Times New Roman"/>
          <w:sz w:val="20"/>
        </w:rPr>
      </w:pPr>
      <w:r>
        <w:rPr>
          <w:rFonts w:ascii="Times New Roman" w:hAnsi="Times New Roman"/>
          <w:b/>
          <w:i/>
          <w:color w:val="000000"/>
          <w:sz w:val="20"/>
        </w:rPr>
        <w:t>If we fail to maintain an effective system of disclosure controls and internal control over financial reporting, our ability to produce timely and accurate financial statements or comply with applicable regulations could be impaired.</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As a public company we are subject to the reporting requirements of the Securities Exchange Act of 1934, as amended (the “Exchange Act”), the Sarbanes-Oxley Act of 2002 (the “Sarbanes-Oxley Act”), the Dodd-Frank Wall Street Reform and Consumer Protection Act (the “Dodd-Frank Act”), and the rules and regulations of the New York Stock Exchange (the “NYSE”). We expect that compliance with these rules and regulations will continue to increase our legal, accounting and financial compliance costs, make some activities more difficult, time consuming and costly, and place significant strain on our personnel, systems and resources.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The Sarbanes-Oxley Act requires, among other things, that we assess the effectiveness of our internal control over financial reporting annually and the effectiveness of our disclosure controls and procedures quarterly. In particular, Section 404 of the Sarbanes-Oxley Act (“Section 404”), requires us to perform system and process evaluation and testing of our internal control over financial reporting to allow management to report on, and our independent registered public accounting firm to attest to, the effectiveness of our internal control over financial reporting. Our compliance with applicable provisions of Section 404 requires that we incur substantial accounting expenses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SEC or other regulatory authorities, which would require additional financial and management resources.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Furthermore, investor perceptions of our company may suffer if deficiencies are found, and this could cause a decline in the market price of our stock.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controls from our independent registered public accounting firm. In addition, as a result of our hybrid culture, many of our employees – including those critical to maintaining an effective system of disclosure controls and internal control over financial reporting – are working, and are expected to continue to work, in a remote environment and not in the office environment from which they have historically performed their duties. We have limited experience maintaining effective control systems with our employees working in remote environments, and risks that we have not contemplated may arise and result in our failure to maintain effective disclosure controls or internal control over financial reporting.</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Anti-takeover provisions in our charter documents and Delaware law may delay or prevent an acquisition of our company.</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bylaws include provisions that:</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authorize “blank check” preferred stock, which could be issued by the board without stockholder approval and may contain voting, liquidation, dividend and other rights superior to our common stock;</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provide for a classified board of directors whose members serve staggered three-year terms;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specify that special meetings of our stockholders can be called only by our board of directors, the chairperson of the board, the chief executive officer or the president;</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prohibit stockholder action by written consent;</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establish an advance notice procedure for stockholder approvals to be brought before an annual meeting of our stockholders, including proposed nominations of persons for election to our board of directors;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provide that our directors may be removed only for cause;</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provide that vacancies on our board of directors may be filled only by a majority of directors then in office, even though less than a quorum;</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specify that no stockholder is permitted to cumulate votes at any election of directors;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authorize our board of directors to modify, alter or repeal our amended and restated bylaws; and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require supermajority votes of the holders of our common stock to amend specified provisions of our charter documents.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These provisions, alone or together, could delay or prevent hostile takeovers and changes in control or changes in our management.</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In addition, because we are incorporated in Delaware, we are governed by the provisions of Section 203 of the Delaware General Corporation Law, which limits the ability of stockholders owning in excess of 15% of our outstanding voting stock to merge or combine with us in certain circumstances.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pStyle w:val="TextBody"/>
        <w:bidi w:val="0"/>
        <w:spacing w:before="200" w:after="283"/>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General Risks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Catastrophic events could disrupt our business and adversely affect our financial condition and results of operations.</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We rely on our network infrastructure and enterprise applications, internal technology systems and website for our development, marketing, operations, support, hosted services and sales activities. In addition, some of our businesses rely on third-party hosted services, and we do not control the operation of third-party data center facilities serving our customers from around the world, which increases our vulnerability. A disruption, infiltration or failure of these systems or third-party hosted services in the event of a major earthquake, fire, flood, tsunami or other weather event, power loss, telecommunications failure, software or hardware malfunctions, pandemics (including the COVID-19 pandemic), cyber-attack, war, terrorist attack or other catastrophic event that we do not adequately address, could cause system interruptions, reputational harm, loss of intellectual property, delays in our product development, lengthy interruptions in our services, breaches of data security and loss of critical data. Any of these events could prevent us from fulfilling our customer demands or could negatively impact a country or region in which we sell our products, which could in turn decrease that country’s or region’s demand for our products. A catastrophic event that results in the destruction or disruption of any of our data centers or our critical business or information technology systems could severely affect our ability to conduct normal business operations and, as a result, our future operating results could be adversely affected. The adverse effects of any such catastrophic event would be exacerbated if experienced at the same time as another unexpected and adverse event, such as the COVID-19 pandemic.</w:t>
      </w:r>
      <w:r>
        <w:rPr>
          <w:rFonts w:ascii="Times New Roman" w:hAnsi="Times New Roman"/>
          <w:color w:val="000000"/>
          <w:sz w:val="2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The occurrence of regional epidemics or a global pandemic, such as COVID-19, may have an adverse effect on how we and our customers operate our businesses and our operating and financial results. Our operations may in the future be negatively affected by a range of external factors related to the pandemic that are not within our control, including the emergence and spread of more transmissible variants and the degree of transmissibility and severity thereof. The extent to which global pandemics, such as the COVID-19 pandemic, impact our financial condition or results of operations will depend on factors, such as the duration and scope of the pandemic, as well as whether there is a material impact on the businesses or productivity of our customers, partners, employee, suppliers and other partners. To the extent that a pandemic, such as COVID-19, harms our business and results of operations, many of the other risks described in this “Risk Factors” section, may be heightened.</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Failure to comply with laws and regulations could harm our business.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Our business is subject to regulation by various federal, state, local and foreign governmental agencies, including agencies responsible for monitoring and enforcing employment and labor laws, workplace safety, environmental laws, consumer protection laws, anti-bribery laws, import/export controls, federal securities laws and tax laws and regulations. In certain jurisdictions, these regulatory requirements may be more stringent than those in the United States. Noncompliance with applicable regulations or requirements could subject us to investigations, sanctions, mandatory recalls, enforcement actions, disgorgement of profits, fines, damages, civil and criminal penalties or injunctions.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Our ability to raise capital in the future may be limited, and our failure to raise capital when needed could prevent us from growing.</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Our business and operations may consume resources faster than we anticipate. In the future, we may need to raise additional funds to invest in future growth opportunities. Additional financing may not be available on favorable terms, if at all. In addition, recent volatility in capital markets and lower market prices for many securities may affect our ability to access new capital through sales of shares of our common stock or issuance of indebtedness, which may materially harm our liquidity, limit our ability to grow our business, pursue acquisitions or improve our operating infrastructure and restrict our ability to compete in our markets.</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If adequate funds are not available on acceptable terms, we may be unable to invest in future growth opportunities, which could seriously harm our business and operating results. If we incur debt, the debt holders would have rights senior to common stockholders to make claims on our assets, and the terms of any debt could restrict our operations, including our ability to pay dividends on our common stock. Furthermore, if we issue equity securities, stockholders will experience dilution, and the new equity securities could have rights senior to those of our common stock. The Notes are and any additional equity or equity-linked financings would be dilutive to our stockholders. Because our decision to issue securities in any future offering will depend on market conditions and other</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factors beyond our control, we cannot predict or estimate the amount, timing or nature of our future offerings. As a result, our stockholders bear the risk of our future securities offerings reducing the market price of our common stock and diluting their interest.</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Climate change may have a long-term impact on our business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While we seek to partner with organizations that mitigate their business risks associated with climate change, we recognize that there are inherent risks wherever business is conducted. Any of our primary locations may be vulnerable to the adverse effects of climate change. For example, our offices globally may experience climate-related events at an increasing frequency, including drought, water scarcity, heat waves, cold waves, wildfires and resultant air quality impacts and power shutoffs associated with wildfire prevention. While this danger has a low-assessed risk of disrupting normal business operations, it has the potential to disrupt employees’ abilities to commute to work or to work from home and stay connected effectively. Furthermore, it is more difficult to mitigate the impact of these events on our employees to the extent they work from home. Climate-related events, including the increasing frequency of extreme weather events and their impact on the U.S.’s, Europe’s and other major regions’ critical infrastructure, have the potential to disrupt our business, our third-party suppliers and/or the business of our customers, and may cause us to experience higher attrition, losses and additional costs to maintain or resume operations. Regulatory developments, changing market dynamics and stakeholder expectations regarding climate change may impact our business, financial condition and results of operations. To inform our disclosures and take potential action as appropriate, we are working to align our reporting with emerging disclosure and accounting standards such as the Financial Stability Board’s Task Force on Climate-Related Financial Disclosures, the Sustainability Accounting Standards Board and the Global Reporting Initiative as well as potential new disclosure requirements from regulators such as the SEC.</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16" w:name="item_2_unregistered_sales_equity_securit"/>
      <w:bookmarkEnd w:id="16"/>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None.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17" w:name="item_3_defaults_on_senior_securities"/>
      <w:bookmarkEnd w:id="17"/>
      <w:r>
        <w:rPr>
          <w:rFonts w:ascii="Times New Roman" w:hAnsi="Times New Roman"/>
          <w:b/>
          <w:color w:val="000000"/>
          <w:sz w:val="20"/>
        </w:rPr>
        <w:t>Item 3. Defaults on</w:t>
      </w:r>
      <w:r>
        <w:rPr>
          <w:rFonts w:ascii="Times New Roman" w:hAnsi="Times New Roman"/>
          <w:color w:val="000000"/>
          <w:sz w:val="20"/>
        </w:rPr>
        <w:t xml:space="preserve"> </w:t>
      </w:r>
      <w:r>
        <w:rPr>
          <w:rFonts w:ascii="Times New Roman" w:hAnsi="Times New Roman"/>
          <w:b/>
          <w:color w:val="000000"/>
          <w:sz w:val="20"/>
        </w:rPr>
        <w:t>Senior Securities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None.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18" w:name="item_4_mine_safety_disclosures"/>
      <w:bookmarkEnd w:id="18"/>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Not Applicable.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19" w:name="item_5_or_information"/>
      <w:bookmarkEnd w:id="19"/>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The following table describes contracts, instructions or written plans for the sale or purchase of our securities adopted</w:t>
      </w:r>
      <w:r>
        <w:rPr>
          <w:rFonts w:ascii="Times New Roman" w:hAnsi="Times New Roman"/>
          <w:color w:val="000000"/>
          <w:sz w:val="20"/>
        </w:rPr>
        <w:t xml:space="preserve"> </w:t>
      </w:r>
      <w:r>
        <w:rPr>
          <w:rFonts w:ascii="Times New Roman" w:hAnsi="Times New Roman"/>
          <w:b w:val="false"/>
          <w:color w:val="000000"/>
          <w:sz w:val="20"/>
        </w:rPr>
        <w:t>by our directors and certain officers during the second quarter of 2023, each of which is intended to satisfy the affirmative defense conditions of Exchange Act Rule 10b5-1(c), referred to as Rule 10b5-1 trading plans.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87"/>
        <w:gridCol w:w="1394"/>
        <w:gridCol w:w="3500"/>
        <w:gridCol w:w="1684"/>
        <w:gridCol w:w="1640"/>
      </w:tblGrid>
      <w:tr>
        <w:trPr/>
        <w:tc>
          <w:tcPr>
            <w:tcW w:w="1987"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3500"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r>
      <w:tr>
        <w:trPr/>
        <w:tc>
          <w:tcPr>
            <w:tcW w:w="19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w:t>
            </w:r>
          </w:p>
        </w:tc>
        <w:tc>
          <w:tcPr>
            <w:tcW w:w="1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Action Taken</w:t>
            </w:r>
          </w:p>
        </w:tc>
        <w:tc>
          <w:tcPr>
            <w:tcW w:w="3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Nature of Trading Arrangement</w:t>
            </w:r>
          </w:p>
        </w:tc>
        <w:tc>
          <w:tcPr>
            <w:tcW w:w="1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Duration of Trading Arrangement</w:t>
            </w:r>
          </w:p>
        </w:tc>
        <w:tc>
          <w:tcPr>
            <w:tcW w:w="1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Aggregate Number of Securities</w:t>
            </w:r>
          </w:p>
        </w:tc>
      </w:tr>
      <w:tr>
        <w:trPr/>
        <w:tc>
          <w:tcPr>
            <w:tcW w:w="1987"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Ron Gill</w:t>
            </w:r>
            <w:r>
              <w:rPr>
                <w:rFonts w:ascii="Times New Roman" w:hAnsi="Times New Roman"/>
                <w:color w:val="000000"/>
                <w:sz w:val="20"/>
              </w:rPr>
              <w:t> </w:t>
            </w:r>
            <w:r>
              <w:rPr>
                <w:rFonts w:ascii="Times New Roman" w:hAnsi="Times New Roman"/>
                <w:b w:val="false"/>
                <w:color w:val="000000"/>
                <w:sz w:val="20"/>
              </w:rPr>
              <w:t>(Director)</w:t>
            </w:r>
          </w:p>
        </w:tc>
        <w:tc>
          <w:tcPr>
            <w:tcW w:w="139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Adoption (August 10, 2023)</w:t>
            </w:r>
          </w:p>
        </w:tc>
        <w:tc>
          <w:tcPr>
            <w:tcW w:w="350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Trading plan intended to satisfy the affirmative defense conditions of Exchange Act Rule 10b5-1(c)</w:t>
            </w:r>
          </w:p>
        </w:tc>
        <w:tc>
          <w:tcPr>
            <w:tcW w:w="168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218 days</w:t>
            </w:r>
          </w:p>
        </w:tc>
        <w:tc>
          <w:tcPr>
            <w:tcW w:w="1640"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4,075</w:t>
            </w:r>
            <w:r>
              <w:rPr>
                <w:rFonts w:ascii="Times New Roman" w:hAnsi="Times New Roman"/>
                <w:color w:val="000000"/>
                <w:sz w:val="20"/>
              </w:rPr>
              <w:t> </w:t>
            </w:r>
            <w:r>
              <w:rPr>
                <w:rFonts w:ascii="Times New Roman" w:hAnsi="Times New Roman"/>
                <w:b w:val="false"/>
                <w:color w:val="000000"/>
                <w:sz w:val="20"/>
              </w:rPr>
              <w:t>shares</w:t>
            </w:r>
          </w:p>
        </w:tc>
      </w:tr>
      <w:tr>
        <w:trPr/>
        <w:tc>
          <w:tcPr>
            <w:tcW w:w="198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Lorrie Norrington</w:t>
            </w:r>
            <w:r>
              <w:rPr>
                <w:rFonts w:ascii="Times New Roman" w:hAnsi="Times New Roman"/>
                <w:color w:val="000000"/>
                <w:sz w:val="20"/>
              </w:rPr>
              <w:t> </w:t>
            </w:r>
            <w:r>
              <w:rPr>
                <w:rFonts w:ascii="Times New Roman" w:hAnsi="Times New Roman"/>
                <w:b w:val="false"/>
                <w:color w:val="000000"/>
                <w:sz w:val="20"/>
              </w:rPr>
              <w:t>(Director)</w:t>
            </w:r>
          </w:p>
        </w:tc>
        <w:tc>
          <w:tcPr>
            <w:tcW w:w="139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Adoption (August 15, 2023)</w:t>
            </w:r>
          </w:p>
        </w:tc>
        <w:tc>
          <w:tcPr>
            <w:tcW w:w="350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Trading plan intended to satisfy the affirmative defense conditions of Exchange Act Rule 10b5-1(c)</w:t>
            </w:r>
          </w:p>
        </w:tc>
        <w:tc>
          <w:tcPr>
            <w:tcW w:w="168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213 days</w:t>
            </w:r>
          </w:p>
        </w:tc>
        <w:tc>
          <w:tcPr>
            <w:tcW w:w="164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350</w:t>
            </w:r>
            <w:r>
              <w:rPr>
                <w:rFonts w:ascii="Times New Roman" w:hAnsi="Times New Roman"/>
                <w:color w:val="000000"/>
                <w:sz w:val="20"/>
              </w:rPr>
              <w:t> </w:t>
            </w:r>
            <w:r>
              <w:rPr>
                <w:rFonts w:ascii="Times New Roman" w:hAnsi="Times New Roman"/>
                <w:b w:val="false"/>
                <w:color w:val="000000"/>
                <w:sz w:val="20"/>
              </w:rPr>
              <w:t>shares</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0" w:name="item_6_exhibits"/>
      <w:bookmarkEnd w:id="20"/>
      <w:r>
        <w:rPr>
          <w:rFonts w:ascii="Times New Roman" w:hAnsi="Times New Roman"/>
          <w:b/>
          <w:color w:val="000000"/>
          <w:sz w:val="20"/>
        </w:rPr>
        <w:t>Item 6. Exhibits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exhibits listed below are filed or incorporated by reference into this Report.</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935"/>
        <w:gridCol w:w="146"/>
        <w:gridCol w:w="9124"/>
      </w:tblGrid>
      <w:tr>
        <w:trPr/>
        <w:tc>
          <w:tcPr>
            <w:tcW w:w="9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24" w:type="dxa"/>
            <w:tcBorders/>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vAlign w:val="center"/>
          </w:tcPr>
          <w:p>
            <w:pPr>
              <w:pStyle w:val="TableContents"/>
              <w:bidi w:val="0"/>
              <w:spacing w:before="0" w:after="283"/>
              <w:jc w:val="left"/>
              <w:rPr>
                <w:sz w:val="4"/>
                <w:szCs w:val="4"/>
              </w:rPr>
            </w:pPr>
            <w:r>
              <w:rPr>
                <w:sz w:val="4"/>
                <w:szCs w:val="4"/>
              </w:rPr>
            </w:r>
          </w:p>
        </w:tc>
        <w:tc>
          <w:tcPr>
            <w:tcW w:w="9124"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Title</w:t>
            </w:r>
          </w:p>
        </w:tc>
      </w:tr>
      <w:tr>
        <w:trPr/>
        <w:tc>
          <w:tcPr>
            <w:tcW w:w="93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124" w:type="dxa"/>
            <w:tcBorders/>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3.1(1)</w:t>
            </w:r>
          </w:p>
        </w:tc>
        <w:tc>
          <w:tcPr>
            <w:tcW w:w="146" w:type="dxa"/>
            <w:tcBorders/>
            <w:vAlign w:val="center"/>
          </w:tcPr>
          <w:p>
            <w:pPr>
              <w:pStyle w:val="TableContents"/>
              <w:bidi w:val="0"/>
              <w:spacing w:before="0" w:after="283"/>
              <w:jc w:val="left"/>
              <w:rPr>
                <w:sz w:val="4"/>
                <w:szCs w:val="4"/>
              </w:rPr>
            </w:pPr>
            <w:r>
              <w:rPr>
                <w:sz w:val="4"/>
                <w:szCs w:val="4"/>
              </w:rPr>
            </w:r>
          </w:p>
        </w:tc>
        <w:tc>
          <w:tcPr>
            <w:tcW w:w="9124" w:type="dxa"/>
            <w:tcBorders/>
            <w:vAlign w:val="center"/>
          </w:tcPr>
          <w:p>
            <w:pPr>
              <w:pStyle w:val="TableContents"/>
              <w:bidi w:val="0"/>
              <w:spacing w:before="0" w:after="283"/>
              <w:jc w:val="left"/>
              <w:rPr/>
            </w:pPr>
            <w:hyperlink r:id="rId2">
              <w:r>
                <w:rPr>
                  <w:rStyle w:val="InternetLink"/>
                  <w:rFonts w:ascii="Times New Roman" w:hAnsi="Times New Roman"/>
                  <w:b w:val="false"/>
                  <w:color w:val="0000FF"/>
                  <w:sz w:val="20"/>
                  <w:u w:val="single"/>
                </w:rPr>
                <w:t>Amended and Restated Certificate of Incorporation of the Registrant</w:t>
              </w:r>
            </w:hyperlink>
          </w:p>
        </w:tc>
      </w:tr>
      <w:tr>
        <w:trPr/>
        <w:tc>
          <w:tcPr>
            <w:tcW w:w="93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124" w:type="dxa"/>
            <w:tcBorders/>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3.2(2)</w:t>
            </w:r>
          </w:p>
        </w:tc>
        <w:tc>
          <w:tcPr>
            <w:tcW w:w="146" w:type="dxa"/>
            <w:tcBorders/>
            <w:vAlign w:val="center"/>
          </w:tcPr>
          <w:p>
            <w:pPr>
              <w:pStyle w:val="TableContents"/>
              <w:bidi w:val="0"/>
              <w:spacing w:before="0" w:after="283"/>
              <w:jc w:val="left"/>
              <w:rPr>
                <w:sz w:val="4"/>
                <w:szCs w:val="4"/>
              </w:rPr>
            </w:pPr>
            <w:r>
              <w:rPr>
                <w:sz w:val="4"/>
                <w:szCs w:val="4"/>
              </w:rPr>
            </w:r>
          </w:p>
        </w:tc>
        <w:tc>
          <w:tcPr>
            <w:tcW w:w="9124" w:type="dxa"/>
            <w:tcBorders/>
            <w:vAlign w:val="center"/>
          </w:tcPr>
          <w:p>
            <w:pPr>
              <w:pStyle w:val="TableContents"/>
              <w:bidi w:val="0"/>
              <w:spacing w:before="0" w:after="283"/>
              <w:jc w:val="left"/>
              <w:rPr/>
            </w:pPr>
            <w:hyperlink r:id="rId3">
              <w:r>
                <w:rPr>
                  <w:rStyle w:val="InternetLink"/>
                  <w:rFonts w:ascii="Times New Roman" w:hAnsi="Times New Roman"/>
                  <w:b w:val="false"/>
                  <w:color w:val="0000FF"/>
                  <w:sz w:val="20"/>
                  <w:u w:val="single"/>
                </w:rPr>
                <w:t>Fourth Amended and Restated Bylaws of the Registrant</w:t>
              </w:r>
            </w:hyperlink>
            <w:hyperlink r:id="rId4">
              <w:r>
                <w:rPr>
                  <w:rStyle w:val="InternetLink"/>
                  <w:rFonts w:ascii="Times New Roman" w:hAnsi="Times New Roman"/>
                  <w:color w:val="0000FF"/>
                  <w:sz w:val="20"/>
                </w:rPr>
                <w:t xml:space="preserve"> </w:t>
              </w:r>
            </w:hyperlink>
          </w:p>
        </w:tc>
      </w:tr>
      <w:tr>
        <w:trPr/>
        <w:tc>
          <w:tcPr>
            <w:tcW w:w="93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124" w:type="dxa"/>
            <w:tcBorders/>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4.1(3)</w:t>
            </w:r>
          </w:p>
        </w:tc>
        <w:tc>
          <w:tcPr>
            <w:tcW w:w="146" w:type="dxa"/>
            <w:tcBorders/>
            <w:vAlign w:val="center"/>
          </w:tcPr>
          <w:p>
            <w:pPr>
              <w:pStyle w:val="TableContents"/>
              <w:bidi w:val="0"/>
              <w:spacing w:before="0" w:after="283"/>
              <w:jc w:val="left"/>
              <w:rPr>
                <w:sz w:val="4"/>
                <w:szCs w:val="4"/>
              </w:rPr>
            </w:pPr>
            <w:r>
              <w:rPr>
                <w:sz w:val="4"/>
                <w:szCs w:val="4"/>
              </w:rPr>
            </w:r>
          </w:p>
        </w:tc>
        <w:tc>
          <w:tcPr>
            <w:tcW w:w="9124" w:type="dxa"/>
            <w:tcBorders/>
            <w:vAlign w:val="center"/>
          </w:tcPr>
          <w:p>
            <w:pPr>
              <w:pStyle w:val="TableContents"/>
              <w:bidi w:val="0"/>
              <w:spacing w:before="0" w:after="283"/>
              <w:jc w:val="left"/>
              <w:rPr/>
            </w:pPr>
            <w:hyperlink r:id="rId5">
              <w:r>
                <w:rPr>
                  <w:rStyle w:val="InternetLink"/>
                  <w:rFonts w:ascii="Times New Roman" w:hAnsi="Times New Roman"/>
                  <w:b w:val="false"/>
                  <w:color w:val="0000FF"/>
                  <w:sz w:val="20"/>
                  <w:u w:val="single"/>
                </w:rPr>
                <w:t>Form of Common Stock certificate of the Registrant</w:t>
              </w:r>
            </w:hyperlink>
          </w:p>
        </w:tc>
      </w:tr>
      <w:tr>
        <w:trPr/>
        <w:tc>
          <w:tcPr>
            <w:tcW w:w="93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124" w:type="dxa"/>
            <w:tcBorders/>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31.1**</w:t>
            </w:r>
          </w:p>
        </w:tc>
        <w:tc>
          <w:tcPr>
            <w:tcW w:w="146" w:type="dxa"/>
            <w:tcBorders/>
            <w:vAlign w:val="center"/>
          </w:tcPr>
          <w:p>
            <w:pPr>
              <w:pStyle w:val="TableContents"/>
              <w:bidi w:val="0"/>
              <w:spacing w:before="0" w:after="283"/>
              <w:jc w:val="left"/>
              <w:rPr>
                <w:sz w:val="4"/>
                <w:szCs w:val="4"/>
              </w:rPr>
            </w:pPr>
            <w:r>
              <w:rPr>
                <w:sz w:val="4"/>
                <w:szCs w:val="4"/>
              </w:rPr>
            </w:r>
          </w:p>
        </w:tc>
        <w:tc>
          <w:tcPr>
            <w:tcW w:w="9124" w:type="dxa"/>
            <w:tcBorders/>
            <w:vAlign w:val="center"/>
          </w:tcPr>
          <w:p>
            <w:pPr>
              <w:pStyle w:val="TableContents"/>
              <w:bidi w:val="0"/>
              <w:spacing w:before="0" w:after="283"/>
              <w:jc w:val="left"/>
              <w:rPr/>
            </w:pPr>
            <w:hyperlink w:anchor="hubs-ex31_1.htm">
              <w:r>
                <w:rPr>
                  <w:rStyle w:val="InternetLink"/>
                  <w:rFonts w:ascii="Times New Roman" w:hAnsi="Times New Roman"/>
                  <w:b w:val="false"/>
                  <w:color w:val="0000FF"/>
                  <w:sz w:val="20"/>
                  <w:u w:val="single"/>
                </w:rPr>
                <w:t>Certification of Principal Executive Officer pursuant to Rule 13a-14(a) or Rule 15d-14(a) of the Securities Exchange Act of 1934, as amended</w:t>
              </w:r>
            </w:hyperlink>
          </w:p>
        </w:tc>
      </w:tr>
      <w:tr>
        <w:trPr/>
        <w:tc>
          <w:tcPr>
            <w:tcW w:w="93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124" w:type="dxa"/>
            <w:tcBorders/>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31.2**</w:t>
            </w:r>
          </w:p>
        </w:tc>
        <w:tc>
          <w:tcPr>
            <w:tcW w:w="146" w:type="dxa"/>
            <w:tcBorders/>
            <w:vAlign w:val="center"/>
          </w:tcPr>
          <w:p>
            <w:pPr>
              <w:pStyle w:val="TableContents"/>
              <w:bidi w:val="0"/>
              <w:spacing w:before="0" w:after="283"/>
              <w:jc w:val="left"/>
              <w:rPr>
                <w:sz w:val="4"/>
                <w:szCs w:val="4"/>
              </w:rPr>
            </w:pPr>
            <w:r>
              <w:rPr>
                <w:sz w:val="4"/>
                <w:szCs w:val="4"/>
              </w:rPr>
            </w:r>
          </w:p>
        </w:tc>
        <w:tc>
          <w:tcPr>
            <w:tcW w:w="9124" w:type="dxa"/>
            <w:tcBorders/>
            <w:vAlign w:val="center"/>
          </w:tcPr>
          <w:p>
            <w:pPr>
              <w:pStyle w:val="TableContents"/>
              <w:bidi w:val="0"/>
              <w:spacing w:before="0" w:after="283"/>
              <w:jc w:val="left"/>
              <w:rPr/>
            </w:pPr>
            <w:hyperlink w:anchor="hubs-ex31_2.htm">
              <w:r>
                <w:rPr>
                  <w:rStyle w:val="InternetLink"/>
                  <w:rFonts w:ascii="Times New Roman" w:hAnsi="Times New Roman"/>
                  <w:b w:val="false"/>
                  <w:color w:val="0000FF"/>
                  <w:sz w:val="20"/>
                  <w:u w:val="single"/>
                </w:rPr>
                <w:t>Certification of Principal Financial Officer pursuant to Rule 13a-14(a) or Rule 15d-14(a) of the Securities Exchange Act of 1934, as amended</w:t>
              </w:r>
            </w:hyperlink>
          </w:p>
        </w:tc>
      </w:tr>
      <w:tr>
        <w:trPr/>
        <w:tc>
          <w:tcPr>
            <w:tcW w:w="93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124" w:type="dxa"/>
            <w:tcBorders/>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32.1*</w:t>
            </w:r>
          </w:p>
        </w:tc>
        <w:tc>
          <w:tcPr>
            <w:tcW w:w="146" w:type="dxa"/>
            <w:tcBorders/>
            <w:vAlign w:val="center"/>
          </w:tcPr>
          <w:p>
            <w:pPr>
              <w:pStyle w:val="TableContents"/>
              <w:bidi w:val="0"/>
              <w:spacing w:before="0" w:after="283"/>
              <w:jc w:val="left"/>
              <w:rPr>
                <w:sz w:val="4"/>
                <w:szCs w:val="4"/>
              </w:rPr>
            </w:pPr>
            <w:r>
              <w:rPr>
                <w:sz w:val="4"/>
                <w:szCs w:val="4"/>
              </w:rPr>
            </w:r>
          </w:p>
        </w:tc>
        <w:tc>
          <w:tcPr>
            <w:tcW w:w="9124" w:type="dxa"/>
            <w:tcBorders/>
            <w:vAlign w:val="center"/>
          </w:tcPr>
          <w:p>
            <w:pPr>
              <w:pStyle w:val="TableContents"/>
              <w:bidi w:val="0"/>
              <w:spacing w:before="0" w:after="283"/>
              <w:jc w:val="left"/>
              <w:rPr/>
            </w:pPr>
            <w:hyperlink w:anchor="hubs-ex32_1.htm">
              <w:r>
                <w:rPr>
                  <w:rStyle w:val="InternetLink"/>
                  <w:rFonts w:ascii="Times New Roman" w:hAnsi="Times New Roman"/>
                  <w:b w:val="false"/>
                  <w:color w:val="0000FF"/>
                  <w:sz w:val="20"/>
                  <w:u w:val="single"/>
                </w:rPr>
                <w:t>Certification of Principal Executive Officer and Principal Financial Officer pursuant to Section 906 of the Sarbanes-Oxley Act</w:t>
              </w:r>
            </w:hyperlink>
          </w:p>
        </w:tc>
      </w:tr>
      <w:tr>
        <w:trPr/>
        <w:tc>
          <w:tcPr>
            <w:tcW w:w="93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124" w:type="dxa"/>
            <w:tcBorders/>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101.INS**</w:t>
            </w:r>
          </w:p>
        </w:tc>
        <w:tc>
          <w:tcPr>
            <w:tcW w:w="146" w:type="dxa"/>
            <w:tcBorders/>
            <w:vAlign w:val="center"/>
          </w:tcPr>
          <w:p>
            <w:pPr>
              <w:pStyle w:val="TableContents"/>
              <w:bidi w:val="0"/>
              <w:spacing w:before="0" w:after="283"/>
              <w:jc w:val="left"/>
              <w:rPr>
                <w:sz w:val="4"/>
                <w:szCs w:val="4"/>
              </w:rPr>
            </w:pPr>
            <w:r>
              <w:rPr>
                <w:sz w:val="4"/>
                <w:szCs w:val="4"/>
              </w:rPr>
            </w:r>
          </w:p>
        </w:tc>
        <w:tc>
          <w:tcPr>
            <w:tcW w:w="9124"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Instance Document – the instance document does not appear in the Interactive Data File because XBRL tags are embedded within the Inline XBRL document</w:t>
            </w:r>
          </w:p>
        </w:tc>
      </w:tr>
      <w:tr>
        <w:trPr/>
        <w:tc>
          <w:tcPr>
            <w:tcW w:w="93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124" w:type="dxa"/>
            <w:tcBorders/>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101.SCH**</w:t>
            </w:r>
          </w:p>
        </w:tc>
        <w:tc>
          <w:tcPr>
            <w:tcW w:w="146" w:type="dxa"/>
            <w:tcBorders/>
            <w:vAlign w:val="center"/>
          </w:tcPr>
          <w:p>
            <w:pPr>
              <w:pStyle w:val="TableContents"/>
              <w:bidi w:val="0"/>
              <w:spacing w:before="0" w:after="283"/>
              <w:jc w:val="left"/>
              <w:rPr>
                <w:sz w:val="4"/>
                <w:szCs w:val="4"/>
              </w:rPr>
            </w:pPr>
            <w:r>
              <w:rPr>
                <w:sz w:val="4"/>
                <w:szCs w:val="4"/>
              </w:rPr>
            </w:r>
          </w:p>
        </w:tc>
        <w:tc>
          <w:tcPr>
            <w:tcW w:w="9124"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Schema Document</w:t>
            </w:r>
          </w:p>
        </w:tc>
      </w:tr>
      <w:tr>
        <w:trPr/>
        <w:tc>
          <w:tcPr>
            <w:tcW w:w="93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124" w:type="dxa"/>
            <w:tcBorders/>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101.CAL**</w:t>
            </w:r>
          </w:p>
        </w:tc>
        <w:tc>
          <w:tcPr>
            <w:tcW w:w="146" w:type="dxa"/>
            <w:tcBorders/>
            <w:vAlign w:val="center"/>
          </w:tcPr>
          <w:p>
            <w:pPr>
              <w:pStyle w:val="TableContents"/>
              <w:bidi w:val="0"/>
              <w:spacing w:before="0" w:after="283"/>
              <w:jc w:val="left"/>
              <w:rPr>
                <w:sz w:val="4"/>
                <w:szCs w:val="4"/>
              </w:rPr>
            </w:pPr>
            <w:r>
              <w:rPr>
                <w:sz w:val="4"/>
                <w:szCs w:val="4"/>
              </w:rPr>
            </w:r>
          </w:p>
        </w:tc>
        <w:tc>
          <w:tcPr>
            <w:tcW w:w="9124"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Calculation Linkbase Document</w:t>
            </w:r>
          </w:p>
        </w:tc>
      </w:tr>
      <w:tr>
        <w:trPr/>
        <w:tc>
          <w:tcPr>
            <w:tcW w:w="93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124" w:type="dxa"/>
            <w:tcBorders/>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101.DEF**</w:t>
            </w:r>
          </w:p>
        </w:tc>
        <w:tc>
          <w:tcPr>
            <w:tcW w:w="146" w:type="dxa"/>
            <w:tcBorders/>
            <w:vAlign w:val="center"/>
          </w:tcPr>
          <w:p>
            <w:pPr>
              <w:pStyle w:val="TableContents"/>
              <w:bidi w:val="0"/>
              <w:spacing w:before="0" w:after="283"/>
              <w:jc w:val="left"/>
              <w:rPr>
                <w:sz w:val="4"/>
                <w:szCs w:val="4"/>
              </w:rPr>
            </w:pPr>
            <w:r>
              <w:rPr>
                <w:sz w:val="4"/>
                <w:szCs w:val="4"/>
              </w:rPr>
            </w:r>
          </w:p>
        </w:tc>
        <w:tc>
          <w:tcPr>
            <w:tcW w:w="9124"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Definition Linkbase Document</w:t>
            </w:r>
          </w:p>
        </w:tc>
      </w:tr>
      <w:tr>
        <w:trPr/>
        <w:tc>
          <w:tcPr>
            <w:tcW w:w="93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124" w:type="dxa"/>
            <w:tcBorders/>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101.LAB**</w:t>
            </w:r>
          </w:p>
        </w:tc>
        <w:tc>
          <w:tcPr>
            <w:tcW w:w="146" w:type="dxa"/>
            <w:tcBorders/>
            <w:vAlign w:val="center"/>
          </w:tcPr>
          <w:p>
            <w:pPr>
              <w:pStyle w:val="TableContents"/>
              <w:bidi w:val="0"/>
              <w:spacing w:before="0" w:after="283"/>
              <w:jc w:val="left"/>
              <w:rPr>
                <w:sz w:val="4"/>
                <w:szCs w:val="4"/>
              </w:rPr>
            </w:pPr>
            <w:r>
              <w:rPr>
                <w:sz w:val="4"/>
                <w:szCs w:val="4"/>
              </w:rPr>
            </w:r>
          </w:p>
        </w:tc>
        <w:tc>
          <w:tcPr>
            <w:tcW w:w="9124"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Label Linkbase Document</w:t>
            </w:r>
          </w:p>
        </w:tc>
      </w:tr>
      <w:tr>
        <w:trPr/>
        <w:tc>
          <w:tcPr>
            <w:tcW w:w="93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124" w:type="dxa"/>
            <w:tcBorders/>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101.PRE**</w:t>
            </w:r>
          </w:p>
        </w:tc>
        <w:tc>
          <w:tcPr>
            <w:tcW w:w="146" w:type="dxa"/>
            <w:tcBorders/>
            <w:vAlign w:val="center"/>
          </w:tcPr>
          <w:p>
            <w:pPr>
              <w:pStyle w:val="TableContents"/>
              <w:bidi w:val="0"/>
              <w:spacing w:before="0" w:after="283"/>
              <w:jc w:val="left"/>
              <w:rPr>
                <w:sz w:val="4"/>
                <w:szCs w:val="4"/>
              </w:rPr>
            </w:pPr>
            <w:r>
              <w:rPr>
                <w:sz w:val="4"/>
                <w:szCs w:val="4"/>
              </w:rPr>
            </w:r>
          </w:p>
        </w:tc>
        <w:tc>
          <w:tcPr>
            <w:tcW w:w="9124"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Presentation Linkbase Document</w:t>
            </w:r>
          </w:p>
        </w:tc>
      </w:tr>
      <w:tr>
        <w:trPr/>
        <w:tc>
          <w:tcPr>
            <w:tcW w:w="93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124" w:type="dxa"/>
            <w:tcBorders/>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104**</w:t>
            </w:r>
          </w:p>
        </w:tc>
        <w:tc>
          <w:tcPr>
            <w:tcW w:w="146" w:type="dxa"/>
            <w:tcBorders/>
            <w:vAlign w:val="center"/>
          </w:tcPr>
          <w:p>
            <w:pPr>
              <w:pStyle w:val="TableContents"/>
              <w:bidi w:val="0"/>
              <w:spacing w:before="0" w:after="283"/>
              <w:jc w:val="left"/>
              <w:rPr/>
            </w:pPr>
            <w:r>
              <w:rPr/>
              <w:t> </w:t>
            </w:r>
          </w:p>
        </w:tc>
        <w:tc>
          <w:tcPr>
            <w:tcW w:w="9124"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Cover Page Interactive Data File (formatted as Inline XBRL with applicable taxonomy extension information contained in Exhibits 101.*)</w:t>
            </w:r>
          </w:p>
        </w:tc>
      </w:tr>
    </w:tbl>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Filed herewith.</w:t>
      </w:r>
    </w:p>
    <w:p>
      <w:pPr>
        <w:pStyle w:val="TextBody"/>
        <w:bidi w:val="0"/>
        <w:spacing w:before="40" w:after="283"/>
        <w:jc w:val="left"/>
        <w:rPr/>
      </w:pPr>
      <w:r>
        <w:rPr/>
        <w:t> </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(1) Incorporated by reference to Exhibit 3.1 to HubSpot, Inc.’s Annual Report on Form 10-K filed on February 24, 2016.</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(2) Incorporated by reference to Exhibit 3.1 to HubSpot Inc.’s Current Report on Form 8-K filed with the SEC January 27, 2023.</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(3) Incorporated by reference to Exhibit 4.1 to Amendment No. 1 to registrant’s Registration Statement on Form S-1 (SEC file No. 333-198333) filed on September 26, 2014.</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 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it by reference.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Pursuant to the requirements of the Securities Exchange Act of 1934, the registrant has duly caused this report to be signed on its behalf by the undersigned thereunto duly authorized.</w:t>
      </w:r>
      <w:r>
        <w:rPr>
          <w:rFonts w:ascii="Times New Roman" w:hAnsi="Times New Roman"/>
          <w:color w:val="000000"/>
          <w:sz w:val="20"/>
        </w:rPr>
        <w:t xml:space="preserve"> </w:t>
      </w:r>
    </w:p>
    <w:tbl>
      <w:tblPr>
        <w:tblW w:w="4033" w:type="dxa"/>
        <w:jc w:val="left"/>
        <w:tblInd w:w="0" w:type="dxa"/>
        <w:tblLayout w:type="fixed"/>
        <w:tblCellMar>
          <w:top w:w="28" w:type="dxa"/>
          <w:left w:w="28" w:type="dxa"/>
          <w:bottom w:w="28" w:type="dxa"/>
          <w:right w:w="28" w:type="dxa"/>
        </w:tblCellMar>
      </w:tblPr>
      <w:tblGrid>
        <w:gridCol w:w="646"/>
        <w:gridCol w:w="146"/>
        <w:gridCol w:w="3241"/>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1" w:type="dxa"/>
            <w:tcBorders/>
            <w:vAlign w:val="center"/>
          </w:tcPr>
          <w:p>
            <w:pPr>
              <w:pStyle w:val="TableContents"/>
              <w:bidi w:val="0"/>
              <w:spacing w:before="0" w:after="283"/>
              <w:jc w:val="left"/>
              <w:rPr>
                <w:sz w:val="4"/>
                <w:szCs w:val="4"/>
              </w:rPr>
            </w:pPr>
            <w:r>
              <w:rPr>
                <w:sz w:val="4"/>
                <w:szCs w:val="4"/>
              </w:rPr>
            </w:r>
          </w:p>
        </w:tc>
      </w:tr>
      <w:tr>
        <w:trPr/>
        <w:tc>
          <w:tcPr>
            <w:tcW w:w="4033" w:type="dxa"/>
            <w:gridSpan w:val="3"/>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HUBSPOT, INC.</w:t>
            </w:r>
          </w:p>
        </w:tc>
      </w:tr>
      <w:tr>
        <w:trPr/>
        <w:tc>
          <w:tcPr>
            <w:tcW w:w="646" w:type="dxa"/>
            <w:tcBorders/>
            <w:vAlign w:val="center"/>
          </w:tcPr>
          <w:p>
            <w:pPr>
              <w:pStyle w:val="TableContents"/>
              <w:bidi w:val="0"/>
              <w:spacing w:before="0" w:after="283"/>
              <w:jc w:val="left"/>
              <w:rPr/>
            </w:pPr>
            <w:r>
              <w:rPr/>
              <w:t> </w:t>
            </w:r>
          </w:p>
        </w:tc>
        <w:tc>
          <w:tcPr>
            <w:tcW w:w="3387" w:type="dxa"/>
            <w:gridSpan w:val="2"/>
            <w:tcBorders/>
            <w:vAlign w:val="center"/>
          </w:tcPr>
          <w:p>
            <w:pPr>
              <w:pStyle w:val="TableContents"/>
              <w:bidi w:val="0"/>
              <w:spacing w:before="0" w:after="283"/>
              <w:jc w:val="left"/>
              <w:rPr/>
            </w:pPr>
            <w:r>
              <w:rPr/>
              <w:t> </w:t>
            </w:r>
          </w:p>
        </w:tc>
      </w:tr>
      <w:tr>
        <w:trPr/>
        <w:tc>
          <w:tcPr>
            <w:tcW w:w="64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146" w:type="dxa"/>
            <w:tcBorders/>
            <w:vAlign w:val="center"/>
          </w:tcPr>
          <w:p>
            <w:pPr>
              <w:pStyle w:val="TableContents"/>
              <w:bidi w:val="0"/>
              <w:spacing w:before="0" w:after="283"/>
              <w:jc w:val="left"/>
              <w:rPr>
                <w:sz w:val="4"/>
                <w:szCs w:val="4"/>
              </w:rPr>
            </w:pPr>
            <w:r>
              <w:rPr>
                <w:sz w:val="4"/>
                <w:szCs w:val="4"/>
              </w:rPr>
            </w:r>
          </w:p>
        </w:tc>
        <w:tc>
          <w:tcPr>
            <w:tcW w:w="32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Kate Bueker</w:t>
            </w:r>
          </w:p>
        </w:tc>
      </w:tr>
      <w:tr>
        <w:trPr/>
        <w:tc>
          <w:tcPr>
            <w:tcW w:w="64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Name:</w:t>
            </w:r>
          </w:p>
        </w:tc>
        <w:tc>
          <w:tcPr>
            <w:tcW w:w="146" w:type="dxa"/>
            <w:tcBorders/>
            <w:vAlign w:val="center"/>
          </w:tcPr>
          <w:p>
            <w:pPr>
              <w:pStyle w:val="TableContents"/>
              <w:bidi w:val="0"/>
              <w:spacing w:before="0" w:after="283"/>
              <w:jc w:val="left"/>
              <w:rPr/>
            </w:pPr>
            <w:r>
              <w:rPr/>
              <w:t> </w:t>
            </w:r>
          </w:p>
        </w:tc>
        <w:tc>
          <w:tcPr>
            <w:tcW w:w="324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Kate Bueker</w:t>
            </w:r>
          </w:p>
        </w:tc>
      </w:tr>
      <w:tr>
        <w:trPr/>
        <w:tc>
          <w:tcPr>
            <w:tcW w:w="64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Title:</w:t>
            </w:r>
          </w:p>
        </w:tc>
        <w:tc>
          <w:tcPr>
            <w:tcW w:w="146" w:type="dxa"/>
            <w:tcBorders/>
            <w:vAlign w:val="center"/>
          </w:tcPr>
          <w:p>
            <w:pPr>
              <w:pStyle w:val="TableContents"/>
              <w:bidi w:val="0"/>
              <w:spacing w:before="0" w:after="283"/>
              <w:jc w:val="left"/>
              <w:rPr/>
            </w:pPr>
            <w:r>
              <w:rPr/>
              <w:t> </w:t>
            </w:r>
          </w:p>
        </w:tc>
        <w:tc>
          <w:tcPr>
            <w:tcW w:w="3241" w:type="dxa"/>
            <w:tcBorders/>
            <w:vAlign w:val="center"/>
          </w:tcPr>
          <w:p>
            <w:pPr>
              <w:pStyle w:val="TableContents"/>
              <w:bidi w:val="0"/>
              <w:jc w:val="left"/>
              <w:rPr>
                <w:rFonts w:ascii="Times New Roman" w:hAnsi="Times New Roman"/>
                <w:b w:val="false"/>
                <w:color w:val="000000"/>
                <w:sz w:val="20"/>
              </w:rPr>
            </w:pPr>
            <w:r>
              <w:rPr>
                <w:rFonts w:ascii="Times New Roman" w:hAnsi="Times New Roman"/>
                <w:b w:val="false"/>
                <w:color w:val="000000"/>
                <w:sz w:val="20"/>
              </w:rPr>
              <w:t>Chief Financial Officer</w:t>
            </w:r>
          </w:p>
          <w:p>
            <w:pPr>
              <w:pStyle w:val="TableContents"/>
              <w:bidi w:val="0"/>
              <w:jc w:val="left"/>
              <w:rPr>
                <w:rFonts w:ascii="Times New Roman" w:hAnsi="Times New Roman"/>
                <w:sz w:val="20"/>
              </w:rPr>
            </w:pPr>
            <w:r>
              <w:rPr>
                <w:rFonts w:ascii="Times New Roman" w:hAnsi="Times New Roman"/>
                <w:b w:val="false"/>
                <w:i/>
                <w:color w:val="000000"/>
                <w:sz w:val="20"/>
              </w:rPr>
              <w:t>(Principal Financial and Accounting</w:t>
            </w:r>
            <w:r>
              <w:rPr>
                <w:rFonts w:ascii="Times New Roman" w:hAnsi="Times New Roman"/>
                <w:color w:val="000000"/>
                <w:sz w:val="20"/>
              </w:rPr>
              <w:t xml:space="preserve"> </w:t>
            </w:r>
          </w:p>
          <w:p>
            <w:pPr>
              <w:pStyle w:val="TableContents"/>
              <w:bidi w:val="0"/>
              <w:spacing w:before="0" w:after="283"/>
              <w:jc w:val="left"/>
              <w:rPr>
                <w:rFonts w:ascii="Times New Roman" w:hAnsi="Times New Roman"/>
                <w:b w:val="false"/>
                <w:i/>
                <w:color w:val="000000"/>
                <w:sz w:val="20"/>
              </w:rPr>
            </w:pPr>
            <w:r>
              <w:rPr>
                <w:rFonts w:ascii="Times New Roman" w:hAnsi="Times New Roman"/>
                <w:b w:val="false"/>
                <w:i/>
                <w:color w:val="000000"/>
                <w:sz w:val="20"/>
              </w:rPr>
              <w:t>Officer and Authorized Signatory)</w:t>
            </w:r>
          </w:p>
        </w:tc>
      </w:tr>
    </w:tbl>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November 8, 2023</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bookmarkStart w:id="22" w:name="hubs-ex31_1.htm"/>
      <w:bookmarkStart w:id="23" w:name="kshubsex31_1"/>
      <w:bookmarkEnd w:id="22"/>
      <w:bookmarkEnd w:id="23"/>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w:t>
      </w:r>
    </w:p>
    <w:p>
      <w:pPr>
        <w:pStyle w:val="TextBody"/>
        <w:bidi w:val="0"/>
        <w:jc w:val="center"/>
        <w:rPr>
          <w:rFonts w:ascii="Times New Roman" w:hAnsi="Times New Roman"/>
          <w:b/>
          <w:color w:val="000000"/>
          <w:sz w:val="20"/>
        </w:rPr>
      </w:pPr>
      <w:r>
        <w:rPr>
          <w:rFonts w:ascii="Times New Roman" w:hAnsi="Times New Roman"/>
          <w:b/>
          <w:color w:val="000000"/>
          <w:sz w:val="20"/>
        </w:rPr>
        <w:t>Exchange Act Rules 13a-14(a) and 15d-14(a),</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 Yamini Rangan, certify that: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 have reviewed this quarterly report on Form 10-Q of HubSpot, Inc.;</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5.</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Any fraud, whether or not material, that involves management or other employees who have a significant role in the registrant’s internal control over financial reporting.</w:t>
      </w:r>
    </w:p>
    <w:tbl>
      <w:tblPr>
        <w:tblW w:w="5275" w:type="dxa"/>
        <w:jc w:val="left"/>
        <w:tblInd w:w="0" w:type="dxa"/>
        <w:tblLayout w:type="fixed"/>
        <w:tblCellMar>
          <w:top w:w="28" w:type="dxa"/>
          <w:left w:w="28" w:type="dxa"/>
          <w:bottom w:w="28" w:type="dxa"/>
          <w:right w:w="28" w:type="dxa"/>
        </w:tblCellMar>
      </w:tblPr>
      <w:tblGrid>
        <w:gridCol w:w="2101"/>
        <w:gridCol w:w="146"/>
        <w:gridCol w:w="406"/>
        <w:gridCol w:w="146"/>
        <w:gridCol w:w="2476"/>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8, 2023</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146" w:type="dxa"/>
            <w:tcBorders/>
            <w:vAlign w:val="center"/>
          </w:tcPr>
          <w:p>
            <w:pPr>
              <w:pStyle w:val="TableContents"/>
              <w:bidi w:val="0"/>
              <w:spacing w:before="0" w:after="283"/>
              <w:jc w:val="left"/>
              <w:rPr/>
            </w:pPr>
            <w:r>
              <w:rPr/>
              <w:t> </w:t>
            </w:r>
          </w:p>
        </w:tc>
        <w:tc>
          <w:tcPr>
            <w:tcW w:w="247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Yamini Rangan</w:t>
            </w:r>
          </w:p>
        </w:tc>
      </w:tr>
      <w:tr>
        <w:trPr/>
        <w:tc>
          <w:tcPr>
            <w:tcW w:w="21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7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Yamini Rangan</w:t>
            </w:r>
          </w:p>
        </w:tc>
      </w:tr>
      <w:tr>
        <w:trPr/>
        <w:tc>
          <w:tcPr>
            <w:tcW w:w="21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76" w:type="dxa"/>
            <w:tcBorders/>
            <w:vAlign w:val="center"/>
          </w:tcPr>
          <w:p>
            <w:pPr>
              <w:pStyle w:val="TableContents"/>
              <w:bidi w:val="0"/>
              <w:jc w:val="left"/>
              <w:rPr>
                <w:rFonts w:ascii="Times New Roman" w:hAnsi="Times New Roman"/>
                <w:b w:val="false"/>
                <w:color w:val="000000"/>
                <w:sz w:val="20"/>
              </w:rPr>
            </w:pPr>
            <w:r>
              <w:rPr>
                <w:rFonts w:ascii="Times New Roman" w:hAnsi="Times New Roman"/>
                <w:b w:val="false"/>
                <w:color w:val="000000"/>
                <w:sz w:val="20"/>
              </w:rPr>
              <w:t>Chief Executive Officer</w:t>
            </w:r>
          </w:p>
          <w:p>
            <w:pPr>
              <w:pStyle w:val="TableContents"/>
              <w:bidi w:val="0"/>
              <w:spacing w:before="0" w:after="20"/>
              <w:jc w:val="left"/>
              <w:rPr>
                <w:rFonts w:ascii="Times New Roman" w:hAnsi="Times New Roman"/>
                <w:b w:val="false"/>
                <w:color w:val="000000"/>
                <w:sz w:val="20"/>
              </w:rPr>
            </w:pPr>
            <w:r>
              <w:rPr>
                <w:rFonts w:ascii="Times New Roman" w:hAnsi="Times New Roman"/>
                <w:b w:val="false"/>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4" w:name="hubs-ex31_2.htm"/>
      <w:bookmarkStart w:id="25" w:name="kshubsex31_2"/>
      <w:bookmarkEnd w:id="24"/>
      <w:bookmarkEnd w:id="2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w:t>
      </w:r>
    </w:p>
    <w:p>
      <w:pPr>
        <w:pStyle w:val="TextBody"/>
        <w:bidi w:val="0"/>
        <w:jc w:val="center"/>
        <w:rPr>
          <w:rFonts w:ascii="Times New Roman" w:hAnsi="Times New Roman"/>
          <w:b/>
          <w:color w:val="000000"/>
          <w:sz w:val="20"/>
        </w:rPr>
      </w:pPr>
      <w:r>
        <w:rPr>
          <w:rFonts w:ascii="Times New Roman" w:hAnsi="Times New Roman"/>
          <w:b/>
          <w:color w:val="000000"/>
          <w:sz w:val="20"/>
        </w:rPr>
        <w:t>Exchange Act Rules 13a-14(a) and 15d-14(a),</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 Kate Bueker, certify that: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 have reviewed this quarterly report on Form 10-Q of HubSpot, Inc.;</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5.</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Any fraud, whether or not material, that involves management or other employees who have a significant role in the registrant’s internal control over financial reporting.</w:t>
      </w:r>
    </w:p>
    <w:tbl>
      <w:tblPr>
        <w:tblW w:w="5215" w:type="dxa"/>
        <w:jc w:val="left"/>
        <w:tblInd w:w="0" w:type="dxa"/>
        <w:tblLayout w:type="fixed"/>
        <w:tblCellMar>
          <w:top w:w="28" w:type="dxa"/>
          <w:left w:w="28" w:type="dxa"/>
          <w:bottom w:w="28" w:type="dxa"/>
          <w:right w:w="28" w:type="dxa"/>
        </w:tblCellMar>
      </w:tblPr>
      <w:tblGrid>
        <w:gridCol w:w="2101"/>
        <w:gridCol w:w="146"/>
        <w:gridCol w:w="406"/>
        <w:gridCol w:w="146"/>
        <w:gridCol w:w="2416"/>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8, 2023</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146" w:type="dxa"/>
            <w:tcBorders/>
            <w:vAlign w:val="center"/>
          </w:tcPr>
          <w:p>
            <w:pPr>
              <w:pStyle w:val="TableContents"/>
              <w:bidi w:val="0"/>
              <w:spacing w:before="0" w:after="283"/>
              <w:jc w:val="left"/>
              <w:rPr/>
            </w:pPr>
            <w:r>
              <w:rPr/>
              <w:t> </w:t>
            </w:r>
          </w:p>
        </w:tc>
        <w:tc>
          <w:tcPr>
            <w:tcW w:w="241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/s/ Kate Bueker</w:t>
            </w:r>
            <w:r>
              <w:rPr>
                <w:rFonts w:ascii="Times New Roman" w:hAnsi="Times New Roman"/>
                <w:color w:val="000000"/>
                <w:sz w:val="20"/>
              </w:rPr>
              <w:t xml:space="preserve"> </w:t>
            </w:r>
          </w:p>
        </w:tc>
      </w:tr>
      <w:tr>
        <w:trPr/>
        <w:tc>
          <w:tcPr>
            <w:tcW w:w="21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Kate Bueker</w:t>
            </w:r>
          </w:p>
        </w:tc>
      </w:tr>
      <w:tr>
        <w:trPr/>
        <w:tc>
          <w:tcPr>
            <w:tcW w:w="21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6" w:type="dxa"/>
            <w:tcBorders/>
            <w:vAlign w:val="center"/>
          </w:tcPr>
          <w:p>
            <w:pPr>
              <w:pStyle w:val="TableContents"/>
              <w:bidi w:val="0"/>
              <w:jc w:val="left"/>
              <w:rPr>
                <w:rFonts w:ascii="Times New Roman" w:hAnsi="Times New Roman"/>
                <w:sz w:val="20"/>
              </w:rPr>
            </w:pPr>
            <w:r>
              <w:rPr>
                <w:rFonts w:ascii="Times New Roman" w:hAnsi="Times New Roman"/>
                <w:b w:val="false"/>
                <w:color w:val="000000"/>
                <w:sz w:val="20"/>
              </w:rPr>
              <w:t>Chief Financial Officer</w:t>
            </w:r>
            <w:r>
              <w:rPr>
                <w:rFonts w:ascii="Times New Roman" w:hAnsi="Times New Roman"/>
                <w:color w:val="000000"/>
                <w:sz w:val="20"/>
              </w:rPr>
              <w:t xml:space="preserve"> </w:t>
            </w:r>
          </w:p>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hubs-ex32_1.htm"/>
      <w:bookmarkStart w:id="27" w:name="kshubsex32_1"/>
      <w:bookmarkEnd w:id="26"/>
      <w:bookmarkEnd w:id="2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EXECUTIVE OFFICER AND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 Yamini Rangan, certify, pursuant to 18 U.S.C. Section 1350, as adopted pursuant to Section 906 of the Sarbanes-Oxley Act of 2002, that, to my knowledge, the Quarterly Report on Form 10-Q of HubSpot, Inc. for the period ended September 30, 2023 fully complies with the requirements of Section 13(a) or 15(d) of the Securities Exchange Act of 1934 and that information contained in such Quarterly Report on Form 10-Q fairly presents, in all material respects, the financial condition and results of operations of HubSpot, Inc.</w:t>
      </w:r>
    </w:p>
    <w:tbl>
      <w:tblPr>
        <w:tblW w:w="5275" w:type="dxa"/>
        <w:jc w:val="left"/>
        <w:tblInd w:w="0" w:type="dxa"/>
        <w:tblLayout w:type="fixed"/>
        <w:tblCellMar>
          <w:top w:w="28" w:type="dxa"/>
          <w:left w:w="28" w:type="dxa"/>
          <w:bottom w:w="28" w:type="dxa"/>
          <w:right w:w="28" w:type="dxa"/>
        </w:tblCellMar>
      </w:tblPr>
      <w:tblGrid>
        <w:gridCol w:w="2101"/>
        <w:gridCol w:w="146"/>
        <w:gridCol w:w="406"/>
        <w:gridCol w:w="146"/>
        <w:gridCol w:w="2476"/>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8, 2023</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146" w:type="dxa"/>
            <w:tcBorders/>
            <w:shd w:fill="FFFFFF" w:val="clear"/>
            <w:vAlign w:val="center"/>
          </w:tcPr>
          <w:p>
            <w:pPr>
              <w:pStyle w:val="TableContents"/>
              <w:bidi w:val="0"/>
              <w:spacing w:before="0" w:after="283"/>
              <w:jc w:val="left"/>
              <w:rPr/>
            </w:pPr>
            <w:r>
              <w:rPr/>
              <w:t> </w:t>
            </w:r>
          </w:p>
        </w:tc>
        <w:tc>
          <w:tcPr>
            <w:tcW w:w="247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Yamini Rangan</w:t>
            </w:r>
          </w:p>
        </w:tc>
      </w:tr>
      <w:tr>
        <w:trPr/>
        <w:tc>
          <w:tcPr>
            <w:tcW w:w="21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Yamini Rangan</w:t>
            </w:r>
          </w:p>
        </w:tc>
      </w:tr>
      <w:tr>
        <w:trPr/>
        <w:tc>
          <w:tcPr>
            <w:tcW w:w="21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76" w:type="dxa"/>
            <w:tcBorders/>
            <w:shd w:fill="FFFFFF" w:val="clear"/>
            <w:vAlign w:val="center"/>
          </w:tcPr>
          <w:p>
            <w:pPr>
              <w:pStyle w:val="TableContents"/>
              <w:bidi w:val="0"/>
              <w:jc w:val="left"/>
              <w:rPr>
                <w:rFonts w:ascii="Times New Roman" w:hAnsi="Times New Roman"/>
                <w:b w:val="false"/>
                <w:color w:val="000000"/>
                <w:sz w:val="20"/>
              </w:rPr>
            </w:pPr>
            <w:r>
              <w:rPr>
                <w:rFonts w:ascii="Times New Roman" w:hAnsi="Times New Roman"/>
                <w:b w:val="false"/>
                <w:color w:val="000000"/>
                <w:sz w:val="20"/>
              </w:rPr>
              <w:t>Chief Executive Officer</w:t>
            </w:r>
          </w:p>
          <w:p>
            <w:pPr>
              <w:pStyle w:val="TableContents"/>
              <w:bidi w:val="0"/>
              <w:spacing w:before="0" w:after="20"/>
              <w:jc w:val="left"/>
              <w:rPr>
                <w:rFonts w:ascii="Times New Roman" w:hAnsi="Times New Roman"/>
                <w:b w:val="false"/>
                <w:color w:val="000000"/>
                <w:sz w:val="20"/>
              </w:rPr>
            </w:pPr>
            <w:r>
              <w:rPr>
                <w:rFonts w:ascii="Times New Roman" w:hAnsi="Times New Roman"/>
                <w:b w:val="false"/>
                <w:color w:val="000000"/>
                <w:sz w:val="20"/>
              </w:rPr>
              <w:t>(Principal Executive Officer)</w:t>
            </w:r>
          </w:p>
        </w:tc>
      </w:tr>
    </w:tbl>
    <w:p>
      <w:pPr>
        <w:pStyle w:val="TextBody"/>
        <w:bidi w:val="0"/>
        <w:jc w:val="left"/>
        <w:rPr/>
      </w:pPr>
      <w:r>
        <w:rPr/>
        <w:t> </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I, Kate Bueker, certify, pursuant to 18 U.S.C. Section 1350, as adopted pursuant to Section 906 of the Sarbanes-Oxley Act of 2002, that, to my knowledge, the Quarterly Report on Form 10-Q of HubSpot, Inc. for the period ended September 30, 2023 fully complies with the requirements of Section 13(a) or 15(d) of the Securities Exchange Act of 1934 and that information contained in such Quarterly Report on Form 10-Q fairly presents, in all material respects, the financial condition and results of operations of HubSpot, Inc.</w:t>
      </w:r>
    </w:p>
    <w:tbl>
      <w:tblPr>
        <w:tblW w:w="5215" w:type="dxa"/>
        <w:jc w:val="left"/>
        <w:tblInd w:w="0" w:type="dxa"/>
        <w:tblLayout w:type="fixed"/>
        <w:tblCellMar>
          <w:top w:w="28" w:type="dxa"/>
          <w:left w:w="28" w:type="dxa"/>
          <w:bottom w:w="28" w:type="dxa"/>
          <w:right w:w="28" w:type="dxa"/>
        </w:tblCellMar>
      </w:tblPr>
      <w:tblGrid>
        <w:gridCol w:w="2101"/>
        <w:gridCol w:w="146"/>
        <w:gridCol w:w="406"/>
        <w:gridCol w:w="146"/>
        <w:gridCol w:w="2416"/>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8, 2023</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146" w:type="dxa"/>
            <w:tcBorders/>
            <w:shd w:fill="FFFFFF" w:val="clear"/>
            <w:vAlign w:val="center"/>
          </w:tcPr>
          <w:p>
            <w:pPr>
              <w:pStyle w:val="TableContents"/>
              <w:bidi w:val="0"/>
              <w:spacing w:before="0" w:after="283"/>
              <w:jc w:val="left"/>
              <w:rPr/>
            </w:pPr>
            <w:r>
              <w:rPr/>
              <w:t> </w:t>
            </w:r>
          </w:p>
        </w:tc>
        <w:tc>
          <w:tcPr>
            <w:tcW w:w="241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Kate Bueker</w:t>
            </w:r>
          </w:p>
        </w:tc>
      </w:tr>
      <w:tr>
        <w:trPr/>
        <w:tc>
          <w:tcPr>
            <w:tcW w:w="21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Kate Bueker</w:t>
            </w:r>
          </w:p>
        </w:tc>
      </w:tr>
      <w:tr>
        <w:trPr/>
        <w:tc>
          <w:tcPr>
            <w:tcW w:w="21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6" w:type="dxa"/>
            <w:tcBorders/>
            <w:shd w:fill="FFFFFF" w:val="clear"/>
            <w:vAlign w:val="center"/>
          </w:tcPr>
          <w:p>
            <w:pPr>
              <w:pStyle w:val="TableContents"/>
              <w:bidi w:val="0"/>
              <w:jc w:val="left"/>
              <w:rPr>
                <w:rFonts w:ascii="Times New Roman" w:hAnsi="Times New Roman"/>
                <w:sz w:val="20"/>
              </w:rPr>
            </w:pPr>
            <w:r>
              <w:rPr>
                <w:rFonts w:ascii="Times New Roman" w:hAnsi="Times New Roman"/>
                <w:b w:val="false"/>
                <w:color w:val="000000"/>
                <w:sz w:val="20"/>
              </w:rPr>
              <w:t>Chief Financial Officer</w:t>
            </w:r>
            <w:r>
              <w:rPr>
                <w:rFonts w:ascii="Times New Roman" w:hAnsi="Times New Roman"/>
                <w:color w:val="000000"/>
                <w:sz w:val="20"/>
              </w:rPr>
              <w:t xml:space="preserve"> </w:t>
            </w:r>
          </w:p>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(Principal Financial Officer)</w:t>
            </w:r>
          </w:p>
        </w:tc>
      </w:tr>
    </w:tbl>
    <w:p>
      <w:pPr>
        <w:pStyle w:val="TextBody"/>
        <w:bidi w:val="0"/>
        <w:jc w:val="left"/>
        <w:rPr/>
      </w:pPr>
      <w:r>
        <w:rPr/>
        <w:t> </w:t>
      </w:r>
    </w:p>
    <w:p>
      <w:pPr>
        <w:pStyle w:val="TextBody"/>
        <w:bidi w:val="0"/>
        <w:spacing w:before="40" w:after="283"/>
        <w:jc w:val="left"/>
        <w:rPr>
          <w:rFonts w:ascii="Times New Roman" w:hAnsi="Times New Roman"/>
          <w:b w:val="false"/>
          <w:i/>
          <w:color w:val="000000"/>
          <w:sz w:val="20"/>
        </w:rPr>
      </w:pPr>
      <w:r>
        <w:rPr>
          <w:rFonts w:ascii="Times New Roman" w:hAnsi="Times New Roman"/>
          <w:b w:val="false"/>
          <w:i/>
          <w:color w:val="000000"/>
          <w:sz w:val="20"/>
        </w:rPr>
        <w:t>The foregoing certifications are not deemed filed with the Securities and Exchange Commission for purposes of Section 18 of the Securities Exchange Act of 1934, as amended (Exchange Act), and are not to be incorporated by reference into any filing of HubSpot, Inc. under the Securities Act of 1933, as amended, or the Exchange Act, whether made before or after the date hereof, regardless of any general incorporation language in such filing.</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04655/000156459016013204/hubs-ex31_768.htm" TargetMode="External"/><Relationship Id="rId3" Type="http://schemas.openxmlformats.org/officeDocument/2006/relationships/hyperlink" Target="https://www.sec.gov/Archives/edgar/data/1404655/000095017023001309/hubs-ex3_1.htm" TargetMode="External"/><Relationship Id="rId4" Type="http://schemas.openxmlformats.org/officeDocument/2006/relationships/hyperlink" Target="https://www.sec.gov/Archives/edgar/data/1404655/000095017023001309/hubs-ex3_1.htm" TargetMode="External"/><Relationship Id="rId5" Type="http://schemas.openxmlformats.org/officeDocument/2006/relationships/hyperlink" Target="https://www.sec.gov/Archives/edgar/data/1404655/000119312514353746/d697256dex4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40651</Words>
  <Characters>224091</Characters>
  <CharactersWithSpaces>266349</CharactersWithSpaces>
  <Paragraphs>8130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