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ubs-20260630.htm"/>
      <w:bookmarkStart w:id="1" w:name="kshubs20260630"/>
      <w:bookmarkEnd w:id="0"/>
      <w:bookmarkEnd w:id="1"/>
      <w:r>
        <w:rPr/>
        <w:t>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UNITED STATES</w:t>
      </w:r>
    </w:p>
    <w:p>
      <w:pPr>
        <w:pStyle w:val="TextBody"/>
        <w:bidi w:val="0"/>
        <w:jc w:val="center"/>
        <w:rPr>
          <w:rFonts w:ascii="Times New Roman" w:hAnsi="Times New Roman"/>
          <w:b/>
          <w:color w:val="000000"/>
          <w:sz w:val="18"/>
        </w:rPr>
      </w:pPr>
      <w:r>
        <w:rPr>
          <w:rFonts w:ascii="Times New Roman" w:hAnsi="Times New Roman"/>
          <w:b/>
          <w:color w:val="000000"/>
          <w:sz w:val="18"/>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26"/>
        </w:rPr>
      </w:pPr>
      <w:r>
        <w:rPr>
          <w:rFonts w:ascii="Times New Roman" w:hAnsi="Times New Roman"/>
          <w:b/>
          <w:color w:val="000000"/>
          <w:sz w:val="26"/>
        </w:rPr>
        <w:t>FORM 10-Q</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b/>
          <w:color w:val="000000"/>
          <w:sz w:val="18"/>
        </w:rPr>
      </w:pPr>
      <w:r>
        <w:rPr>
          <w:rFonts w:ascii="Times New Roman" w:hAnsi="Times New Roman"/>
          <w:b/>
          <w:color w:val="000000"/>
          <w:sz w:val="18"/>
        </w:rPr>
        <w:t>(MARK ONE)</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jc w:val="left"/>
        <w:rPr/>
      </w:pPr>
      <w:r>
        <w:rPr/>
        <w:t> </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FOR THE QUARTERLY PERIOD ENDED June 30, 2026</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OR</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COMMISSION FILE NUMBER 001-36680</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44"/>
        </w:rPr>
      </w:pPr>
      <w:r>
        <w:rPr>
          <w:rFonts w:ascii="Times New Roman" w:hAnsi="Times New Roman"/>
          <w:b/>
          <w:color w:val="000000"/>
          <w:sz w:val="44"/>
        </w:rPr>
        <w:t>HubSpot,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tbl>
      <w:tblPr>
        <w:tblW w:w="4116" w:type="dxa"/>
        <w:jc w:val="left"/>
        <w:tblInd w:w="0" w:type="dxa"/>
        <w:tblLayout w:type="fixed"/>
        <w:tblCellMar>
          <w:top w:w="28" w:type="dxa"/>
          <w:left w:w="28" w:type="dxa"/>
          <w:bottom w:w="28" w:type="dxa"/>
          <w:right w:w="28" w:type="dxa"/>
        </w:tblCellMar>
      </w:tblPr>
      <w:tblGrid>
        <w:gridCol w:w="2446"/>
        <w:gridCol w:w="109"/>
        <w:gridCol w:w="1561"/>
      </w:tblGrid>
      <w:tr>
        <w:trPr/>
        <w:tc>
          <w:tcPr>
            <w:tcW w:w="2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20-2632791</w:t>
            </w:r>
          </w:p>
        </w:tc>
      </w:tr>
      <w:tr>
        <w:trPr/>
        <w:tc>
          <w:tcPr>
            <w:tcW w:w="24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(State or other jurisdiction of</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(I.R.S. Employer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Identification No.)</w:t>
            </w:r>
          </w:p>
        </w:tc>
      </w:tr>
    </w:tbl>
    <w:p>
      <w:pPr>
        <w:pStyle w:val="TextBody"/>
        <w:bidi w:val="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283"/>
              <w:jc w:val="left"/>
              <w:rPr>
                <w:sz w:val="4"/>
                <w:szCs w:val="4"/>
              </w:rPr>
            </w:pPr>
            <w:r>
              <w:rPr>
                <w:sz w:val="4"/>
                <w:szCs w:val="4"/>
              </w:rPr>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Two Canal Park</w:t>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9"/>
              </w:rPr>
              <w:t>Cambridge, Massachusetts</w:t>
            </w:r>
            <w:r>
              <w:rPr>
                <w:rFonts w:ascii="Times New Roman" w:hAnsi="Times New Roman"/>
                <w:color w:val="000000"/>
                <w:sz w:val="20"/>
              </w:rPr>
              <w:t xml:space="preserve"> </w:t>
            </w:r>
            <w:r>
              <w:rPr>
                <w:rFonts w:ascii="Times New Roman" w:hAnsi="Times New Roman"/>
                <w:b/>
                <w:color w:val="000000"/>
                <w:sz w:val="19"/>
              </w:rPr>
              <w:t>02141</w:t>
            </w:r>
          </w:p>
        </w:tc>
      </w:tr>
      <w:tr>
        <w:trPr/>
        <w:tc>
          <w:tcPr>
            <w:tcW w:w="348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color w:val="000000"/>
                <w:sz w:val="19"/>
              </w:rPr>
              <w:t>(Address of principal executive offices)</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(888) 482-7768</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8770" w:type="dxa"/>
        <w:jc w:val="left"/>
        <w:tblInd w:w="0" w:type="dxa"/>
        <w:tblLayout w:type="fixed"/>
        <w:tblCellMar>
          <w:top w:w="28" w:type="dxa"/>
          <w:left w:w="28" w:type="dxa"/>
          <w:bottom w:w="28" w:type="dxa"/>
          <w:right w:w="28" w:type="dxa"/>
        </w:tblCellMar>
      </w:tblPr>
      <w:tblGrid>
        <w:gridCol w:w="3436"/>
        <w:gridCol w:w="146"/>
        <w:gridCol w:w="1561"/>
        <w:gridCol w:w="146"/>
        <w:gridCol w:w="348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HUBS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New York Stock Exchange</w:t>
            </w:r>
          </w:p>
        </w:tc>
      </w:tr>
    </w:tbl>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525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0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There were 49,866,201</w:t>
      </w:r>
      <w:r>
        <w:rPr>
          <w:rFonts w:ascii="Times New Roman" w:hAnsi="Times New Roman"/>
          <w:color w:val="FF0000"/>
          <w:sz w:val="20"/>
        </w:rPr>
        <w:t xml:space="preserve"> </w:t>
      </w:r>
      <w:r>
        <w:rPr>
          <w:rFonts w:ascii="Times New Roman" w:hAnsi="Times New Roman"/>
          <w:color w:val="000000"/>
          <w:sz w:val="18"/>
        </w:rPr>
        <w:t>shares of the registrant’s Common Stock issued and outstanding as of July 31, 2026.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76"/>
        <w:gridCol w:w="391"/>
        <w:gridCol w:w="8477"/>
        <w:gridCol w:w="361"/>
      </w:tblGrid>
      <w:tr>
        <w:trPr/>
        <w:tc>
          <w:tcPr>
            <w:tcW w:w="9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7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hyperlink w:anchor="part_i_financial_information">
              <w:r>
                <w:rPr>
                  <w:rStyle w:val="InternetLink"/>
                  <w:rFonts w:ascii="Times New Roman" w:hAnsi="Times New Roman"/>
                  <w:b/>
                  <w:color w:val="0000FF"/>
                  <w:sz w:val="20"/>
                  <w:u w:val="single"/>
                </w:rPr>
                <w:t>Part I — Financial Information</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center"/>
              <w:rPr/>
            </w:pPr>
            <w:r>
              <w:rPr/>
              <w:t> </w:t>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_financial_statements">
              <w:r>
                <w:rPr>
                  <w:rStyle w:val="InternetLink"/>
                  <w:rFonts w:ascii="Times New Roman" w:hAnsi="Times New Roman"/>
                  <w:color w:val="0000FF"/>
                  <w:sz w:val="20"/>
                  <w:u w:val="single"/>
                </w:rPr>
                <w:t>Unaudited Consolidated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unaudited_consolidated_balance_sheets">
              <w:r>
                <w:rPr>
                  <w:rStyle w:val="InternetLink"/>
                  <w:rFonts w:ascii="Times New Roman" w:hAnsi="Times New Roman"/>
                  <w:color w:val="0000FF"/>
                  <w:sz w:val="20"/>
                  <w:u w:val="single"/>
                </w:rPr>
                <w:t>Unaudited Consolidated Balance Sheets as of June 30, 2026 and December 31, 2025</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unaudited_consolidated_statements_operat">
              <w:r>
                <w:rPr>
                  <w:rStyle w:val="InternetLink"/>
                  <w:rFonts w:ascii="Times New Roman" w:hAnsi="Times New Roman"/>
                  <w:color w:val="0000FF"/>
                  <w:sz w:val="20"/>
                  <w:u w:val="single"/>
                </w:rPr>
                <w:t>Unaudited Consolidated Statements of Operations for the Three and Six Months Ended June 30, 2026 and 2025</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unaudited_consolidated_statements_compre">
              <w:r>
                <w:rPr>
                  <w:rStyle w:val="InternetLink"/>
                  <w:rFonts w:ascii="Times New Roman" w:hAnsi="Times New Roman"/>
                  <w:color w:val="0000FF"/>
                  <w:sz w:val="20"/>
                  <w:u w:val="single"/>
                </w:rPr>
                <w:t>Unaudited Consolidated Statements of Comprehensive Income (Loss) for the Three and Six Months Ended June 30, 2026 and 2025</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unaudted_consolidated_se">
              <w:r>
                <w:rPr>
                  <w:rStyle w:val="InternetLink"/>
                  <w:rFonts w:ascii="Times New Roman" w:hAnsi="Times New Roman"/>
                  <w:color w:val="0000FF"/>
                  <w:sz w:val="20"/>
                  <w:u w:val="single"/>
                </w:rPr>
                <w:t>Unaudited Consolidated Statement of Stockholders’ Equity for the Three and Six Months Ended June 30, 2026 and 2025</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unaudited_consolidated_statements_cash_f">
              <w:r>
                <w:rPr>
                  <w:rStyle w:val="InternetLink"/>
                  <w:rFonts w:ascii="Times New Roman" w:hAnsi="Times New Roman"/>
                  <w:color w:val="0000FF"/>
                  <w:sz w:val="20"/>
                  <w:u w:val="single"/>
                </w:rPr>
                <w:t>Unaudited Consolidated Statements of Cash Flows for the Six Months Ended June 30, 2026 and 2025</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notes_to_unaudited_consolida_ted_financi">
              <w:r>
                <w:rPr>
                  <w:rStyle w:val="InternetLink"/>
                  <w:rFonts w:ascii="Times New Roman" w:hAnsi="Times New Roman"/>
                  <w:color w:val="0000FF"/>
                  <w:sz w:val="20"/>
                  <w:u w:val="single"/>
                </w:rPr>
                <w:t>Notes to Unaudited Consolidated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4_controls_procedures">
              <w:r>
                <w:rPr>
                  <w:rStyle w:val="InternetLink"/>
                  <w:rFonts w:ascii="Times New Roman" w:hAnsi="Times New Roman"/>
                  <w:color w:val="0000FF"/>
                  <w:sz w:val="20"/>
                  <w:u w:val="single"/>
                </w:rPr>
                <w:t>Controls and Procedures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10205" w:type="dxa"/>
            <w:gridSpan w:val="4"/>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FF"/>
                  <w:sz w:val="20"/>
                  <w:u w:val="single"/>
                </w:rPr>
                <w:t>Part II — Other Information</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on_senior_securities">
              <w:r>
                <w:rPr>
                  <w:rStyle w:val="InternetLink"/>
                  <w:rFonts w:ascii="Times New Roman" w:hAnsi="Times New Roman"/>
                  <w:color w:val="0000FF"/>
                  <w:sz w:val="20"/>
                  <w:u w:val="single"/>
                </w:rPr>
                <w:t>Defaults Upon Senior Securities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EX-31.1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THE CEO PURSUANT TO SECTION 302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EX-31.2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THE CFO PURSUANT TO SECTION 302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EX-32.1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THE CEO AND CFO PURSUANT TO SECTION 906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Quarterly Report on Form 10-Q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future financial and operational performance, including our expectations regarding our revenue, cost of revenue, gross margin and operating expenses;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maintaining and expanding our customer base and increasing our average subscription revenue per customer;</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impact of competition in our industry and innovation by our competitors, including as a result of new or better use of evolving artificial intelligence (“AI”) technologies;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anticipated growth and expectations regarding our ability to manage our future growth;</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expectations regarding the potential impact of geo-political conflicts, inflationary pressures, tariffs and trade restrictions, foreign currency movement, macroeconomic stability, and catastrophic events, on our business, the broader economy, our workforce and operations, the markets in which we and our partners and customers operate, and our ability to forecast future financial performance, including variability in the intra-quarter linearity of our business;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anticipated areas of investments, including sales and marketing, research and development, including with respect to AI and machine learning, customer service and support, data center infrastructure and service capabilities, and expectations relating to such investments;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predictions about industry and market trends;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comply with obligations under our Revolving Credit Facility;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ability to anticipate and address the evolution of technology and the technological needs of our customers, to roll-out upgrades to our existing software platform and to develop new and enhanced applications to meet the needs of our customers, including with respect to AI and machine learning;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maintain our brand and marketing, selling and servicing thought leadership position;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impact of our corporate culture and our ability to attract, hire and retain necessary qualified employees to expand our operations;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anticipated effect on our business of litigation to which we are or may become a party;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successfully acquire and integrate companies and assets;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impact of our Share Repurchase Programs;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plans regarding declaring or paying cash dividends in the foreseeable future;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stay abreast of new or modified laws and regulations that currently apply or become applicable to our business both in the United States and internationally.</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Quarterly Report on Form 10-Q.</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 xml:space="preserve">You should not rely upon forward-looking statements as predictions of future events. We have based the forward-looking statements contained in this Quarterly Report on Form 10-Q primarily on our current expectations and projections about future events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and trends that we believe may affect our business, financial condition, results of operations and prospects. The outcome of the events described in these forward-looking statements is subject to risks, uncertainties and other factors described in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 this Quarterly Report on Form 10-Q, the terms “HubSpot,” “we,” “us,” and “our” refer to HubSpot, Inc. and its subsidiaries, unless the context indicates otherwise.</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website is located at http://www.hubspot.com, and our investor relations website is located at https://www.hubspot.com/investor-relations. Copies of our Annual Reports on Form 10-K, Quarterly Reports on Form 10-Q, Current Reports on Form 8-K, and amendments to these reports filed or furnished pursuant to Sections 13(a) and 15(d) of the Securities Exchange Act of 1934, as amended, are available, free of charge, on our investor relations website as soon as reasonably practicable after such reports are filed with, or furnished to, the Securities and Exchange Commission, or the SEC. The SEC also maintains a website at http://www.sec.gov that contains our SEC filings and other information regarding issuers that file electronically with the SEC.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We have used and intend to continue to, use our investor relations website and/or social media channels, such as our LinkedIn account (www.linkedin.com/company/hubspot), as means of disclosing material non-public information and for complying with our disclosure obligations under Regulation FD. Further corporate governance information, including our certificate of incorporation, bylaws, corporate governance guidelines, board committee charters, and code of business conduct and ethics, is also available on our investor relations website under the heading “Governance.” The contents of our websites or any social media channels are not intended to be incorporated by reference into this Quarterly Report on Form 10-Q or in any other report or document we file with the SEC, and any references to our websites are intended to be inactive textual references only.</w:t>
      </w:r>
    </w:p>
    <w:p>
      <w:pPr>
        <w:pStyle w:val="TextBody"/>
        <w:bidi w:val="0"/>
        <w:spacing w:before="200" w:after="283"/>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Risk Factor Summary</w:t>
      </w:r>
      <w:r>
        <w:rPr>
          <w:rFonts w:ascii="Times New Roman" w:hAnsi="Times New Roman"/>
          <w:color w:val="000000"/>
          <w:sz w:val="20"/>
        </w:rPr>
        <w:t xml:space="preserve">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The risk factors detailed in Item 1A entitled “Risk Factors” in this Quarterly Report on Form 10-Q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upon customer renewals, the addition of new customers, increased revenue from existing customers and the continued growth of the market for a customer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from both established and new companies in the software market in which we operate, which may harm our ability to add new customers, retain existing customers and grow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effectively develop and expand our marketing, sales, customer service, operations, and content management capabilities could harm our ability to increase our customer base and achieve broader market acceptance of our platform.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adapt and respond effectively to rapidly changing technology (including AI and machine learning), evolving industry standards and changing customer needs or requirements, our customer platform may become less competitive.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introduce new products and features, including new products and features that utilize AI, is dependent on adequate research and development resources. If we do not adequately fund our research and development efforts, we may not be able to compete effectively and our business and operating results may be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fluctuations in currency exchange rates that could adversely affect our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uncertainty, including from changes in trade policies, trade wars, tariffs or other trade restrictions or the threat of such actions, may lead to decreased demand for our products and services and otherwise harm our business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Interruptions or delays in service from our third-party data center providers could impair our ability to deliver our platform to our customers, resulting in customer dissatisfaction, damage to our reputation, loss of customers, limited growth, and reduction in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customer platform has outages or fails due to defects or similar problems, and if we fail to correct any defect or other software problems, we could lose customers, become subject to service performance or warranty claims or incur significant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or our customers’ security measures are compromised or unauthorized access to data of our customers or their customers is otherwise obtained, our customer platform may be perceived as not being secure, our customers may be harmed and may curtail or cease their use of our platform, our reputation may be damaged and we may incur significant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history of losses and may not become consistently profitable or maintain or increase profitability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quarterly fluctuations in our operating results due to a number of factors, which makes our future results difficult to predict and could cause our operating results to fall below expectations or our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accurately predict subscription renewal rates or otherwise fail to forecast our revenue accurately, or if we fail to match our expenditures with corresponding revenue, our operating results could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raise capital in the future may be limited, and our failure to raise capital when needed could prevent us from growing.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4" w:name="unaudited_consolidated_balance_sheets"/>
      <w:bookmarkEnd w:id="4"/>
      <w:r>
        <w:rPr>
          <w:rFonts w:ascii="Times New Roman" w:hAnsi="Times New Roman"/>
          <w:b/>
          <w:color w:val="000000"/>
          <w:sz w:val="20"/>
        </w:rPr>
        <w:t>Unaudited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144" w:type="dxa"/>
        <w:jc w:val="left"/>
        <w:tblInd w:w="0" w:type="dxa"/>
        <w:tblLayout w:type="fixed"/>
        <w:tblCellMar>
          <w:top w:w="28" w:type="dxa"/>
          <w:left w:w="28" w:type="dxa"/>
          <w:bottom w:w="28" w:type="dxa"/>
          <w:right w:w="28" w:type="dxa"/>
        </w:tblCellMar>
      </w:tblPr>
      <w:tblGrid>
        <w:gridCol w:w="7011"/>
        <w:gridCol w:w="146"/>
        <w:gridCol w:w="211"/>
        <w:gridCol w:w="931"/>
        <w:gridCol w:w="166"/>
        <w:gridCol w:w="146"/>
        <w:gridCol w:w="211"/>
        <w:gridCol w:w="931"/>
        <w:gridCol w:w="391"/>
      </w:tblGrid>
      <w:tr>
        <w:trPr/>
        <w:tc>
          <w:tcPr>
            <w:tcW w:w="7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821,552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 net of allowance for doubtful accounts of $7,285</w:t>
              <w:br/>
              <w:t>    at June 30, 2026, and $6,825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226,184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2,449,735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development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commission expense,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3,504,395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3,854,151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1,004,945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1,467,471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1,787,907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value—500,000 shares authorized; 55,402 and 54,832 </w:t>
              <w:br/>
              <w:t xml:space="preserve">    shares issued; 49,658 and 52,555 shares outstanding at June 30, 2026, and </w:t>
              <w:br/>
              <w:t>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$0.001 par value—5,744 and 2,277 shares held at June 30, 2026,</w:t>
              <w:br/>
              <w:t>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2,814,843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(753,898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2,066,244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3,504,395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3,854,151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5" w:name="unaudited_consolidated_statements_operat"/>
      <w:bookmarkEnd w:id="5"/>
      <w:r>
        <w:rPr>
          <w:rFonts w:ascii="Times New Roman" w:hAnsi="Times New Roman"/>
          <w:b/>
          <w:color w:val="000000"/>
          <w:sz w:val="20"/>
        </w:rPr>
        <w:t>Unaudited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3750"/>
        <w:gridCol w:w="249"/>
        <w:gridCol w:w="922"/>
        <w:gridCol w:w="196"/>
        <w:gridCol w:w="172"/>
        <w:gridCol w:w="249"/>
        <w:gridCol w:w="922"/>
        <w:gridCol w:w="166"/>
        <w:gridCol w:w="146"/>
        <w:gridCol w:w="214"/>
        <w:gridCol w:w="946"/>
        <w:gridCol w:w="168"/>
        <w:gridCol w:w="148"/>
        <w:gridCol w:w="214"/>
        <w:gridCol w:w="946"/>
        <w:gridCol w:w="797"/>
      </w:tblGrid>
      <w:tr>
        <w:trPr/>
        <w:tc>
          <w:tcPr>
            <w:tcW w:w="375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1,756,289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1,443,260</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36,446</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31,743</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revenue</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911,740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760,866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1,792,735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1,475,003</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145,957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274,681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206,900</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30,368</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cost of revenues</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160,879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306,572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237,268</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750,861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638,705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1,486,163</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1,237,735</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225,823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460,017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457,438</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397,707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784,138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666,578</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82,936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168,576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163,629</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707,542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1,414,900</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1,289,831</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71,263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(52,096</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38,854</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17,598</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36,768</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88,861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(15,328</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(expense) benefit</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(12,969</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(9,723</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75,892</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(25,051</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basic</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diluted</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used in computing </w:t>
              <w:br/>
              <w:t>   basic net income (loss) per share:</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52,427</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used in computing </w:t>
              <w:br/>
              <w:t>   diluted net income (loss) per share</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52,427</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6" w:name="unaudited_consolidated_statements_compre"/>
      <w:bookmarkEnd w:id="6"/>
      <w:r>
        <w:rPr>
          <w:rFonts w:ascii="Times New Roman" w:hAnsi="Times New Roman"/>
          <w:b/>
          <w:color w:val="000000"/>
          <w:sz w:val="20"/>
        </w:rPr>
        <w:t>Unaudited Consolidated Statements of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4266"/>
        <w:gridCol w:w="276"/>
        <w:gridCol w:w="885"/>
        <w:gridCol w:w="216"/>
        <w:gridCol w:w="190"/>
        <w:gridCol w:w="276"/>
        <w:gridCol w:w="826"/>
        <w:gridCol w:w="166"/>
        <w:gridCol w:w="146"/>
        <w:gridCol w:w="250"/>
        <w:gridCol w:w="801"/>
        <w:gridCol w:w="196"/>
        <w:gridCol w:w="172"/>
        <w:gridCol w:w="250"/>
        <w:gridCol w:w="872"/>
        <w:gridCol w:w="417"/>
      </w:tblGrid>
      <w:tr>
        <w:trPr/>
        <w:tc>
          <w:tcPr>
            <w:tcW w:w="426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75,892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(25,051</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10,166</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Changes in unrealized loss on investments, net of income </w:t>
              <w:br/>
              <w:t xml:space="preserve">   taxes of $0 for the three and six months ended </w:t>
              <w:br/>
              <w:t>   June 30, 2026, and 2025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unrealized loss on cash flow hedges, net of</w:t>
              <w:br/>
              <w:t>   income taxes of $109 and $176 for the three and six</w:t>
              <w:br/>
              <w:t xml:space="preserve">   months ended June 30, 2026, and $145 and $192 for the </w:t>
              <w:br/>
              <w:t>   three and six months ended June 30, 2025</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41,714</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70,813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(13,969</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7" w:name="unaudted_consolidated_se"/>
      <w:bookmarkEnd w:id="7"/>
      <w:r>
        <w:rPr>
          <w:rFonts w:ascii="Times New Roman" w:hAnsi="Times New Roman"/>
          <w:b/>
          <w:color w:val="000000"/>
          <w:sz w:val="20"/>
        </w:rPr>
        <w:t>Unaudited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267"/>
        <w:gridCol w:w="146"/>
        <w:gridCol w:w="601"/>
        <w:gridCol w:w="166"/>
        <w:gridCol w:w="146"/>
        <w:gridCol w:w="196"/>
        <w:gridCol w:w="346"/>
        <w:gridCol w:w="166"/>
        <w:gridCol w:w="146"/>
        <w:gridCol w:w="146"/>
        <w:gridCol w:w="513"/>
        <w:gridCol w:w="146"/>
        <w:gridCol w:w="146"/>
        <w:gridCol w:w="196"/>
        <w:gridCol w:w="347"/>
        <w:gridCol w:w="146"/>
        <w:gridCol w:w="146"/>
        <w:gridCol w:w="196"/>
        <w:gridCol w:w="826"/>
        <w:gridCol w:w="166"/>
        <w:gridCol w:w="146"/>
        <w:gridCol w:w="280"/>
        <w:gridCol w:w="816"/>
        <w:gridCol w:w="166"/>
        <w:gridCol w:w="146"/>
        <w:gridCol w:w="196"/>
        <w:gridCol w:w="751"/>
        <w:gridCol w:w="166"/>
        <w:gridCol w:w="146"/>
        <w:gridCol w:w="196"/>
        <w:gridCol w:w="826"/>
        <w:gridCol w:w="216"/>
      </w:tblGrid>
      <w:tr>
        <w:trPr/>
        <w:tc>
          <w:tcPr>
            <w:tcW w:w="12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br/>
              <w:t>Stock, $0.001</w:t>
              <w:br/>
              <w:t>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2,814,843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2,066,244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under </w:t>
              <w:br/>
              <w:t>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 taxes paid</w:t>
              <w:br/>
              <w:t>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(212,309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116,940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Other comprehensive loss, </w:t>
              <w:br/>
              <w: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32,554</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2,716,280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(721,344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1,996,780</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under </w:t>
              <w:br/>
              <w:t>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25,528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 taxes paid</w:t>
              <w:br/>
              <w:t>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(536,386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131,311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Other comprehensive income, </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43,338</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2,334,513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1,656,728</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269"/>
        <w:gridCol w:w="146"/>
        <w:gridCol w:w="601"/>
        <w:gridCol w:w="166"/>
        <w:gridCol w:w="146"/>
        <w:gridCol w:w="196"/>
        <w:gridCol w:w="346"/>
        <w:gridCol w:w="146"/>
        <w:gridCol w:w="146"/>
        <w:gridCol w:w="146"/>
        <w:gridCol w:w="512"/>
        <w:gridCol w:w="166"/>
        <w:gridCol w:w="146"/>
        <w:gridCol w:w="196"/>
        <w:gridCol w:w="347"/>
        <w:gridCol w:w="146"/>
        <w:gridCol w:w="146"/>
        <w:gridCol w:w="196"/>
        <w:gridCol w:w="826"/>
        <w:gridCol w:w="166"/>
        <w:gridCol w:w="146"/>
        <w:gridCol w:w="280"/>
        <w:gridCol w:w="816"/>
        <w:gridCol w:w="166"/>
        <w:gridCol w:w="146"/>
        <w:gridCol w:w="196"/>
        <w:gridCol w:w="751"/>
        <w:gridCol w:w="166"/>
        <w:gridCol w:w="146"/>
        <w:gridCol w:w="196"/>
        <w:gridCol w:w="826"/>
        <w:gridCol w:w="215"/>
      </w:tblGrid>
      <w:tr>
        <w:trPr/>
        <w:tc>
          <w:tcPr>
            <w:tcW w:w="12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br/>
              <w:t>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2,713,697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1,908,286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under </w:t>
              <w:br/>
              <w:t>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 taxes paid</w:t>
              <w:br/>
              <w:t>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Conversion of the 2025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121,806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Other comprehensive income, </w:t>
              <w:br/>
              <w: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(21,793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2,828,754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(821,602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2,004,544</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under </w:t>
              <w:br/>
              <w:t>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35,642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 taxes paid</w:t>
              <w:br/>
              <w:t>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Conversion of the 2025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Settlement of Capped Call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150,069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Other comprehensive income, </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2,884,434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(824,860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2,065,056</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8" w:name="unaudited_consolidated_statements_cash_f"/>
      <w:bookmarkEnd w:id="8"/>
      <w:r>
        <w:rPr>
          <w:rFonts w:ascii="Times New Roman" w:hAnsi="Times New Roman"/>
          <w:b/>
          <w:color w:val="000000"/>
          <w:sz w:val="20"/>
        </w:rPr>
        <w:t>Unaudited Consolidated Statements of Cash Flows</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(in thousands)</w:t>
      </w:r>
    </w:p>
    <w:tbl>
      <w:tblPr>
        <w:tblW w:w="9667" w:type="dxa"/>
        <w:jc w:val="left"/>
        <w:tblInd w:w="0" w:type="dxa"/>
        <w:tblLayout w:type="fixed"/>
        <w:tblCellMar>
          <w:top w:w="28" w:type="dxa"/>
          <w:left w:w="28" w:type="dxa"/>
          <w:bottom w:w="28" w:type="dxa"/>
          <w:right w:w="28" w:type="dxa"/>
        </w:tblCellMar>
      </w:tblPr>
      <w:tblGrid>
        <w:gridCol w:w="5856"/>
        <w:gridCol w:w="146"/>
        <w:gridCol w:w="228"/>
        <w:gridCol w:w="874"/>
        <w:gridCol w:w="193"/>
        <w:gridCol w:w="170"/>
        <w:gridCol w:w="228"/>
        <w:gridCol w:w="961"/>
        <w:gridCol w:w="1011"/>
      </w:tblGrid>
      <w:tr>
        <w:trPr/>
        <w:tc>
          <w:tcPr>
            <w:tcW w:w="5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75,892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(25,051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income to net cash and cash equivalents provided</w:t>
              <w:br/>
              <w:t>   by operating activities, net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84,635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62,024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244,227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257,668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Impairment of strategic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Benefit from 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debt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Accretion of bond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(24,443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Unrealized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33,934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(57,849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(50,080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Deferred commission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(38,075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(49,590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12,828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32,664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59,876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(23,877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(17,656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59,456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63,888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and cash equivalents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421,580</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325,932</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(358,691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(830,204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900,784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1,305,509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(35,074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(29,370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(13,932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(18,825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Capitalization of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(74,292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(65,857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Business 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(27,449</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(69,833</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and cash equivalents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390,819</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291,164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Employee taxes paid related to the net share settlement of stock-based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2025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(459,811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related to the issuance of common stock under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23,238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38,664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(742,880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and cash equivalents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(727,675</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(559,963</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(8,652</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30,046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76,072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87,179</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884,945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516,720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961,017</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603,899</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cash flow disclosure: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14,569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10,640</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Right-of-use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Excise tax liability accrued for common stock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 incurred but not yet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Settlement of Capped Call Options related to the 2025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50,600</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9" w:name="notes_to_unaudited_consolida_ted_financi"/>
      <w:bookmarkEnd w:id="9"/>
      <w:r>
        <w:rPr>
          <w:rFonts w:ascii="Times New Roman" w:hAnsi="Times New Roman"/>
          <w:b/>
          <w:color w:val="000000"/>
          <w:sz w:val="20"/>
        </w:rPr>
        <w:t>Notes to Unaudited Consolidated Financial Statements</w:t>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 Organization and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HubSpot, Inc. (the “Company”) provides an agentic customer platform that helps marketing, sales, and customer service teams drive business growth. The Company delivers seamless connection for customer-facing teams with a unified platform that includes three layers: Artificial Intelligence (“AI”)-powered agents and engagement Hubs, a Smart customer relationship management product (“CRM”), and a connected ecosystem supporting the customer platform with a marketplace of integrations, templates, expert partners, a community network, and an academy of educational content.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AI-powered agents and engagement Hubs that enable companies to attract, engage, and delight customers throughout the customer lifecycle include Marketing, Sales, Service, Operations, Content and Revenue. The Smart CRM is the foundational context layer that combines customer data with AI to power the entire customer platform with unified customer profiles and tools to manage and govern customer teams and business processes.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accompanying unaudited consolidated financial statements have been prepared in accordance with generally accepted accounting principles in the United States (“GAAP”) applicable to interim periods, under the rules and regulations of the United States Securities and Exchange Commission (“SEC”). In the opinion of management, the Company has prepared the accompanying unaudited consolidated financial statements on a basis substantially consistent with the audited consolidated financial statements of the Company as of and for the year ended December 31, 2025, and these consolidated financial statements include all adjustments, consisting only of normal recurring adjustments, necessary for a fair statement of the results of the interim periods presented. All intercompany balances and transactions have been eliminated in consolidation.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results of operations for the interim periods presented are not necessarily indicative of the results to be expected for any subsequent quarter or for the entire year ending December 31, 2026. The December 31, 2025 balance sheet data was derived from audited financial statements, but this Form 10-Q does not include all disclosures required under GAAP. Certain information and note disclosures normally included in annual financial statements prepared in accordance with GAAP have been omitted under the rules and regulations of the SEC.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These interim financial statements should be read in conjunction with the audited consolidated financial statements and related notes contained in the Company’s Annual Report on Form 10-K filed with the SEC on February 11, 2026. There have been no changes in the Company’s significant accounting policies from those that were disclosed in the Company’s Annual Report on Form 10-K that have had a material impact on our consolidated financial statements and related notes.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Recent accounting standards not included below are not expected to have a material impact on our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November 2024, the Financial Accounting Standards Board (“FASB”) issued guidance that requires the disclosure about specific types of expenses included in the expense captions presented on the face of the income statement. The new standard will be effective for the Company for the annual period beginning January 1, 2027, and for interim periods beginning January 1, 2028, with early adoption permitted. The adoption of this standard only impacts annual and quarterly disclosures and is not expected to have a material impact on the Company's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July 2025, the FASB issued guidance that provides a practical expedient to measure credit losses on current accounts receivable and current contract assets. The practical expedient allows companies to assume that current conditions as of the balance sheet date do not change for the remaining life of the asset when measuring credit losses. The Company adopted the updated guidance as of January 1, 2026 and the adoption did not have a material impact on its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September 2025, the FASB issued guidance which modernizes the accounting for internal-use software costs. The guidance removes all references to software project development stages and clarifies the recognition threshold entities must meet to begin capitalizing costs. The new standard will be effective for the Company for the annual and interim periods beginning January 1, 2028, with early adoption permitted. The Company is currently evaluating the impact that the adoption of this standard will have on its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2025, the FASB issued guidance to establish authoritative guidance on the recognition, measurement, and presentation of government grants received by business entities. The new standard will be effective for the Company for the annual and interim periods beginning January 1, 2029, with early adoption permitted. The Company is currently evaluating the impact that the adoption of this standard will have on its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2025, the FASB issued guidance which clarifies and reorganizes interim reporting guidance to improve navigability, applicability, and consistency without changing the fundamental nature or volume of required interim disclosures. The new standard will be effective for the Company for the interim periods beginning January 1, 2028, with early adoption permitted. The Company is currently evaluating the impact that the adoption of this standard will have on its consolidated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 Revenues</w:t>
      </w:r>
    </w:p>
    <w:p>
      <w:pPr>
        <w:pStyle w:val="TextBody"/>
        <w:bidi w:val="0"/>
        <w:spacing w:before="240" w:after="283"/>
        <w:jc w:val="both"/>
        <w:rPr>
          <w:rFonts w:ascii="Times New Roman" w:hAnsi="Times New Roman"/>
          <w:sz w:val="20"/>
        </w:rPr>
      </w:pPr>
      <w:r>
        <w:rPr>
          <w:rFonts w:ascii="Times New Roman" w:hAnsi="Times New Roman"/>
          <w:b/>
          <w:i/>
          <w:color w:val="000000"/>
          <w:sz w:val="20"/>
        </w:rPr>
        <w:t>Disaggregation of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provides disaggregation of revenue based on geographic region (Note 15)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Deferred Revenue and Deferred Commission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$554.1 million of revenue was recognized during the three months ended June 30, 2026 that was included in deferred revenue at the beginning of the period. $776.7 million of revenue was recognized during the six months ended June 30, 2026 that was included in deferred revenue at the beginning of the period. As of June 30, 2026, approximately $1.7 billion of revenue is expected to be recognized from remaining performance obligations for contracts with original performance obligations that exceed one year. The Company expects to recognize revenue on approximately 89% of these remaining performance obligations over the next 24 months, with the balance recognized thereafter.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 contract liabilities of $7.5 million and $5.9 million were included in accrued expenses and other current liabilities on the consolidated balance sheet as of June 30, 2026 and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incremental direct costs of obtaining a contract, which primarily consist of employee sales and Solutions Partners commissions paid for new subscription contracts, are deferred and amortized on a straight-line basis over a period of approximately two to four years. The two to four-year period has been determined by taking into consideration the commitment term of the customer contract, the nature of the Company’s technology development life-cycle, and an estimated customer relationship period. Sales and Solutions Partner commissions for upgrade contracts are deferred and amortized on a straight-line basis over the remaining estimated customer relationship. Deferred commission expense that will be recorded as expense during the succeeding 12-month period is recorded as current deferred commission expense, and the remaining portion is recorded as long-term deferred commission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Deferred commission expense during the three months ended June 30, 2026 increased by $15.4 million as a result of deferring incremental costs of obtaining a contract of $86.4 million and was offset by amortization of $71.0 million during the same period. Deferred commission expense during the six months ended June 30, 2026 increased by $34.7 million as a result of deferring incremental costs of obtaining a contract of $174.3 million and was offset by amortization of $139.6 million during the same period.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Net Income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Basic net income (loss) per share is computed by dividing net income (loss) by the weighted average number of common shares outstanding for the period. Diluted net income (loss) per share is computed by giving effect to all potential dilutive common stock equivalents outstanding for the period. For purposes of this calculation, options to purchase common stock, restricted stock units (“RSUs”), shares issued pursuant to the Employee Stock Purchase Plan (“ESPP”), performance restricted stock units (“PSUs”), and the Conversion Options of the 2025 Notes (as such terms are defined in Note 10) are considered to be potential common stock equivalents.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reconciliation of the denominator used in the calculation of basic and diluted net income (loss) per share is as follows:</w:t>
      </w:r>
    </w:p>
    <w:tbl>
      <w:tblPr>
        <w:tblW w:w="9744" w:type="dxa"/>
        <w:jc w:val="left"/>
        <w:tblInd w:w="0" w:type="dxa"/>
        <w:tblLayout w:type="fixed"/>
        <w:tblCellMar>
          <w:top w:w="28" w:type="dxa"/>
          <w:left w:w="28" w:type="dxa"/>
          <w:bottom w:w="28" w:type="dxa"/>
          <w:right w:w="28" w:type="dxa"/>
        </w:tblCellMar>
      </w:tblPr>
      <w:tblGrid>
        <w:gridCol w:w="4831"/>
        <w:gridCol w:w="231"/>
        <w:gridCol w:w="741"/>
        <w:gridCol w:w="160"/>
        <w:gridCol w:w="160"/>
        <w:gridCol w:w="231"/>
        <w:gridCol w:w="741"/>
        <w:gridCol w:w="166"/>
        <w:gridCol w:w="146"/>
        <w:gridCol w:w="211"/>
        <w:gridCol w:w="676"/>
        <w:gridCol w:w="146"/>
        <w:gridCol w:w="146"/>
        <w:gridCol w:w="211"/>
        <w:gridCol w:w="736"/>
        <w:gridCol w:w="211"/>
      </w:tblGrid>
      <w:tr>
        <w:trPr/>
        <w:tc>
          <w:tcPr>
            <w:tcW w:w="48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43,338</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Dilutive effect of share equivalents resulting from stock </w:t>
              <w:br/>
              <w:t xml:space="preserve">   options, RSUs, ESPP, PSUs, and the Conversion </w:t>
              <w:br/>
              <w:t>   Options</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diluted</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50,615</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basic</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diluted</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uses the treasury stock method and the average market price per share during the period for calculating any potential dilutive effect of the stock options, RSUs, ESPPs, and PSUs. The Company used the if-converted method when calculating any potential dilutive effect of the Conversion Options, which assumes conversion of outstanding convertible securities at the beginning of the reporting period or date of issuance, if the convertible security was issued during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the Company incurred net loss for the three and six months ended June 30, 2025, diluted net loss per share is the same as basic net loss per share. All of the Company’s outstanding stock options, RSUs, PSUs, and shares issuable under the ESPP were excluded in the calculation of diluted net loss per share as the effect would be anti-dilutive.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weighted-average number of shares outstanding used in the computation of diluted net income (loss) per share does not include the effect of the following potentially dilutive common stock, as the effect would have been anti-dilutive:</w:t>
      </w:r>
    </w:p>
    <w:tbl>
      <w:tblPr>
        <w:tblW w:w="7698" w:type="dxa"/>
        <w:jc w:val="left"/>
        <w:tblInd w:w="0" w:type="dxa"/>
        <w:tblLayout w:type="fixed"/>
        <w:tblCellMar>
          <w:top w:w="28" w:type="dxa"/>
          <w:left w:w="28" w:type="dxa"/>
          <w:bottom w:w="28" w:type="dxa"/>
          <w:right w:w="28" w:type="dxa"/>
        </w:tblCellMar>
      </w:tblPr>
      <w:tblGrid>
        <w:gridCol w:w="3031"/>
        <w:gridCol w:w="146"/>
        <w:gridCol w:w="163"/>
        <w:gridCol w:w="641"/>
        <w:gridCol w:w="163"/>
        <w:gridCol w:w="163"/>
        <w:gridCol w:w="163"/>
        <w:gridCol w:w="641"/>
        <w:gridCol w:w="163"/>
        <w:gridCol w:w="163"/>
        <w:gridCol w:w="175"/>
        <w:gridCol w:w="685"/>
        <w:gridCol w:w="175"/>
        <w:gridCol w:w="175"/>
        <w:gridCol w:w="175"/>
        <w:gridCol w:w="685"/>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and 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4. Fair Value of Financial Instruments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1 — Quoted prices in active markets for identical assets or liabilities.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3 — Unobservable inputs to the valuation methodology that are significant to the measurement of fair value of assets or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details the fair value measurements within the fair value hierarchy of the Company’s financial assets and liabilities at June 30, 2026 and December 31, 2025:</w:t>
        <w:br/>
        <w:t> </w:t>
      </w:r>
    </w:p>
    <w:tbl>
      <w:tblPr>
        <w:tblW w:w="9162" w:type="dxa"/>
        <w:jc w:val="left"/>
        <w:tblInd w:w="0" w:type="dxa"/>
        <w:tblLayout w:type="fixed"/>
        <w:tblCellMar>
          <w:top w:w="28" w:type="dxa"/>
          <w:left w:w="28" w:type="dxa"/>
          <w:bottom w:w="28" w:type="dxa"/>
          <w:right w:w="28" w:type="dxa"/>
        </w:tblCellMar>
      </w:tblPr>
      <w:tblGrid>
        <w:gridCol w:w="3886"/>
        <w:gridCol w:w="146"/>
        <w:gridCol w:w="211"/>
        <w:gridCol w:w="781"/>
        <w:gridCol w:w="146"/>
        <w:gridCol w:w="146"/>
        <w:gridCol w:w="211"/>
        <w:gridCol w:w="781"/>
        <w:gridCol w:w="146"/>
        <w:gridCol w:w="146"/>
        <w:gridCol w:w="211"/>
        <w:gridCol w:w="676"/>
        <w:gridCol w:w="146"/>
        <w:gridCol w:w="146"/>
        <w:gridCol w:w="211"/>
        <w:gridCol w:w="781"/>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3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9" w:type="dxa"/>
            <w:gridSpan w:val="1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Strategic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derivative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805,779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derivative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tbl>
      <w:tblPr>
        <w:tblW w:w="9312" w:type="dxa"/>
        <w:jc w:val="left"/>
        <w:tblInd w:w="0" w:type="dxa"/>
        <w:tblLayout w:type="fixed"/>
        <w:tblCellMar>
          <w:top w:w="28" w:type="dxa"/>
          <w:left w:w="28" w:type="dxa"/>
          <w:bottom w:w="28" w:type="dxa"/>
          <w:right w:w="28" w:type="dxa"/>
        </w:tblCellMar>
      </w:tblPr>
      <w:tblGrid>
        <w:gridCol w:w="3886"/>
        <w:gridCol w:w="146"/>
        <w:gridCol w:w="211"/>
        <w:gridCol w:w="781"/>
        <w:gridCol w:w="146"/>
        <w:gridCol w:w="146"/>
        <w:gridCol w:w="211"/>
        <w:gridCol w:w="781"/>
        <w:gridCol w:w="146"/>
        <w:gridCol w:w="146"/>
        <w:gridCol w:w="211"/>
        <w:gridCol w:w="676"/>
        <w:gridCol w:w="146"/>
        <w:gridCol w:w="146"/>
        <w:gridCol w:w="211"/>
        <w:gridCol w:w="931"/>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253,765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658,739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derivative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961,157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1,171,727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June 30, 2026 and December 31, 2025,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 Certain non-marketable strategic investments measured at fair value on a non-recurring basis are classified as Level 3 as their fair value measurements may include a combination of observable and unobservable inputs.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Foreign currency derivative assets and liabilities are classified as Level 2 and are valued using observable inputs, such as quotations on forward and spot rates for currencies, interest rates and credit derivative market rates.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certain other financial instruments, including accounts receivable, accounts payable, and other current liabilities, the carrying amounts approximate their fair value due to the relatively short maturity of these balances.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Restricted cash is comprised of money market funds related to landlord guarantees for leased facilities. These restricted cash balances have been excluded from our cash and cash equivalents balance in our consolidated balance sheets.</w:t>
      </w:r>
    </w:p>
    <w:p>
      <w:pPr>
        <w:pStyle w:val="TextBody"/>
        <w:bidi w:val="0"/>
        <w:spacing w:before="20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Investments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Available-for-sale Investments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tables summarize the composition of our short- and long-term investments at June 30, 2026 and December 31, 2025. </w:t>
      </w:r>
    </w:p>
    <w:tbl>
      <w:tblPr>
        <w:tblW w:w="8330" w:type="dxa"/>
        <w:jc w:val="left"/>
        <w:tblInd w:w="0" w:type="dxa"/>
        <w:tblLayout w:type="fixed"/>
        <w:tblCellMar>
          <w:top w:w="28" w:type="dxa"/>
          <w:left w:w="28" w:type="dxa"/>
          <w:bottom w:w="28" w:type="dxa"/>
          <w:right w:w="28" w:type="dxa"/>
        </w:tblCellMar>
      </w:tblPr>
      <w:tblGrid>
        <w:gridCol w:w="2941"/>
        <w:gridCol w:w="346"/>
        <w:gridCol w:w="211"/>
        <w:gridCol w:w="781"/>
        <w:gridCol w:w="146"/>
        <w:gridCol w:w="146"/>
        <w:gridCol w:w="335"/>
        <w:gridCol w:w="551"/>
        <w:gridCol w:w="146"/>
        <w:gridCol w:w="146"/>
        <w:gridCol w:w="270"/>
        <w:gridCol w:w="616"/>
        <w:gridCol w:w="166"/>
        <w:gridCol w:w="146"/>
        <w:gridCol w:w="211"/>
        <w:gridCol w:w="78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424,894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tbl>
      <w:tblPr>
        <w:tblW w:w="8330" w:type="dxa"/>
        <w:jc w:val="left"/>
        <w:tblInd w:w="0" w:type="dxa"/>
        <w:tblLayout w:type="fixed"/>
        <w:tblCellMar>
          <w:top w:w="28" w:type="dxa"/>
          <w:left w:w="28" w:type="dxa"/>
          <w:bottom w:w="28" w:type="dxa"/>
          <w:right w:w="28" w:type="dxa"/>
        </w:tblCellMar>
      </w:tblPr>
      <w:tblGrid>
        <w:gridCol w:w="2941"/>
        <w:gridCol w:w="346"/>
        <w:gridCol w:w="211"/>
        <w:gridCol w:w="781"/>
        <w:gridCol w:w="146"/>
        <w:gridCol w:w="146"/>
        <w:gridCol w:w="239"/>
        <w:gridCol w:w="647"/>
        <w:gridCol w:w="146"/>
        <w:gridCol w:w="146"/>
        <w:gridCol w:w="335"/>
        <w:gridCol w:w="551"/>
        <w:gridCol w:w="166"/>
        <w:gridCol w:w="146"/>
        <w:gridCol w:w="211"/>
        <w:gridCol w:w="78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253,765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658,739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956,899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958,214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available-for-sale debt securities, any realized gains and losses are determined based on the specific identification method and are reported in the consolidated statements of operations. For securities in an unrealized loss position, the Company first assesses whether it intends to sell or if it is more likely than not that the Company will be required to sell the security before the recovery of its entire amortized cost basis. If either of these criteria is met, the security’s amortized cost basis is written down to fair value through other (expense) income in the consolidated statements of operations. The Company does not intend to sell these investments and it is more likely than not that the Company will not be required to sell these investments before recovery of their amortized cost basis.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neither of the above criteria is met, the Company further assesses whether the decline in fair value below amortized cost is due to credit or non-credit-related factors. In making this assessment, the Company considers the extent to which fair value is less than amortized cost, credit ratings, the financial health of the industry and sector of the issuer, the overall risk profile of the securities, overall macroeconomic conditions, and more. Any credit-related unrealized losses are recognized as an allowance on the consolidated balance sheets with a corresponding charge in other (expense) income in the consolidated statements of operations. Non-credit-related unrealized losses and unrealized gains on available-for-sale debt securities are included in accumulated other comprehensive income (loss). In considering the underlying risk of its portfolio, the Company notes that it has a zero-loss expectation for U.S. treasury and U.S. government agency securities, which represents the majority of its debt investment available-for-sale securities portfolio. As of June 30, 2026 and December 31, 2025, no allowance for credit losses in investments was recorded.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contractual maturities of short-term and long-term investments held at June 30, 2026 and December 31, 2025 are as follows:</w:t>
      </w:r>
    </w:p>
    <w:tbl>
      <w:tblPr>
        <w:tblW w:w="8082" w:type="dxa"/>
        <w:jc w:val="left"/>
        <w:tblInd w:w="0" w:type="dxa"/>
        <w:tblLayout w:type="fixed"/>
        <w:tblCellMar>
          <w:top w:w="28" w:type="dxa"/>
          <w:left w:w="28" w:type="dxa"/>
          <w:bottom w:w="28" w:type="dxa"/>
          <w:right w:w="28" w:type="dxa"/>
        </w:tblCellMar>
      </w:tblPr>
      <w:tblGrid>
        <w:gridCol w:w="2701"/>
        <w:gridCol w:w="146"/>
        <w:gridCol w:w="211"/>
        <w:gridCol w:w="781"/>
        <w:gridCol w:w="146"/>
        <w:gridCol w:w="146"/>
        <w:gridCol w:w="211"/>
        <w:gridCol w:w="781"/>
        <w:gridCol w:w="146"/>
        <w:gridCol w:w="146"/>
        <w:gridCol w:w="211"/>
        <w:gridCol w:w="781"/>
        <w:gridCol w:w="146"/>
        <w:gridCol w:w="146"/>
        <w:gridCol w:w="211"/>
        <w:gridCol w:w="781"/>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821,552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1 year through 2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956,899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958,214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Strategic Investments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holds strategic investments in non-marketable equity securities of privately held companies. These investments are included in other assets on the consolidated balance sheets.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Strategic investments that consist of non-controlling equity investments without readily determinable fair values in privately held companies for which the Company does not have the ability to exercise significant influence are measured under the measurement alternative method. Under the measurement alternative method of accounting, the non-marketable equity securities are carried at cost less any impairment, plus or minus adjustments resulting from observable price changes in orderly transactions for the identical or a similar investment of the same issuer. Any associated gains and losses are recorded in other (expense) income in the consolidated statement of operations. The Company has certain other non-marketable strategic investments that do not qualify for the measurement alternative method. These investments are measured at fair value with any gains and losses recorded in other (expense) income in the consolidated statement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Strategic investments that consist of non-controlling equity investments without readily determinable fair values, in which the Company has significant influence over the investee’s operating and financial policies, are accounted for under the equity method of accounting. Under the equity method of accounting, the Company's proportionate share of the investments' net earnings are recorded in other (expense) income in the consolidated statements of operations and the related increase or decrease to the investment balance is recorded on the consolidated balance sheets.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carrying values of the Company’s strategic investments broken down by category are as follows:</w:t>
        <w:br/>
        <w:t> </w:t>
      </w:r>
    </w:p>
    <w:tbl>
      <w:tblPr>
        <w:tblW w:w="6245" w:type="dxa"/>
        <w:jc w:val="left"/>
        <w:tblInd w:w="0" w:type="dxa"/>
        <w:tblLayout w:type="fixed"/>
        <w:tblCellMar>
          <w:top w:w="28" w:type="dxa"/>
          <w:left w:w="28" w:type="dxa"/>
          <w:bottom w:w="28" w:type="dxa"/>
          <w:right w:w="28" w:type="dxa"/>
        </w:tblCellMar>
      </w:tblPr>
      <w:tblGrid>
        <w:gridCol w:w="2791"/>
        <w:gridCol w:w="146"/>
        <w:gridCol w:w="239"/>
        <w:gridCol w:w="886"/>
        <w:gridCol w:w="146"/>
        <w:gridCol w:w="146"/>
        <w:gridCol w:w="319"/>
        <w:gridCol w:w="1181"/>
        <w:gridCol w:w="3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Measurement alternative method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method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123,064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the activity associated with the Company’s strategic investments, which is reported on the Company’s consolidated statement of operations as other (expense) income:</w:t>
        <w:br/>
        <w:t> </w:t>
      </w:r>
    </w:p>
    <w:tbl>
      <w:tblPr>
        <w:tblW w:w="8624" w:type="dxa"/>
        <w:jc w:val="left"/>
        <w:tblInd w:w="0" w:type="dxa"/>
        <w:tblLayout w:type="fixed"/>
        <w:tblCellMar>
          <w:top w:w="28" w:type="dxa"/>
          <w:left w:w="28" w:type="dxa"/>
          <w:bottom w:w="28" w:type="dxa"/>
          <w:right w:w="28" w:type="dxa"/>
        </w:tblCellMar>
      </w:tblPr>
      <w:tblGrid>
        <w:gridCol w:w="3466"/>
        <w:gridCol w:w="146"/>
        <w:gridCol w:w="246"/>
        <w:gridCol w:w="738"/>
        <w:gridCol w:w="194"/>
        <w:gridCol w:w="170"/>
        <w:gridCol w:w="246"/>
        <w:gridCol w:w="668"/>
        <w:gridCol w:w="146"/>
        <w:gridCol w:w="146"/>
        <w:gridCol w:w="218"/>
        <w:gridCol w:w="654"/>
        <w:gridCol w:w="172"/>
        <w:gridCol w:w="151"/>
        <w:gridCol w:w="218"/>
        <w:gridCol w:w="654"/>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included in 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6. Derivatives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Cash flow hedges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enters into foreign currency forward contracts to reduce the risk of variability in future cash flow due to foreign currency exchange rate fluctuation from certain forecasted revenue transactions billed in currencies other than the U.S. Dollar. These transactions are designated as cash flow hedges. The foreign currency forward contracts have maturities of 12 months or less. Hedge effectiveness is assessed at inception and at each reporting period utilizing statistical regression analysis. The Company is subject to master netting arrangements with certain counterparties of the contracts, under which the Company is allowed to net settle transactions of the same currency. The Company's policy is to present the derivatives on a gross basis on the consolidated balance sheets. Unrealized foreign exchange gains or losses related to those designated cash flow hedge contracts are recorded in accumulated other comprehensive income (“AOCI”) and are reclassified into revenues in the same periods when the hedged transactions are recognized in earnings. Cash flows from the settlement of these forward contracts are classified as operating activities on the consolidated statements of cash flows. As of June 30, 2026, the Company had designated cash flow hedge forward contracts with notional amounts equivalent to $42.5 million. </w:t>
      </w:r>
    </w:p>
    <w:p>
      <w:pPr>
        <w:pStyle w:val="TextBody"/>
        <w:bidi w:val="0"/>
        <w:spacing w:before="200" w:after="283"/>
        <w:jc w:val="left"/>
        <w:rPr>
          <w:rFonts w:ascii="Times New Roman" w:hAnsi="Times New Roman"/>
          <w:sz w:val="20"/>
        </w:rPr>
      </w:pPr>
      <w:r>
        <w:rPr>
          <w:rFonts w:ascii="Times New Roman" w:hAnsi="Times New Roman"/>
          <w:b/>
          <w:i/>
          <w:color w:val="000000"/>
          <w:sz w:val="20"/>
        </w:rPr>
        <w:t>Balance sheet hedges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also enters into foreign currency forward contracts to hedge certain foreign currency denominated monetary assets or liabilities, which are not designated as cash flow hedges. These contracts have maturities of 12 months or less. Changes in the value of the foreign exchange contracts are recognized in other (expense) income, net and are designed to offset the foreign exchange gain or loss on the underlying net monetary assets or liabilities. Cash flows from the settlement of these forward contracts are classified as operating activities on the consolidated statements of cash flows. As of June 30, 2026, the Company had non-designated forward contracts with notional amounts of $43.4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summarizes the fair value of derivative financial instruments as of June 30, 2026 and December 31, 2025:</w:t>
        <w:br/>
        <w:t> </w:t>
      </w:r>
    </w:p>
    <w:tbl>
      <w:tblPr>
        <w:tblW w:w="6988" w:type="dxa"/>
        <w:jc w:val="left"/>
        <w:tblInd w:w="0" w:type="dxa"/>
        <w:tblLayout w:type="fixed"/>
        <w:tblCellMar>
          <w:top w:w="28" w:type="dxa"/>
          <w:left w:w="28" w:type="dxa"/>
          <w:bottom w:w="28" w:type="dxa"/>
          <w:right w:w="28" w:type="dxa"/>
        </w:tblCellMar>
      </w:tblPr>
      <w:tblGrid>
        <w:gridCol w:w="3826"/>
        <w:gridCol w:w="375"/>
        <w:gridCol w:w="750"/>
        <w:gridCol w:w="146"/>
        <w:gridCol w:w="499"/>
        <w:gridCol w:w="1001"/>
        <w:gridCol w:w="391"/>
      </w:tblGrid>
      <w:tr>
        <w:trPr/>
        <w:tc>
          <w:tcPr>
            <w:tcW w:w="382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1"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Prepaid expenses and other current assets</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flow hedges</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Balance sheet hedges</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flow hedges</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Balance sheet hedges</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activity of foreign currency forward contracts designated as hedging instruments and the impact of these derivatives on AOCI:</w:t>
        <w:br/>
        <w:t> </w:t>
      </w:r>
    </w:p>
    <w:tbl>
      <w:tblPr>
        <w:tblW w:w="8891" w:type="dxa"/>
        <w:jc w:val="left"/>
        <w:tblInd w:w="0" w:type="dxa"/>
        <w:tblLayout w:type="fixed"/>
        <w:tblCellMar>
          <w:top w:w="28" w:type="dxa"/>
          <w:left w:w="28" w:type="dxa"/>
          <w:bottom w:w="28" w:type="dxa"/>
          <w:right w:w="28" w:type="dxa"/>
        </w:tblCellMar>
      </w:tblPr>
      <w:tblGrid>
        <w:gridCol w:w="6411"/>
        <w:gridCol w:w="266"/>
        <w:gridCol w:w="721"/>
        <w:gridCol w:w="209"/>
        <w:gridCol w:w="266"/>
        <w:gridCol w:w="607"/>
        <w:gridCol w:w="411"/>
      </w:tblGrid>
      <w:tr>
        <w:trPr/>
        <w:tc>
          <w:tcPr>
            <w:tcW w:w="64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Beginning accumulated other comprehensive (income) loss at January 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9"/>
              </w:rPr>
              <w:t>Net losses (income) recognized in other comprehensive income, net of tax</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1,065</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9"/>
              </w:rPr>
              <w:t>Net income (losses) reclassified from AOCI to earnings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187</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Ending accumulated other comprehensive (income) loss at June 30</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723</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effect of hedges on the consolidated statements of operations are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18"/>
        <w:gridCol w:w="290"/>
        <w:gridCol w:w="663"/>
        <w:gridCol w:w="228"/>
        <w:gridCol w:w="290"/>
        <w:gridCol w:w="787"/>
        <w:gridCol w:w="166"/>
        <w:gridCol w:w="265"/>
        <w:gridCol w:w="606"/>
        <w:gridCol w:w="208"/>
        <w:gridCol w:w="265"/>
        <w:gridCol w:w="720"/>
        <w:gridCol w:w="399"/>
      </w:tblGrid>
      <w:tr>
        <w:trPr/>
        <w:tc>
          <w:tcPr>
            <w:tcW w:w="531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5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8"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(loss) reclassified from AOCI related to cash flow hedges</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Revenue</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(559</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Gains related to non-designated hedges</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(expense) income, net</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(412</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1,973</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the estimated net amount expected to be reclassified out of AOCI into earnings over the next 12 months is not material.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7. Restricted Cash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reported within the consolidated balance sheets that sum to the total of the same such amounts shown in the statement of cash flows for the six months ended June 30, 2026 and 2025.</w:t>
      </w:r>
    </w:p>
    <w:p>
      <w:pPr>
        <w:pStyle w:val="TextBody"/>
        <w:bidi w:val="0"/>
        <w:jc w:val="left"/>
        <w:rPr/>
      </w:pPr>
      <w:r>
        <w:rPr/>
        <w:t> </w:t>
      </w:r>
    </w:p>
    <w:tbl>
      <w:tblPr>
        <w:tblW w:w="8972" w:type="dxa"/>
        <w:jc w:val="left"/>
        <w:tblInd w:w="0" w:type="dxa"/>
        <w:tblLayout w:type="fixed"/>
        <w:tblCellMar>
          <w:top w:w="28" w:type="dxa"/>
          <w:left w:w="28" w:type="dxa"/>
          <w:bottom w:w="28" w:type="dxa"/>
          <w:right w:w="28" w:type="dxa"/>
        </w:tblCellMar>
      </w:tblPr>
      <w:tblGrid>
        <w:gridCol w:w="4201"/>
        <w:gridCol w:w="146"/>
        <w:gridCol w:w="239"/>
        <w:gridCol w:w="886"/>
        <w:gridCol w:w="146"/>
        <w:gridCol w:w="146"/>
        <w:gridCol w:w="239"/>
        <w:gridCol w:w="886"/>
        <w:gridCol w:w="146"/>
        <w:gridCol w:w="146"/>
        <w:gridCol w:w="319"/>
        <w:gridCol w:w="1181"/>
        <w:gridCol w:w="2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882,242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Restricted cash, included in prepaid expenses and </w:t>
              <w:br/>
              <w:t>  other current assets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961,017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603,899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884,945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 Property and Equipment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Property and equipment consists of the following:</w:t>
        <w:br/>
        <w:t> </w:t>
      </w:r>
    </w:p>
    <w:tbl>
      <w:tblPr>
        <w:tblW w:w="7275" w:type="dxa"/>
        <w:jc w:val="left"/>
        <w:tblInd w:w="0" w:type="dxa"/>
        <w:tblLayout w:type="fixed"/>
        <w:tblCellMar>
          <w:top w:w="28" w:type="dxa"/>
          <w:left w:w="28" w:type="dxa"/>
          <w:bottom w:w="28" w:type="dxa"/>
          <w:right w:w="28" w:type="dxa"/>
        </w:tblCellMar>
      </w:tblPr>
      <w:tblGrid>
        <w:gridCol w:w="3781"/>
        <w:gridCol w:w="146"/>
        <w:gridCol w:w="225"/>
        <w:gridCol w:w="900"/>
        <w:gridCol w:w="166"/>
        <w:gridCol w:w="146"/>
        <w:gridCol w:w="301"/>
        <w:gridCol w:w="1199"/>
        <w:gridCol w:w="41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purchased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124,067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100,901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317,724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(175,855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141,869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Depreciation and amortization expense on property and equipment was $10.0 million for the three months ended June 30, 2026, $19.1 million for the six months ended June 30, 2026, $8.9 million for the three months ended June 30, 2025, and $16.1 million for the six months ended June 30, 2025. </w:t>
        <w:b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9. Capitalized Software Development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Capitalized software development costs, exclusive of those recorded within property and equipment, consisted of the following: </w:t>
        <w:br/>
        <w:t> </w:t>
      </w:r>
    </w:p>
    <w:tbl>
      <w:tblPr>
        <w:tblW w:w="7385" w:type="dxa"/>
        <w:jc w:val="left"/>
        <w:tblInd w:w="0" w:type="dxa"/>
        <w:tblLayout w:type="fixed"/>
        <w:tblCellMar>
          <w:top w:w="28" w:type="dxa"/>
          <w:left w:w="28" w:type="dxa"/>
          <w:bottom w:w="28" w:type="dxa"/>
          <w:right w:w="28" w:type="dxa"/>
        </w:tblCellMar>
      </w:tblPr>
      <w:tblGrid>
        <w:gridCol w:w="3891"/>
        <w:gridCol w:w="146"/>
        <w:gridCol w:w="225"/>
        <w:gridCol w:w="900"/>
        <w:gridCol w:w="166"/>
        <w:gridCol w:w="146"/>
        <w:gridCol w:w="301"/>
        <w:gridCol w:w="1199"/>
        <w:gridCol w:w="411"/>
      </w:tblGrid>
      <w:tr>
        <w:trPr/>
        <w:tc>
          <w:tcPr>
            <w:tcW w:w="3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capitalized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537,849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development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213,794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These capitalized software development costs are associated with software developed for the Company's customer platform. Capitalized software development costs recorded within property and equipment are associated with software developed for Company use.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Amortization of capitalized software development costs, exclusive of costs recorded within property and equipment, was $39.7 million for the three months ended June 30, 2026, $75.7 million for the six months ended June 30, 2026, $29.3 million for the three months ended June 30, 2025, and $55.6 million for the six months ended June 30, 2025. Amortization expense is included in cost of subscription revenue and cost of professional services and other revenue in the consolidated statement of operations.</w:t>
      </w:r>
    </w:p>
    <w:p>
      <w:pPr>
        <w:pStyle w:val="TextBody"/>
        <w:bidi w:val="0"/>
        <w:spacing w:before="4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10. Debt</w:t>
      </w:r>
    </w:p>
    <w:p>
      <w:pPr>
        <w:pStyle w:val="TextBody"/>
        <w:bidi w:val="0"/>
        <w:spacing w:before="200" w:after="283"/>
        <w:jc w:val="left"/>
        <w:rPr>
          <w:rFonts w:ascii="Times New Roman" w:hAnsi="Times New Roman"/>
          <w:sz w:val="20"/>
        </w:rPr>
      </w:pPr>
      <w:r>
        <w:rPr>
          <w:rFonts w:ascii="Times New Roman" w:hAnsi="Times New Roman"/>
          <w:b/>
          <w:i/>
          <w:color w:val="000000"/>
          <w:sz w:val="20"/>
        </w:rPr>
        <w:t>2025 Convertible Senior Notes and Capped Call Options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June 2020, the Company issued $460 million aggregate principal amount of 0.375% convertible senior notes due June 1, 2025 (the “2025 Notes”). The total net proceeds after deducting initial purchase discounts and debt issuance costs, were approximately $450.1 million. Each $1,000 of principal amount of the 2025 Notes was initially convertible into 3.5396 shares of the Company’s common stock (the “Conversion Options”), which was equivalent to an initial conversion price of approximately $282.52 per share. Upon conversion, the Company would pay or deliver cash, shares of the Company’s common stock or combination thereof. In connection with the offering of the 2025 Notes, the Company purchased capped call options (“Capped Call Options”) with respect to its common stock for $50.6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During the six months ended June 30, 2025, upon the election of holders to convert, the Company settled $233.4 million of principal balance of the 2025 Notes in cash and issued 0.5 million shares for the conversion premium in excess of the principal amount. In June 2025, upon the maturity of the 2025 Notes, the Company paid $225.6 million to satisfy the remaining aggregate principal amount due and issued 0.4 million shares for the conversion premium in excess of the principal amount.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recognized interest expense of $0.9 million in the six months ended June 30, 2025. </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Revolving Credit Facility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February 10, 2026, the Company entered into a Credit Agreement with Bank of America, N.A., as the administrative agent and Letter of Credit Issuer, and the banks and other financial institutions or entities party thereto as lenders (the “Revolving Credit Agreement”). The Revolving Credit Agreement provides for (i) a five year senior secured revolving credit facility in the amount of up to $500 million and (ii) an uncommitted incremental facility subject to the terms of the agreement (the “Revolving Credit Facility”). The Revolving Credit Facility includes a $50 million sublimit for the issuance of standby letters of credit. The Company may use the proceeds of future borrowings under the credit facility to finance working capital, capital expenditures and for other general corporate purposes, including permitted acquisitions and investments.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Borrowings under the facility have a variable interest rate whereby the Company can elect to use a Base Rate Loan or Secured Overnight Financing Rate (“SOFR”), plus an applicable margin. The Base Rate Loan bears interest (at the highest of (i) the federal funds rate plus 0.50%, (ii) the Bank of America prime rate, or (iii) one-month Term SOFR plus 1.00%, all subject to a 1.00% floor. The applicable margin is between 0.125% to 0.875% for the Base Rate Loan and 1.125% to 1.875% for Term SOFR. The facility is also subject to customary fees for loan facilities of this type, including ongoing commitment fees at a rate between 0.125% and 0.300% per annum on the daily undrawn balance. As of June 30, 2026, there were no outstanding borrowings under this Revolving Credit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obligations under the Revolving Credit Agreement are secured by substantially all of the Company's assets. The Revolving Credit Agreement contains customary representations and warranties, customary affirmative and negative covenants, and, during periods when the Company does not maintain investment-grade credit ratings, a financial covenant that is tested quarterly and requires the Company to maintain a certain consolidated leverage ratio, and customary events of default. As of June 30, 2026, the Company was in compliance with all financial covenants under the Revolving Credit Agreement.</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11. Leases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leases office facilities under non-cancelable operating leases that expire at various dates through February 2035.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Operating lease expense and cash payments related to operating lease liabilities for the three and six months ended June 30, 2026 and 2025 are as follows:</w:t>
        <w:br/>
        <w:t> </w:t>
      </w:r>
    </w:p>
    <w:tbl>
      <w:tblPr>
        <w:tblW w:w="7048" w:type="dxa"/>
        <w:jc w:val="left"/>
        <w:tblInd w:w="0" w:type="dxa"/>
        <w:tblLayout w:type="fixed"/>
        <w:tblCellMar>
          <w:top w:w="28" w:type="dxa"/>
          <w:left w:w="28" w:type="dxa"/>
          <w:bottom w:w="28" w:type="dxa"/>
          <w:right w:w="28" w:type="dxa"/>
        </w:tblCellMar>
      </w:tblPr>
      <w:tblGrid>
        <w:gridCol w:w="2086"/>
        <w:gridCol w:w="146"/>
        <w:gridCol w:w="249"/>
        <w:gridCol w:w="797"/>
        <w:gridCol w:w="172"/>
        <w:gridCol w:w="249"/>
        <w:gridCol w:w="797"/>
        <w:gridCol w:w="146"/>
        <w:gridCol w:w="146"/>
        <w:gridCol w:w="227"/>
        <w:gridCol w:w="729"/>
        <w:gridCol w:w="157"/>
        <w:gridCol w:w="227"/>
        <w:gridCol w:w="729"/>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28,304</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subleases some of its unused spaces to third parties. Operating sublease income generated under all operating lease agreements for the three and six months ended June 30, 2026 and 2025 are as follows: </w:t>
        <w:br/>
        <w:t> </w:t>
      </w:r>
    </w:p>
    <w:tbl>
      <w:tblPr>
        <w:tblW w:w="7271" w:type="dxa"/>
        <w:jc w:val="left"/>
        <w:tblInd w:w="0" w:type="dxa"/>
        <w:tblLayout w:type="fixed"/>
        <w:tblCellMar>
          <w:top w:w="28" w:type="dxa"/>
          <w:left w:w="28" w:type="dxa"/>
          <w:bottom w:w="28" w:type="dxa"/>
          <w:right w:w="28" w:type="dxa"/>
        </w:tblCellMar>
      </w:tblPr>
      <w:tblGrid>
        <w:gridCol w:w="2311"/>
        <w:gridCol w:w="146"/>
        <w:gridCol w:w="279"/>
        <w:gridCol w:w="756"/>
        <w:gridCol w:w="193"/>
        <w:gridCol w:w="279"/>
        <w:gridCol w:w="756"/>
        <w:gridCol w:w="146"/>
        <w:gridCol w:w="146"/>
        <w:gridCol w:w="255"/>
        <w:gridCol w:w="691"/>
        <w:gridCol w:w="176"/>
        <w:gridCol w:w="255"/>
        <w:gridCol w:w="69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5"/>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5"/>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sublease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leases its office facilities under non-cancelable operating leases that expire at various dates through February 2035. Certain leases contain optional termination dates. The table below only includes payments up to the optional termination date. If the Company were to extend leases beyond the optional termination date, the future commitments would increase by approximately $88.4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Future minimum payments under all operating lease agreements as of June 30, 2026 are as follows:</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343" w:type="dxa"/>
        <w:jc w:val="left"/>
        <w:tblInd w:w="0" w:type="dxa"/>
        <w:tblLayout w:type="fixed"/>
        <w:tblCellMar>
          <w:top w:w="28" w:type="dxa"/>
          <w:left w:w="28" w:type="dxa"/>
          <w:bottom w:w="28" w:type="dxa"/>
          <w:right w:w="28" w:type="dxa"/>
        </w:tblCellMar>
      </w:tblPr>
      <w:tblGrid>
        <w:gridCol w:w="1681"/>
        <w:gridCol w:w="146"/>
        <w:gridCol w:w="239"/>
        <w:gridCol w:w="886"/>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entered into certain non-cancelable vendor commitments, which require the future purchase of goods or services. Future minimum payments under all non-cancelable vendor commitments as of June 30, 2026 are as follows:</w:t>
        <w:br/>
        <w:t> </w:t>
      </w:r>
    </w:p>
    <w:tbl>
      <w:tblPr>
        <w:tblW w:w="3343" w:type="dxa"/>
        <w:jc w:val="left"/>
        <w:tblInd w:w="0" w:type="dxa"/>
        <w:tblLayout w:type="fixed"/>
        <w:tblCellMar>
          <w:top w:w="28" w:type="dxa"/>
          <w:left w:w="28" w:type="dxa"/>
          <w:bottom w:w="28" w:type="dxa"/>
          <w:right w:w="28" w:type="dxa"/>
        </w:tblCellMar>
      </w:tblPr>
      <w:tblGrid>
        <w:gridCol w:w="1681"/>
        <w:gridCol w:w="146"/>
        <w:gridCol w:w="239"/>
        <w:gridCol w:w="886"/>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also has commitments to contribute capital of $5.3 million to its strategic investments.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Legal Contingencies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time to time, the Company may become a party to litigation and subject to claims incident to the ordinary course of business, including intellectual property claims, labor and employment claims, and threatened claims, breach of contract claims, tax, and other matters. The Company currently has no material pending or threatened litigation.</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13. Changes in Accumulated Other Comprehensive Income (Loss)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the changes in accumulated other comprehensive income (loss), which is reported as a component of stockholders’ equity,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3270"/>
        <w:gridCol w:w="146"/>
        <w:gridCol w:w="569"/>
        <w:gridCol w:w="1704"/>
        <w:gridCol w:w="166"/>
        <w:gridCol w:w="146"/>
        <w:gridCol w:w="301"/>
        <w:gridCol w:w="906"/>
        <w:gridCol w:w="166"/>
        <w:gridCol w:w="146"/>
        <w:gridCol w:w="279"/>
        <w:gridCol w:w="838"/>
        <w:gridCol w:w="166"/>
        <w:gridCol w:w="146"/>
        <w:gridCol w:w="211"/>
        <w:gridCol w:w="631"/>
        <w:gridCol w:w="414"/>
      </w:tblGrid>
      <w:tr>
        <w:trPr/>
        <w:tc>
          <w:tcPr>
            <w:tcW w:w="32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 Translation 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br/>
              <w:t>(Loss) on</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Gain (Loss) on</w:t>
              <w:br/>
              <w:t xml:space="preserve">Derivative </w:t>
              <w:br/>
              <w:t>Instruments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at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Other comprehensive income (loss) before </w:t>
              <w:br/>
              <w:t>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Amounts reclassified from accumulated </w:t>
              <w:br/>
              <w:t xml:space="preserve">  other comprehensive income, net of tax, </w:t>
              <w:br/>
              <w:t>  to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49"/>
        <w:gridCol w:w="146"/>
        <w:gridCol w:w="535"/>
        <w:gridCol w:w="1719"/>
        <w:gridCol w:w="166"/>
        <w:gridCol w:w="146"/>
        <w:gridCol w:w="324"/>
        <w:gridCol w:w="880"/>
        <w:gridCol w:w="166"/>
        <w:gridCol w:w="146"/>
        <w:gridCol w:w="340"/>
        <w:gridCol w:w="775"/>
        <w:gridCol w:w="166"/>
        <w:gridCol w:w="146"/>
        <w:gridCol w:w="211"/>
        <w:gridCol w:w="676"/>
        <w:gridCol w:w="414"/>
      </w:tblGrid>
      <w:tr>
        <w:trPr/>
        <w:tc>
          <w:tcPr>
            <w:tcW w:w="32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 Translation 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br/>
              <w:t>(Loss) on</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Gain (Loss) on</w:t>
              <w:br/>
              <w:t xml:space="preserve">Derivative </w:t>
              <w:br/>
              <w:t>Instruments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Other comprehensive income (loss) before </w:t>
              <w:br/>
              <w:t>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Amounts reclassified from accumulated </w:t>
              <w:br/>
              <w:t xml:space="preserve">  other comprehensive income, net of tax, </w:t>
              <w:br/>
              <w:t>  to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14. Stockholders' Equity and Stock-Based Compensation Expense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two tables show stock-based compensation expense by award type and where the stock-based compensation expense is recorded in the Company’s consolidated statements of operations:</w:t>
      </w:r>
    </w:p>
    <w:tbl>
      <w:tblPr>
        <w:tblW w:w="9032" w:type="dxa"/>
        <w:jc w:val="left"/>
        <w:tblInd w:w="0" w:type="dxa"/>
        <w:tblLayout w:type="fixed"/>
        <w:tblCellMar>
          <w:top w:w="28" w:type="dxa"/>
          <w:left w:w="28" w:type="dxa"/>
          <w:bottom w:w="28" w:type="dxa"/>
          <w:right w:w="28" w:type="dxa"/>
        </w:tblCellMar>
      </w:tblPr>
      <w:tblGrid>
        <w:gridCol w:w="3651"/>
        <w:gridCol w:w="146"/>
        <w:gridCol w:w="211"/>
        <w:gridCol w:w="781"/>
        <w:gridCol w:w="146"/>
        <w:gridCol w:w="146"/>
        <w:gridCol w:w="211"/>
        <w:gridCol w:w="781"/>
        <w:gridCol w:w="146"/>
        <w:gridCol w:w="146"/>
        <w:gridCol w:w="211"/>
        <w:gridCol w:w="781"/>
        <w:gridCol w:w="146"/>
        <w:gridCol w:w="146"/>
        <w:gridCol w:w="211"/>
        <w:gridCol w:w="78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tbl>
      <w:tblPr>
        <w:tblW w:w="9357" w:type="dxa"/>
        <w:jc w:val="left"/>
        <w:tblInd w:w="0" w:type="dxa"/>
        <w:tblLayout w:type="fixed"/>
        <w:tblCellMar>
          <w:top w:w="28" w:type="dxa"/>
          <w:left w:w="28" w:type="dxa"/>
          <w:bottom w:w="28" w:type="dxa"/>
          <w:right w:w="28" w:type="dxa"/>
        </w:tblCellMar>
      </w:tblPr>
      <w:tblGrid>
        <w:gridCol w:w="3976"/>
        <w:gridCol w:w="146"/>
        <w:gridCol w:w="211"/>
        <w:gridCol w:w="781"/>
        <w:gridCol w:w="146"/>
        <w:gridCol w:w="146"/>
        <w:gridCol w:w="211"/>
        <w:gridCol w:w="781"/>
        <w:gridCol w:w="146"/>
        <w:gridCol w:w="146"/>
        <w:gridCol w:w="211"/>
        <w:gridCol w:w="781"/>
        <w:gridCol w:w="146"/>
        <w:gridCol w:w="146"/>
        <w:gridCol w:w="211"/>
        <w:gridCol w:w="781"/>
        <w:gridCol w:w="3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subscription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professional 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257,668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Capitalized software development costs excluded from stock-based compensation expense were $15.2 million for the three months ended June 30, 2026, $27.6 million for the six months ended June 30, 2026, $17.0 million for the three months ended June 30, 2025, and $28.8 million for the six months ended June 30, 2025.</w:t>
        <w:b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Share Repurchase Programs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May 2025, the Company’s Board of Directors authorized a share repurchase program for the repurchase of shares of the Company’s common stock, in an aggregate amount of up to $500 million (the “2025 Share Repurchase Program”), exclusive of any transaction costs related to such repurchases, over a period of up to 12 months. In February 2026, the Company's Board of Directors authorized an additional $1 billion (the “February 2026 Share Repurchase Program" and, together with the 2025 Share Repurchase Program and the August 2026 Share Repurchase Program (as defined in Note 17), the “Share Repurchase Programs”), over a period of 24 months.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Repurchases under the Share Repurchase Programs may be made under a variety of methods, including privately negotiated or open market trades, pursuant to 10b5-1 plans. The Share Repurchase Programs do not obligate the Company to acquire a specified number of shares, and may be suspended, modified, or terminated at any time and will be funded using the Company's cash and cash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equivalent and investment balances. Consideration paid for the shares repurchased is recorded as a reduction to stockholders’ equity on the consolidated balance sheets.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stock repurchase activity under the Share Repurchase Programs (in thousands, except per share data):</w:t>
        <w:br/>
        <w:t> </w:t>
      </w:r>
    </w:p>
    <w:tbl>
      <w:tblPr>
        <w:tblW w:w="7717" w:type="dxa"/>
        <w:jc w:val="left"/>
        <w:tblInd w:w="0" w:type="dxa"/>
        <w:tblLayout w:type="fixed"/>
        <w:tblCellMar>
          <w:top w:w="28" w:type="dxa"/>
          <w:left w:w="28" w:type="dxa"/>
          <w:bottom w:w="28" w:type="dxa"/>
          <w:right w:w="28" w:type="dxa"/>
        </w:tblCellMar>
      </w:tblPr>
      <w:tblGrid>
        <w:gridCol w:w="2536"/>
        <w:gridCol w:w="146"/>
        <w:gridCol w:w="211"/>
        <w:gridCol w:w="781"/>
        <w:gridCol w:w="146"/>
        <w:gridCol w:w="146"/>
        <w:gridCol w:w="211"/>
        <w:gridCol w:w="781"/>
        <w:gridCol w:w="146"/>
        <w:gridCol w:w="146"/>
        <w:gridCol w:w="211"/>
        <w:gridCol w:w="781"/>
        <w:gridCol w:w="146"/>
        <w:gridCol w:w="146"/>
        <w:gridCol w:w="211"/>
        <w:gridCol w:w="781"/>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stock price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Aggregate repurchase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the date of filing this report, $257.1 million remained available for future stock repurchases under the February 2026 Share Repurchase Program. </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15. Segment Information and Geographic Data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provides a customer platform that helps businesses connect and grow better. The Company generates revenue from subscriptions to its customer platform and related professional services and other revenue consisting mainly of customer on-boarding, training and consulting services and Revenue Hub.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operates as one operating segment. Operating segments are defined as components of an enterprise for which separate financial information is regularly evaluated by the chief operating decision maker (“CODM”), which is the Company’s chief executive officer, in deciding how to allocate resources and assess performance. The Company’s CODM evaluates the Company’s financial information and resources and assesses the performance of these resources on a consolidated basis. There is no expense or asset information supplemental to those disclosed in these consolidated financial statements that is regularly provided to the CODM. The allocation of resources and assessment of performance of the operating segment is based on consolidated net income (loss) as shown in the consolidated statements of operations. The CODM considers net income (loss) in the annual forecasting process and reviews actual results when making decisions about allocating resources. Since the Company operates as one operating segment, financial segment information, including profit or loss and asset information, can be found in the consolidated financial statements.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Geographic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Revenues by geographical region:</w:t>
      </w:r>
    </w:p>
    <w:tbl>
      <w:tblPr>
        <w:tblW w:w="10205" w:type="dxa"/>
        <w:jc w:val="left"/>
        <w:tblInd w:w="0" w:type="dxa"/>
        <w:tblLayout w:type="fixed"/>
        <w:tblCellMar>
          <w:top w:w="28" w:type="dxa"/>
          <w:left w:w="28" w:type="dxa"/>
          <w:bottom w:w="28" w:type="dxa"/>
          <w:right w:w="28" w:type="dxa"/>
        </w:tblCellMar>
      </w:tblPr>
      <w:tblGrid>
        <w:gridCol w:w="4149"/>
        <w:gridCol w:w="146"/>
        <w:gridCol w:w="211"/>
        <w:gridCol w:w="781"/>
        <w:gridCol w:w="271"/>
        <w:gridCol w:w="146"/>
        <w:gridCol w:w="211"/>
        <w:gridCol w:w="781"/>
        <w:gridCol w:w="271"/>
        <w:gridCol w:w="146"/>
        <w:gridCol w:w="211"/>
        <w:gridCol w:w="931"/>
        <w:gridCol w:w="271"/>
        <w:gridCol w:w="146"/>
        <w:gridCol w:w="211"/>
        <w:gridCol w:w="931"/>
        <w:gridCol w:w="391"/>
      </w:tblGrid>
      <w:tr>
        <w:trPr/>
        <w:tc>
          <w:tcPr>
            <w:tcW w:w="4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533,662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1,050,185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895,787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77,027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59,620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148,868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911,740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760,866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1,792,735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1,475,003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revenues generated outside of the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from customers outside the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of Americas attributed to the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of Europe attributed to Ireland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long-lived assets by geographical region:</w:t>
        <w:br/>
        <w:t> </w:t>
      </w:r>
    </w:p>
    <w:tbl>
      <w:tblPr>
        <w:tblW w:w="8605" w:type="dxa"/>
        <w:jc w:val="left"/>
        <w:tblInd w:w="0" w:type="dxa"/>
        <w:tblLayout w:type="fixed"/>
        <w:tblCellMar>
          <w:top w:w="28" w:type="dxa"/>
          <w:left w:w="28" w:type="dxa"/>
          <w:bottom w:w="28" w:type="dxa"/>
          <w:right w:w="28" w:type="dxa"/>
        </w:tblCellMar>
      </w:tblPr>
      <w:tblGrid>
        <w:gridCol w:w="5026"/>
        <w:gridCol w:w="146"/>
        <w:gridCol w:w="239"/>
        <w:gridCol w:w="886"/>
        <w:gridCol w:w="271"/>
        <w:gridCol w:w="146"/>
        <w:gridCol w:w="319"/>
        <w:gridCol w:w="1181"/>
        <w:gridCol w:w="391"/>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342,677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long-lived assets held outside of the 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Long-lived assets of Americas attributed to the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Long-lived assets of Europe attributed to Ireland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16. Business Acquisition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Futurepedia, LLC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3, 2026, the Company acquired all outstanding membership interests of Futurepedia, LLC (“Futurepedia”), an AI-focused media platform, to expand HubSpot's media footprint. The total cash purchase price for the acquisition was $19.1 million, net of cash acquired. There was approximately $8.6 million of post-combination consideration, which is contingent upon post-acquisition employment that will be recognized as compensation expense in the consolidated statement of operations over a period of two years. The excess of the purchase consideration over the fair value of net tangible and identifiable intangible assets and liabilities acquired was recorded as goodwill. The goodwill recognized is deductible for U.S. income tax purposes.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included the operating results of Futurepedia in its consolidated financial statements since the date of the acquisition. The acquisition did not have a material effect on the revenue or earnings in the consolidated statement of operations for the reporting periods presented. Separate financial results and pro forma financial information for Futurepedia have not been presented as the effect of this acquisition was not material to our financial results.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17. Subsequent Event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3, 2026, the Company’s Board of Directors authorized an additional share repurchase program for the repurchase of shares of the Company’s common stock, in an aggregate amount of up to $1.0 billion (the “August 2026 Share Repurchase Program”) over a period of up to 24 months. All repurchases under the program will be made in the open market, through privately negotiated transactions or other legally permissible means, including pursuant to 10b5-1 plans, and in compliance with applicable securities laws and other requirements. The August 2026 Share Repurchase Program will be funded using the Company's working capital. The timing, manner, price, and amount of the August 2026 Share Repurchase Program will be subject to the discretion of the Company’s management and does not obligate the Company to acquire a specified number of shares, and may be suspended, modified, or terminated at any time, without prior notice.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for the year ended December 31, 2025 filed with the SEC on February 11, 2026.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provide an agentic customer platform that helps marketing, sales, and customer service teams drive business growth. We deliver seamless connection for customer-facing teams with a unified platform that includes three layers: Artificial Intelligence (“AI”)-powered agents and engagement Hubs, a Smart customer relationship management product (“CRM”), and a connected ecosystem supporting the customer platform with a marketplace of integrations, templates, expert partners, a community network, and an academy of educational content.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AI is integrated throughout our agentic customer platform, including our Smart CRM, engagement Hubs, and the connected ecosystem. Our engagement Hubs that enable companies to attract, engage, and delight customers throughout the customer lifecycle include Marketing, Sales, Service, Operations, Content and Revenue. The Smart CRM is the foundational context layer that combines customer data with AI to power the entire customer platform with unified customer profiles and tools to manage and govern your team and business processes. Our customer platform features a central database of lead and customer interactions and integrated applications designed to help businesses build their presence online, attract prospects across channels, convert prospects into leads, close leads into customers, transact with those customers, and delight them so they become promoters of those businesses.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designed and built our customer platform to serve a broad range of customers globally. It was built to easily and seamlessly integrate third party applications to further customize to an individual company’s industry or needs. Our customer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We focus on selling to mid-market business-to-business, or B2B, companies, which we define as companies that have between 2 and 2,000 employees. While our customer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traditional and AI-enhanced engagement strategies, our Solutions Partners, and our “freemium” model. AI-enhanced engagement strategies leverage AI to personalize, automate, and optimize how businesses attract, engage, and retain customers across channels and throughout the customer lifecycle. A Solutions Partner is a service provider that helps businesses with strategy, execution, and implementation of go-to-market activities and technology solutions. Our freemium model attracts customers who begin using our customer platform through our free products and then upgrade to our paid products. </w:t>
      </w:r>
      <w:r>
        <w:rPr>
          <w:rFonts w:ascii="Times New Roman" w:hAnsi="Times New Roman"/>
          <w:color w:val="212529"/>
          <w:sz w:val="20"/>
        </w:rPr>
        <w:t xml:space="preserve">As of June 30, 2026, we had 9,016 full-time employees and 306,446 Customers of varying sizes in more than 135 countries, representing many industries.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derive most of our revenue from subscriptions to our cloud-based customer platform and related professional services, which consist of customer on-boarding, training and consulting services. Subscription revenue accounted for 98% of our total revenue for the six months ended June 30, 2026 and 2025. We sell multiple product plans at different base prices on a subscription basis, each of which includes our Smart CRM and integrated applications to meet the needs of the various customers we serve. We also generate revenue through customer usage of our consumption-based products. Customers pay additional fees if the number of contacts stored and tracked in the customer’s database exceeds specified thresholds. We also generate revenue based on the purchase of additional subscriptions, products and seats. Most of our Customers’ subscriptions are one year or less in duration.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Many of our customers purchase on-boarding, training, and consulting services, which are designed to help customers enhance their ability to attract, engage and delight their customers using our customer platform. Professional services and other revenue also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include Payments, our end-to-end payment solution, as well as our Stripe payment processing integration, both built within Revenue Hub. Professional services and other revenue accounted for 2% of total revenue for the six months ended June 30, 2026 and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focused on rapidly growing our business and plan to continue to make investments to help us address some of the challenges facing us to support this growth, such as demand for our customer platform by existing and new customers, significant competition from other customer platform providers and related applications and rapid technological changes in our industry.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We believe that the growth of our business is dependent on many factors, including our ability to expand our customer base, increase adoption of our customer platform within existing customers, develop new products and applications to extend the functionality of our customer platform and provide a high level of customer service. We have invested and intend to continue investing for long-term growth. We intend to continue to invest in sales and marketing to support our growth, including investments in AI-enabled tools for guided selling and content generation designed to drive efficiencies and improve conversion rates. We plan to continue to invest in research and development as we continue to introduce new products and applications to extend the functionality of our customer platform, including the use of AI-enabled tools and machine learning capabilities intended to accelerate innovation and increase productivity. We intend to continue maintaining a high level of customer service and support which we consider critical for our continued success, and investing in AI to support automated ticket resolution. We also plan to continue investing in our services capabilities in order to support continued future customer growth. We also expect to continue to incur general and administrative expenses as a result of our growth and the infrastructure required to operate as a public company, including continued efforts to automate and streamline processes using AI-enabled tools. We expect to use our cash flow from operations to fund these growth strategies and support our business. </w:t>
        <w:br/>
        <w:br/>
      </w:r>
      <w:r>
        <w:rPr>
          <w:rFonts w:ascii="Times New Roman" w:hAnsi="Times New Roman"/>
          <w:b/>
          <w:color w:val="000000"/>
          <w:sz w:val="20"/>
        </w:rPr>
        <w:t>Global Economic Conditions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results of operations may be significantly influenced by general macroeconomic conditions, including, but not limited to, the impact of pandemics, geo-political conflicts, foreign currency fluctuations, interest rates, inflation, recession risks, tariffs or other trade restrictions, and existing and new domestic and foreign laws and regulations, all of which are beyond our control. Fluctuations in foreign exchange rates and rising inflation have had, and may continue to have an adverse impact on our financial condition and operating results in future periods. As we continue to monitor the direct and indirect impacts of these circumstances, the broader implications of these macroeconomic events on our business, results of operations and overall financial position, particularly in the long term, remain uncertain. See the section titled “Risk Factors'' included under Part II, Item 1A below for further discussion of the possible impact of these factors and other risks on our business.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Key Components of Consolidated Statements of Operations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derive our revenue from two major sources, revenue from subscriptions to our customer platform and professional services and other revenue consisting mainly of on-boarding, training, consulting services fees, and Payments.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Subscription-based revenue is derived from customers using our customer platform for their marketing, sales, service, data, and content management needs. We sell multiple product plans at different base prices on a subscription basis, each of which includes our Smart CRM and integrated applications to meet the needs of the various customers we serve. All subscription fees that are billed in advance of service are recorded in deferred revenue. Subscription based revenue is recognized net of consideration paid to Solutions Partners when those Solutions Partners purchase the subscription to our customer platform. We also generate revenue through usage, including HubSpot Credits, which are consumed when customers use our AI agent products across our customer platform, and other consumption-based offerings. Usage fees that are billed in advance of consumption are recorded in deferred revenue.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Professional services and other revenue are derived primarily from customer on-boarding, training, consulting services, and Payments. Depending on which Hubs and services a customer purchases, they receive on-boarding guidance or training from technical consultants via web meetings.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Cost of Revenue, Operating and Other Expenses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Cost of subscription revenue consists primarily of managed hosting providers and other third-party service providers, including AI inferencing costs, employee-related costs including salaries, benefits, bonuses, and stock-based compensation expense for our customer support team, amortization of capitalized software development costs and acquired technology, and allocated overhead costs, which include facilities costs, depreciation of fixed assets, and costs related to information technology.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Cost of professional services and other revenue consists primarily of personnel costs of our professional services organization, including salaries, benefits, bonuses, stock-based compensation, amortization of capitalized software development costs associated with Payments, as well as professional fees and allocated overhead costs, which include facilities, depreciation of fixed assets, and costs related to information technology. It also consists of costs associated with Payments and our other service offerings.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that the cost of subscription and professional services and other revenue will increase in absolute dollars as we continue to invest in our infrastructure and capitalize software development costs for new offerings to grow our business and scale with AI capabilities. As a result of these investments, over time, we expect gross margins to decline slightly.</w:t>
      </w:r>
    </w:p>
    <w:p>
      <w:pPr>
        <w:pStyle w:val="TextBody"/>
        <w:bidi w:val="0"/>
        <w:spacing w:before="20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personnel costs of our development team, including salaries, benefits, bonuses, stock-based compensation expense, professional and contractor fees and allocated overhead costs, which include facilities costs, depreciation of fixed assets, and costs related to information technology. We capitalize certain software development costs that are attributable to developing new products and adding incremental functionality to our customer platform and amortize such costs as cost of subscription and cost of professional services and other revenue over the estimated life of the new product or incremental functionality, which is generally two years. We also capitalize certain development costs that are attributable to developing our internally developed software platforms and amortize such costs throughout the consolidated statement of operations over the estimated life of our internally developed software platforms, which is generally five years. We focus our research and development efforts on improving our products and developing new ones, delivering new functionality and enhancing the customer experience. We believe delivering new functionality for our customers is an integral part of our solution and provides our customers with access to a broad array of options and information critical to their marketing, sales, and customer service efforts. We expect to continue to make investments in and expand our offerings to enhance our customers’ experience and satisfaction and attract new customers. Over time, we expect research and development expenses to increase in absolute dollars as we continue to increase the functionality of our customer platform and decline as a percentage of total revenue, exclusive of stock-based compensation expense.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Sales and Marketing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Sales and marketing expenses consist primarily of personnel costs of our sales and marketing employees, including sales commissions and incentives, benefits and stock-based compensation expense, marketing programs, including lead generation, costs of our annual UNBOUND (formerly INBOUND) conference, other brand building expenses, amortization of intangible assets, professional and contractor fees and allocated overhead costs. Sales and marketing expenses also include commissions paid to our Solutions Partners in instances where the end customer purchases and pays for a subscription to our customer platform. We defer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certain sales and Solutions Partner commissions related to acquiring new contracts and amortize them ratably over a period of benefit that we have determined to be approximately two to four years.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plan to continue to invest in sales and marketing to grow our customer base and increase sales to existing customers. This growth will include adding sales personnel and expanding our marketing activities to continue to generate leads and build brand awareness. We expect sales and marketing expenses to increase in absolute dollars as we continue to develop our sales and marketing teams. Over time, we expect sales and marketing expenses will decline as a percentage of total revenue, exclusive of stock-based compensation.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General and administrative expenses consist of personnel costs and related expenses for executive, finance, legal, human resources, employee-related information technology, administrative personnel, including salaries, benefits, bonuses, stock-based compensation expense, professional fees for external legal, accounting and other consulting services, and allocated overhead costs, which include facilities costs, depreciation of fixed assets, and costs related to information technology. We expect that general and administrative expenses will increase on an absolute dollar basis as we incur the costs of compliance associated with being a publicly traded company, and remain relatively consistent as a percentage of total revenue, exclusive of stock-based compensation expense, as we focus on processes, systems and controls to enable our internal support functions to scale with the growth of our business. </w:t>
      </w:r>
    </w:p>
    <w:p>
      <w:pPr>
        <w:pStyle w:val="TextBody"/>
        <w:bidi w:val="0"/>
        <w:spacing w:before="200" w:after="283"/>
        <w:jc w:val="left"/>
        <w:rPr>
          <w:rFonts w:ascii="Times New Roman" w:hAnsi="Times New Roman"/>
          <w:sz w:val="20"/>
        </w:rPr>
      </w:pPr>
      <w:r>
        <w:rPr>
          <w:rFonts w:ascii="Times New Roman" w:hAnsi="Times New Roman"/>
          <w:b/>
          <w:i/>
          <w:color w:val="000000"/>
          <w:sz w:val="20"/>
        </w:rPr>
        <w:t>Restructuring</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Restructuring expenses primarily consist of variable lease costs related to properties vacated under our restructuring plan. On January 25, 2023, our board of directors authorized a restructuring plan (the “Restructuring Plan”) that was designed to reduce operating costs and enable investment in key opportunities for long-term growth while driving continued profitability. The Restructuring Plan included a reduction of our workforce by approximately 7% and a global lease consolidation to create higher density across our workspaces. Future variable facilities related costs for vacated properties will continue to be recorded to restructuring charges.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income primarily consists of interest earned on invested cash and cash equivalents balances and investments. Interest expense primarily consists of amortization of issuance costs and contractual interest expense related to our 2025 Notes and Revolving Credit Facility. Other (expense) income, net primarily consists of the impact of foreign currency transaction gains and losses associated with monetary assets and liabilities and any gains, losses on, or impairments of our strategic investments.</w:t>
      </w:r>
    </w:p>
    <w:p>
      <w:pPr>
        <w:pStyle w:val="TextBody"/>
        <w:bidi w:val="0"/>
        <w:spacing w:before="200" w:after="283"/>
        <w:jc w:val="left"/>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Income tax expense consists of current and deferred taxes for U.S. and foreign jurisdictions.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 for the Three and Six Months Ended June 30, 2026 and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tables set forth our results of operations for the periods presented and as a percentage of our total revenue for those periods. The data has been derived from the unaudited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 </w:t>
      </w:r>
    </w:p>
    <w:p>
      <w:pPr>
        <w:pStyle w:val="TextBody"/>
        <w:bidi w:val="0"/>
        <w:spacing w:before="200" w:after="283"/>
        <w:jc w:val="left"/>
        <w:rPr/>
      </w:pPr>
      <w:r>
        <w:rPr/>
        <w:t> </w:t>
      </w:r>
    </w:p>
    <w:tbl>
      <w:tblPr>
        <w:tblW w:w="8883" w:type="dxa"/>
        <w:jc w:val="left"/>
        <w:tblInd w:w="0" w:type="dxa"/>
        <w:tblLayout w:type="fixed"/>
        <w:tblCellMar>
          <w:top w:w="28" w:type="dxa"/>
          <w:left w:w="28" w:type="dxa"/>
          <w:bottom w:w="28" w:type="dxa"/>
          <w:right w:w="28" w:type="dxa"/>
        </w:tblCellMar>
      </w:tblPr>
      <w:tblGrid>
        <w:gridCol w:w="3016"/>
        <w:gridCol w:w="146"/>
        <w:gridCol w:w="212"/>
        <w:gridCol w:w="750"/>
        <w:gridCol w:w="180"/>
        <w:gridCol w:w="158"/>
        <w:gridCol w:w="212"/>
        <w:gridCol w:w="750"/>
        <w:gridCol w:w="166"/>
        <w:gridCol w:w="146"/>
        <w:gridCol w:w="196"/>
        <w:gridCol w:w="826"/>
        <w:gridCol w:w="166"/>
        <w:gridCol w:w="146"/>
        <w:gridCol w:w="196"/>
        <w:gridCol w:w="826"/>
        <w:gridCol w:w="7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894,025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1,756,289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1,443,260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17,715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31,743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911,740</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760,866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1,792,735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1,475,003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145,957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206,900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14,922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30,368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160,879</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237,268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750,861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1,486,163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1,237,735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225,823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457,438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397,707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666,578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82,936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163,629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707,542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1,414,900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1,289,831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43,319</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(52,096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38,854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(2,769</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36,768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49,567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(15,328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(6,229</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43,338</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(25,051</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8567" w:type="dxa"/>
        <w:jc w:val="left"/>
        <w:tblInd w:w="0" w:type="dxa"/>
        <w:tblLayout w:type="fixed"/>
        <w:tblCellMar>
          <w:top w:w="28" w:type="dxa"/>
          <w:left w:w="28" w:type="dxa"/>
          <w:bottom w:w="28" w:type="dxa"/>
          <w:right w:w="28" w:type="dxa"/>
        </w:tblCellMar>
      </w:tblPr>
      <w:tblGrid>
        <w:gridCol w:w="3016"/>
        <w:gridCol w:w="146"/>
        <w:gridCol w:w="228"/>
        <w:gridCol w:w="589"/>
        <w:gridCol w:w="401"/>
        <w:gridCol w:w="228"/>
        <w:gridCol w:w="228"/>
        <w:gridCol w:w="589"/>
        <w:gridCol w:w="316"/>
        <w:gridCol w:w="146"/>
        <w:gridCol w:w="209"/>
        <w:gridCol w:w="538"/>
        <w:gridCol w:w="366"/>
        <w:gridCol w:w="209"/>
        <w:gridCol w:w="209"/>
        <w:gridCol w:w="538"/>
        <w:gridCol w:w="6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rFonts w:ascii="Times New Roman" w:hAnsi="Times New Roman"/>
          <w:color w:val="000000"/>
          <w:sz w:val="20"/>
        </w:rPr>
      </w:pPr>
      <w:r>
        <w:rPr>
          <w:rFonts w:ascii="Times New Roman" w:hAnsi="Times New Roman"/>
          <w:color w:val="000000"/>
          <w:sz w:val="20"/>
        </w:rPr>
        <w:t>Percentages are based on actual values. Totals may not sum due to rounding.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Three and Six Months Ended June 30, 2026 Compared to the Three and Six Months Ended June 30, 2025</w:t>
      </w:r>
    </w:p>
    <w:p>
      <w:pPr>
        <w:pStyle w:val="TextBody"/>
        <w:bidi w:val="0"/>
        <w:spacing w:before="20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br/>
        <w:t> </w:t>
      </w:r>
    </w:p>
    <w:tbl>
      <w:tblPr>
        <w:tblW w:w="10388" w:type="dxa"/>
        <w:jc w:val="left"/>
        <w:tblInd w:w="0" w:type="dxa"/>
        <w:tblLayout w:type="fixed"/>
        <w:tblCellMar>
          <w:top w:w="28" w:type="dxa"/>
          <w:left w:w="28" w:type="dxa"/>
          <w:bottom w:w="28" w:type="dxa"/>
          <w:right w:w="28" w:type="dxa"/>
        </w:tblCellMar>
      </w:tblPr>
      <w:tblGrid>
        <w:gridCol w:w="1221"/>
        <w:gridCol w:w="196"/>
        <w:gridCol w:w="691"/>
        <w:gridCol w:w="146"/>
        <w:gridCol w:w="196"/>
        <w:gridCol w:w="691"/>
        <w:gridCol w:w="146"/>
        <w:gridCol w:w="196"/>
        <w:gridCol w:w="691"/>
        <w:gridCol w:w="146"/>
        <w:gridCol w:w="294"/>
        <w:gridCol w:w="577"/>
        <w:gridCol w:w="256"/>
        <w:gridCol w:w="196"/>
        <w:gridCol w:w="826"/>
        <w:gridCol w:w="146"/>
        <w:gridCol w:w="196"/>
        <w:gridCol w:w="826"/>
        <w:gridCol w:w="146"/>
        <w:gridCol w:w="196"/>
        <w:gridCol w:w="691"/>
        <w:gridCol w:w="146"/>
        <w:gridCol w:w="294"/>
        <w:gridCol w:w="577"/>
        <w:gridCol w:w="701"/>
      </w:tblGrid>
      <w:tr>
        <w:trPr/>
        <w:tc>
          <w:tcPr>
            <w:tcW w:w="1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Subscription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1,756,289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services and other</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911,740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760,866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150,874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1,792,735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1,475,003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317,732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Subscription revenue increased during the three months ended June 30, 2026 compared to the same period in 2025 primarily due to the increase in Customers, which grew from 267,982 as of June 30, 2025 to 306,446 as of June 30, 2026. In addition, Average Subscription Revenue per Customer increased from $11,310 for the three months ended June 30, 2025 to $11,800 for the three months ended June 30, 2026. The growth in Customers was primarily driven by increased demand for our lower-priced Starter products. The increase in Average Subscription Revenue per Customer was primarily driven by continued adoption of our Professional and Enterprise products and the impact of foreign currency translation primarily attributable to the decrease in the value of the U.S. Dollar relative to the Euro and British Pound Sterling, partially offset by continued purchases of our lower-priced Starter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Professional services and other revenue increased during the three months ended June 30, 2026 compared to the same period in 2025 primarily driven by Payments.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Six month change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Subscription revenue increased during the six months ended June 30, 2026 compared to the same period in 2025 primarily due to the increase in Customers, which grew from 267,982 as of June 30, 2025 to 306,446 as of June 30, 2026. In addition, Average Subscription Revenue per Customer increased from $11,183 for the six months ended June 30, 2025 to $11,799 for the six months ended June 30, 2026. The growth in Customers was primarily driven by increased demand for our lower-priced Starter products. The increase in Average Subscription Revenue per Customer was primarily driven by continued adoption of our Professional and Enterprise products and the impact of foreign currency translation primarily attributable to the decrease in the value of the U.S. Dollar relative to the Euro and British Pound Sterling, partially offset by continued purchases of our lower-priced Starter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Professional services and other revenue increased during the six months ended June 30, 2026 compared to the same period in 2025 primarily driven by Payments. </w:t>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Cost of Revenue, Gross Profit and Gross Margin Percentage </w:t>
      </w: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998"/>
        <w:gridCol w:w="196"/>
        <w:gridCol w:w="691"/>
        <w:gridCol w:w="256"/>
        <w:gridCol w:w="196"/>
        <w:gridCol w:w="691"/>
        <w:gridCol w:w="256"/>
        <w:gridCol w:w="196"/>
        <w:gridCol w:w="691"/>
        <w:gridCol w:w="146"/>
        <w:gridCol w:w="294"/>
        <w:gridCol w:w="577"/>
        <w:gridCol w:w="256"/>
        <w:gridCol w:w="196"/>
        <w:gridCol w:w="826"/>
        <w:gridCol w:w="256"/>
        <w:gridCol w:w="196"/>
        <w:gridCol w:w="826"/>
        <w:gridCol w:w="256"/>
        <w:gridCol w:w="196"/>
        <w:gridCol w:w="691"/>
        <w:gridCol w:w="146"/>
        <w:gridCol w:w="294"/>
        <w:gridCol w:w="577"/>
        <w:gridCol w:w="301"/>
      </w:tblGrid>
      <w:tr>
        <w:trPr/>
        <w:tc>
          <w:tcPr>
            <w:tcW w:w="9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 of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160,879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122,161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306,572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237,268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750,861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638,705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1,486,163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1,237,735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 percentage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cost of revenue for the three and six months ended June 30, 2026 increased compared to the same period in 2025 primarily due to an increase in subscription and hosting costs, amortization of capitalized software development costs, amortization of acquired technology, employee-related costs and allocated overhead expenses. Gross margins remained relatively consistent year-over-year.</w:t>
        <w:br/>
        <w:t> </w:t>
      </w:r>
    </w:p>
    <w:tbl>
      <w:tblPr>
        <w:tblW w:w="10205" w:type="dxa"/>
        <w:jc w:val="left"/>
        <w:tblInd w:w="0" w:type="dxa"/>
        <w:tblLayout w:type="fixed"/>
        <w:tblCellMar>
          <w:top w:w="28" w:type="dxa"/>
          <w:left w:w="28" w:type="dxa"/>
          <w:bottom w:w="28" w:type="dxa"/>
          <w:right w:w="28" w:type="dxa"/>
        </w:tblCellMar>
      </w:tblPr>
      <w:tblGrid>
        <w:gridCol w:w="1448"/>
        <w:gridCol w:w="196"/>
        <w:gridCol w:w="691"/>
        <w:gridCol w:w="256"/>
        <w:gridCol w:w="196"/>
        <w:gridCol w:w="691"/>
        <w:gridCol w:w="256"/>
        <w:gridCol w:w="196"/>
        <w:gridCol w:w="601"/>
        <w:gridCol w:w="146"/>
        <w:gridCol w:w="294"/>
        <w:gridCol w:w="577"/>
        <w:gridCol w:w="256"/>
        <w:gridCol w:w="196"/>
        <w:gridCol w:w="691"/>
        <w:gridCol w:w="256"/>
        <w:gridCol w:w="196"/>
        <w:gridCol w:w="691"/>
        <w:gridCol w:w="256"/>
        <w:gridCol w:w="196"/>
        <w:gridCol w:w="601"/>
        <w:gridCol w:w="146"/>
        <w:gridCol w:w="294"/>
        <w:gridCol w:w="577"/>
        <w:gridCol w:w="301"/>
      </w:tblGrid>
      <w:tr>
        <w:trPr/>
        <w:tc>
          <w:tcPr>
            <w:tcW w:w="14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Subscription cost of 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145,957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106,670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274,681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206,900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subscription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subscription cost of revenue for the three and six months ended June 30, 2026 compared to the same period in 2025 was primarily due to the following:</w:t>
        <w:br/>
        <w:t> </w:t>
      </w:r>
    </w:p>
    <w:tbl>
      <w:tblPr>
        <w:tblW w:w="6998" w:type="dxa"/>
        <w:jc w:val="left"/>
        <w:tblInd w:w="0" w:type="dxa"/>
        <w:tblLayout w:type="fixed"/>
        <w:tblCellMar>
          <w:top w:w="28" w:type="dxa"/>
          <w:left w:w="28" w:type="dxa"/>
          <w:bottom w:w="28" w:type="dxa"/>
          <w:right w:w="28" w:type="dxa"/>
        </w:tblCellMar>
      </w:tblPr>
      <w:tblGrid>
        <w:gridCol w:w="4636"/>
        <w:gridCol w:w="264"/>
        <w:gridCol w:w="846"/>
        <w:gridCol w:w="146"/>
        <w:gridCol w:w="217"/>
        <w:gridCol w:w="698"/>
        <w:gridCol w:w="191"/>
      </w:tblGrid>
      <w:tr>
        <w:trPr/>
        <w:tc>
          <w:tcPr>
            <w:tcW w:w="46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5"/>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and hosting costs</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capitalized software development costs</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Subscription and hosting costs increased primarily due to growth in our Customer base from 267,982 as of June 30, 2025 to 306,446 as of June 30, 2026. We also incurred higher subscription and hosting costs as we continued to support increased usage of our customer platform and continued investments AI-enabled tools to expand AI functionality. Amortization of capitalized software development costs increased due to the increased number of developers working on our software platform as we continued to develop new products and enhance functionality. Allocated overhead expenses increased due to an increase in shared company expenses associated with our systems and infrastructure as we continued to grow our business.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Six month change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Subscription and hosting costs increased primarily due to growth in our Customer base from 267,982 as of June 30, 2025 to 306,446 as of June 30, 2026. We also incurred higher subscription and hosting costs as we continued to support increased usage of our customer platform and continued investments in AI-enabled tools to expand AI functionality. Amortization of capitalized software development costs increased due to the increased number of developers working on our software platform as we continued to develop new products and enhance functionality. Allocated overhead expenses increased due to an increase in shared company expenses associated with our systems and infrastructure as we continued to grow our business.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1774"/>
        <w:gridCol w:w="196"/>
        <w:gridCol w:w="601"/>
        <w:gridCol w:w="256"/>
        <w:gridCol w:w="196"/>
        <w:gridCol w:w="601"/>
        <w:gridCol w:w="256"/>
        <w:gridCol w:w="246"/>
        <w:gridCol w:w="550"/>
        <w:gridCol w:w="166"/>
        <w:gridCol w:w="316"/>
        <w:gridCol w:w="555"/>
        <w:gridCol w:w="271"/>
        <w:gridCol w:w="196"/>
        <w:gridCol w:w="601"/>
        <w:gridCol w:w="256"/>
        <w:gridCol w:w="196"/>
        <w:gridCol w:w="601"/>
        <w:gridCol w:w="256"/>
        <w:gridCol w:w="220"/>
        <w:gridCol w:w="576"/>
        <w:gridCol w:w="146"/>
        <w:gridCol w:w="371"/>
        <w:gridCol w:w="500"/>
        <w:gridCol w:w="302"/>
      </w:tblGrid>
      <w:tr>
        <w:trPr/>
        <w:tc>
          <w:tcPr>
            <w:tcW w:w="17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Professional services and other cost of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15,491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31,891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professional services and other 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changes in professional services and other cost of revenue for three and six months ended June 30, 2026 compared to the same periods in 2025 were primarily due to the following: </w:t>
        <w:br/>
        <w:t> </w:t>
      </w:r>
    </w:p>
    <w:tbl>
      <w:tblPr>
        <w:tblW w:w="5658" w:type="dxa"/>
        <w:jc w:val="left"/>
        <w:tblInd w:w="0" w:type="dxa"/>
        <w:tblLayout w:type="fixed"/>
        <w:tblCellMar>
          <w:top w:w="28" w:type="dxa"/>
          <w:left w:w="28" w:type="dxa"/>
          <w:bottom w:w="28" w:type="dxa"/>
          <w:right w:w="28" w:type="dxa"/>
        </w:tblCellMar>
      </w:tblPr>
      <w:tblGrid>
        <w:gridCol w:w="3256"/>
        <w:gridCol w:w="278"/>
        <w:gridCol w:w="832"/>
        <w:gridCol w:w="166"/>
        <w:gridCol w:w="229"/>
        <w:gridCol w:w="686"/>
        <w:gridCol w:w="211"/>
      </w:tblGrid>
      <w:tr>
        <w:trPr/>
        <w:tc>
          <w:tcPr>
            <w:tcW w:w="32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Hub Payment processing fees</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 Hub Payment processing fees increased due to higher payment volume and merchant activity. Professional fees increased and employee-related costs decreased as we continue to leverage our Solutions Partners to deliver on-boarding and other professional services. Allocated overhead expenses decreased primarily due to the decreased proportional allocation of shared company expenses associated with headcount in services cost of revenue.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Six month change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 Hub Payment processing fees increased due to higher payment volume and merchant activity. Professional fees increased and employee-related costs decreased as we continue to leverage our Solutions Partners to deliver on-boarding and other professional services. Allocated overhead expenses decreased primarily due to the decreased proportional allocation of shared company expenses associated with headcount in services cost of revenue. </w:t>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Research and Development</w:t>
      </w:r>
    </w:p>
    <w:tbl>
      <w:tblPr>
        <w:tblW w:w="10205" w:type="dxa"/>
        <w:jc w:val="left"/>
        <w:tblInd w:w="0" w:type="dxa"/>
        <w:tblLayout w:type="fixed"/>
        <w:tblCellMar>
          <w:top w:w="28" w:type="dxa"/>
          <w:left w:w="28" w:type="dxa"/>
          <w:bottom w:w="28" w:type="dxa"/>
          <w:right w:w="28" w:type="dxa"/>
        </w:tblCellMar>
      </w:tblPr>
      <w:tblGrid>
        <w:gridCol w:w="1349"/>
        <w:gridCol w:w="196"/>
        <w:gridCol w:w="691"/>
        <w:gridCol w:w="256"/>
        <w:gridCol w:w="196"/>
        <w:gridCol w:w="691"/>
        <w:gridCol w:w="256"/>
        <w:gridCol w:w="196"/>
        <w:gridCol w:w="661"/>
        <w:gridCol w:w="166"/>
        <w:gridCol w:w="316"/>
        <w:gridCol w:w="555"/>
        <w:gridCol w:w="275"/>
        <w:gridCol w:w="196"/>
        <w:gridCol w:w="691"/>
        <w:gridCol w:w="256"/>
        <w:gridCol w:w="196"/>
        <w:gridCol w:w="691"/>
        <w:gridCol w:w="256"/>
        <w:gridCol w:w="220"/>
        <w:gridCol w:w="576"/>
        <w:gridCol w:w="146"/>
        <w:gridCol w:w="371"/>
        <w:gridCol w:w="500"/>
        <w:gridCol w:w="302"/>
      </w:tblGrid>
      <w:tr>
        <w:trPr/>
        <w:tc>
          <w:tcPr>
            <w:tcW w:w="13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225,823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237,340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460,017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457,438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total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changes in research and development expense for the three and six months ended June 30, 2026 compared to the same periods in 2025 were primarily due to the following:</w:t>
      </w:r>
    </w:p>
    <w:tbl>
      <w:tblPr>
        <w:tblW w:w="4925" w:type="dxa"/>
        <w:jc w:val="left"/>
        <w:tblInd w:w="0" w:type="dxa"/>
        <w:tblLayout w:type="fixed"/>
        <w:tblCellMar>
          <w:top w:w="28" w:type="dxa"/>
          <w:left w:w="28" w:type="dxa"/>
          <w:bottom w:w="28" w:type="dxa"/>
          <w:right w:w="28" w:type="dxa"/>
        </w:tblCellMar>
      </w:tblPr>
      <w:tblGrid>
        <w:gridCol w:w="2491"/>
        <w:gridCol w:w="247"/>
        <w:gridCol w:w="863"/>
        <w:gridCol w:w="166"/>
        <w:gridCol w:w="211"/>
        <w:gridCol w:w="736"/>
        <w:gridCol w:w="211"/>
      </w:tblGrid>
      <w:tr>
        <w:trPr/>
        <w:tc>
          <w:tcPr>
            <w:tcW w:w="249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3" w:type="dxa"/>
            <w:gridSpan w:val="5"/>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and services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Software and services expense increased due to an increase in the use of AI tools. Allocated overhead expenses increased due to an increase in shared company expenses associated with our systems and infrastructure as we continued to grow our business. Employee-related costs decreased primarily due to lower expense associated with our share-based payment awards.</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Six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Software and services expense increased due to an increase in the use of AI tools. Allocated overhead expenses increased due to an increase in shared company expenses associated with our systems and infrastructure as we continued to grow our business. Employee-related costs decreased primarily due to lower expense associated with our share-based payment awards.</w:t>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Sales and Marketing</w:t>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1358"/>
        <w:gridCol w:w="196"/>
        <w:gridCol w:w="691"/>
        <w:gridCol w:w="256"/>
        <w:gridCol w:w="196"/>
        <w:gridCol w:w="691"/>
        <w:gridCol w:w="256"/>
        <w:gridCol w:w="196"/>
        <w:gridCol w:w="601"/>
        <w:gridCol w:w="146"/>
        <w:gridCol w:w="294"/>
        <w:gridCol w:w="577"/>
        <w:gridCol w:w="256"/>
        <w:gridCol w:w="196"/>
        <w:gridCol w:w="691"/>
        <w:gridCol w:w="256"/>
        <w:gridCol w:w="196"/>
        <w:gridCol w:w="691"/>
        <w:gridCol w:w="256"/>
        <w:gridCol w:w="196"/>
        <w:gridCol w:w="691"/>
        <w:gridCol w:w="146"/>
        <w:gridCol w:w="294"/>
        <w:gridCol w:w="577"/>
        <w:gridCol w:w="301"/>
      </w:tblGrid>
      <w:tr>
        <w:trPr/>
        <w:tc>
          <w:tcPr>
            <w:tcW w:w="13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397,707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339,879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784,138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666,578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total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sales and marketing expense for the three and six months ended June 30, 2026 compared to the same periods in 2025 were primarily due to the following:</w:t>
        <w:br/>
        <w:t> </w:t>
      </w:r>
    </w:p>
    <w:tbl>
      <w:tblPr>
        <w:tblW w:w="5050" w:type="dxa"/>
        <w:jc w:val="left"/>
        <w:tblInd w:w="0" w:type="dxa"/>
        <w:tblLayout w:type="fixed"/>
        <w:tblCellMar>
          <w:top w:w="28" w:type="dxa"/>
          <w:left w:w="28" w:type="dxa"/>
          <w:bottom w:w="28" w:type="dxa"/>
          <w:right w:w="28" w:type="dxa"/>
        </w:tblCellMar>
      </w:tblPr>
      <w:tblGrid>
        <w:gridCol w:w="2611"/>
        <w:gridCol w:w="264"/>
        <w:gridCol w:w="846"/>
        <w:gridCol w:w="146"/>
        <w:gridCol w:w="211"/>
        <w:gridCol w:w="781"/>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Solutions Partner commissions</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programs</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and services</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117,560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Employee-related costs increased as a result of increased headcount as we expanded our selling and marketing organizations to grow our customer base. Solutions Partner commissions increased due to increased revenue generated through our Solutions Partners. Marketing programs increased due to the timing and size of certain marketing efforts as we made investments in attracting new customers. Software and services cost increased due to an increase in the use of third party software and AI-enabled tools to improve productivity. Professional fees increased due to an increase in the use of third party services and contractors for our marketing efforts. Allocated overhead expenses increased due to an increase in shared company expenses associated with our systems and infrastructure to support our business growth and increased proportional allocation of shared company expenses associated with headcount in sales and marketing. </w:t>
        <w:b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Six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Employee-related costs increased as a result of increased headcount as we expanded our selling and marketing organizations to grow our customer base. Solutions Partner commissions increased due to increased revenue generated through our Solutions Partners, partially offset by a decrease due to the change in the duration and eligibility of commissions for certain Solutions Partners to better align with the value delivered to customers in the first quarter of 2025. Marketing programs increased due to the timing and size of certain marketing efforts as we made investments in attracting new customers. Software and services cost increased due to an increase in the use of third party software and AI-enabled tools to improve productivity. Professional fees increased due to an increase in the use of third party services and contractors for our marketing efforts. Allocated overhead expenses increased due to an increase in shared company expenses associated with our systems and infrastructure to support our business growth and increased proportional allocation of shared company expenses associated with headcount in sales and marketing. </w:t>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and Administrative</w:t>
      </w:r>
    </w:p>
    <w:tbl>
      <w:tblPr>
        <w:tblW w:w="10205" w:type="dxa"/>
        <w:jc w:val="left"/>
        <w:tblInd w:w="0" w:type="dxa"/>
        <w:tblLayout w:type="fixed"/>
        <w:tblCellMar>
          <w:top w:w="28" w:type="dxa"/>
          <w:left w:w="28" w:type="dxa"/>
          <w:bottom w:w="28" w:type="dxa"/>
          <w:right w:w="28" w:type="dxa"/>
        </w:tblCellMar>
      </w:tblPr>
      <w:tblGrid>
        <w:gridCol w:w="1579"/>
        <w:gridCol w:w="196"/>
        <w:gridCol w:w="601"/>
        <w:gridCol w:w="256"/>
        <w:gridCol w:w="196"/>
        <w:gridCol w:w="601"/>
        <w:gridCol w:w="256"/>
        <w:gridCol w:w="203"/>
        <w:gridCol w:w="593"/>
        <w:gridCol w:w="166"/>
        <w:gridCol w:w="316"/>
        <w:gridCol w:w="555"/>
        <w:gridCol w:w="286"/>
        <w:gridCol w:w="196"/>
        <w:gridCol w:w="691"/>
        <w:gridCol w:w="256"/>
        <w:gridCol w:w="196"/>
        <w:gridCol w:w="691"/>
        <w:gridCol w:w="256"/>
        <w:gridCol w:w="220"/>
        <w:gridCol w:w="576"/>
        <w:gridCol w:w="146"/>
        <w:gridCol w:w="371"/>
        <w:gridCol w:w="500"/>
        <w:gridCol w:w="302"/>
      </w:tblGrid>
      <w:tr>
        <w:trPr/>
        <w:tc>
          <w:tcPr>
            <w:tcW w:w="15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168,576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163,629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total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changes in general and administrative expense for the three and six months ended June 30, 2026 compared to the same periods in 2025 were primarily due to the following: </w:t>
        <w:br/>
        <w:t> </w:t>
      </w:r>
    </w:p>
    <w:tbl>
      <w:tblPr>
        <w:tblW w:w="4893" w:type="dxa"/>
        <w:jc w:val="left"/>
        <w:tblInd w:w="0" w:type="dxa"/>
        <w:tblLayout w:type="fixed"/>
        <w:tblCellMar>
          <w:top w:w="28" w:type="dxa"/>
          <w:left w:w="28" w:type="dxa"/>
          <w:bottom w:w="28" w:type="dxa"/>
          <w:right w:w="28" w:type="dxa"/>
        </w:tblCellMar>
      </w:tblPr>
      <w:tblGrid>
        <w:gridCol w:w="2491"/>
        <w:gridCol w:w="278"/>
        <w:gridCol w:w="832"/>
        <w:gridCol w:w="166"/>
        <w:gridCol w:w="229"/>
        <w:gridCol w:w="686"/>
        <w:gridCol w:w="211"/>
      </w:tblGrid>
      <w:tr>
        <w:trPr/>
        <w:tc>
          <w:tcPr>
            <w:tcW w:w="249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credit card fees</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Customer credit card fees increased due to increased customer transactions as we continued to grow our business. Professional fees increased primarily due to increase in the use of third-party services and contractors. Allocated overhead expenses increased primarily due to the increased proportional allocation of shared company expenses associated with headcount in general and administrative. Employee-related costs decreased primarily due to lower expense associated with our share-based payment awards.</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Six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Customer credit card fees increased due to increased customer transactions as we continued to grow our business. Professional fees increased primarily due to increase in the use of third-party services and contractors. Allocated overhead expenses increased primarily due to the increased proportional allocation of shared company expenses associated with headcount in general and administrative. Employee-related costs decreased primarily due to lower expense associated with our share-based payment awards.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Restructuring </w:t>
        <w:br/>
      </w:r>
      <w:r>
        <w:rPr>
          <w:rFonts w:ascii="Times New Roman" w:hAnsi="Times New Roman"/>
          <w:color w:val="000000"/>
          <w:sz w:val="20"/>
        </w:rPr>
        <w:t> </w:t>
      </w:r>
    </w:p>
    <w:tbl>
      <w:tblPr>
        <w:tblW w:w="9869" w:type="dxa"/>
        <w:jc w:val="left"/>
        <w:tblInd w:w="0" w:type="dxa"/>
        <w:tblLayout w:type="fixed"/>
        <w:tblCellMar>
          <w:top w:w="28" w:type="dxa"/>
          <w:left w:w="28" w:type="dxa"/>
          <w:bottom w:w="28" w:type="dxa"/>
          <w:right w:w="28" w:type="dxa"/>
        </w:tblCellMar>
      </w:tblPr>
      <w:tblGrid>
        <w:gridCol w:w="2026"/>
        <w:gridCol w:w="207"/>
        <w:gridCol w:w="540"/>
        <w:gridCol w:w="154"/>
        <w:gridCol w:w="207"/>
        <w:gridCol w:w="540"/>
        <w:gridCol w:w="146"/>
        <w:gridCol w:w="287"/>
        <w:gridCol w:w="509"/>
        <w:gridCol w:w="166"/>
        <w:gridCol w:w="316"/>
        <w:gridCol w:w="555"/>
        <w:gridCol w:w="316"/>
        <w:gridCol w:w="196"/>
        <w:gridCol w:w="511"/>
        <w:gridCol w:w="146"/>
        <w:gridCol w:w="196"/>
        <w:gridCol w:w="511"/>
        <w:gridCol w:w="146"/>
        <w:gridCol w:w="287"/>
        <w:gridCol w:w="509"/>
        <w:gridCol w:w="166"/>
        <w:gridCol w:w="316"/>
        <w:gridCol w:w="555"/>
        <w:gridCol w:w="361"/>
      </w:tblGrid>
      <w:tr>
        <w:trPr/>
        <w:tc>
          <w:tcPr>
            <w:tcW w:w="202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Restructuring</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total revenue</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not meaningful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Restructuring charges in the three and six months ended June 30, 2026 and 2025 consisted of variable facilities-related costs on unused space. </w:t>
        <w:br/>
        <w:t>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Interest income </w:t>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1712"/>
        <w:gridCol w:w="196"/>
        <w:gridCol w:w="511"/>
        <w:gridCol w:w="256"/>
        <w:gridCol w:w="196"/>
        <w:gridCol w:w="601"/>
        <w:gridCol w:w="256"/>
        <w:gridCol w:w="203"/>
        <w:gridCol w:w="593"/>
        <w:gridCol w:w="166"/>
        <w:gridCol w:w="258"/>
        <w:gridCol w:w="613"/>
        <w:gridCol w:w="299"/>
        <w:gridCol w:w="196"/>
        <w:gridCol w:w="601"/>
        <w:gridCol w:w="256"/>
        <w:gridCol w:w="196"/>
        <w:gridCol w:w="601"/>
        <w:gridCol w:w="256"/>
        <w:gridCol w:w="196"/>
        <w:gridCol w:w="661"/>
        <w:gridCol w:w="166"/>
        <w:gridCol w:w="258"/>
        <w:gridCol w:w="613"/>
        <w:gridCol w:w="345"/>
      </w:tblGrid>
      <w:tr>
        <w:trPr/>
        <w:tc>
          <w:tcPr>
            <w:tcW w:w="17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total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decrease during the three and six months ended June 30, 2026 is primarily due to lower average investment balances, driven by the use of cash to settle our 2025 Notes and fund our Share Repurchase Programs, and lower yields.</w:t>
      </w:r>
    </w:p>
    <w:p>
      <w:pPr>
        <w:pStyle w:val="TextBody"/>
        <w:bidi w:val="0"/>
        <w:spacing w:before="200" w:after="283"/>
        <w:jc w:val="left"/>
        <w:rPr>
          <w:rFonts w:ascii="Times New Roman" w:hAnsi="Times New Roman"/>
          <w:sz w:val="20"/>
        </w:rPr>
      </w:pPr>
      <w:r>
        <w:rPr>
          <w:rFonts w:ascii="Times New Roman" w:hAnsi="Times New Roman"/>
          <w:b/>
          <w:i/>
          <w:color w:val="000000"/>
          <w:sz w:val="20"/>
        </w:rPr>
        <w:t>Interest expense</w:t>
        <w:br/>
      </w:r>
      <w:r>
        <w:rPr>
          <w:rFonts w:ascii="Times New Roman" w:hAnsi="Times New Roman"/>
          <w:color w:val="000000"/>
          <w:sz w:val="20"/>
        </w:rPr>
        <w:t> </w:t>
      </w:r>
    </w:p>
    <w:tbl>
      <w:tblPr>
        <w:tblW w:w="9723" w:type="dxa"/>
        <w:jc w:val="left"/>
        <w:tblInd w:w="0" w:type="dxa"/>
        <w:tblLayout w:type="fixed"/>
        <w:tblCellMar>
          <w:top w:w="28" w:type="dxa"/>
          <w:left w:w="28" w:type="dxa"/>
          <w:bottom w:w="28" w:type="dxa"/>
          <w:right w:w="28" w:type="dxa"/>
        </w:tblCellMar>
      </w:tblPr>
      <w:tblGrid>
        <w:gridCol w:w="2026"/>
        <w:gridCol w:w="226"/>
        <w:gridCol w:w="503"/>
        <w:gridCol w:w="191"/>
        <w:gridCol w:w="226"/>
        <w:gridCol w:w="503"/>
        <w:gridCol w:w="166"/>
        <w:gridCol w:w="246"/>
        <w:gridCol w:w="550"/>
        <w:gridCol w:w="166"/>
        <w:gridCol w:w="294"/>
        <w:gridCol w:w="577"/>
        <w:gridCol w:w="256"/>
        <w:gridCol w:w="199"/>
        <w:gridCol w:w="443"/>
        <w:gridCol w:w="169"/>
        <w:gridCol w:w="199"/>
        <w:gridCol w:w="443"/>
        <w:gridCol w:w="166"/>
        <w:gridCol w:w="272"/>
        <w:gridCol w:w="524"/>
        <w:gridCol w:w="146"/>
        <w:gridCol w:w="258"/>
        <w:gridCol w:w="613"/>
        <w:gridCol w:w="361"/>
      </w:tblGrid>
      <w:tr>
        <w:trPr/>
        <w:tc>
          <w:tcPr>
            <w:tcW w:w="20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7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total revenue</w:t>
            </w:r>
          </w:p>
        </w:tc>
        <w:tc>
          <w:tcPr>
            <w:tcW w:w="7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not meaningful</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Interest expense increased primarily due to fees incurred on our Revolving Credit Facility in the current period that we did not incur in the prior year period.</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Six month change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Interest expense decreased primarily due to the settlement of our 2025 Convertible Notes in June 2025, which carried higher interest costs compared to fees associated with our Revolving Credit Facility in the current period.</w:t>
      </w:r>
    </w:p>
    <w:p>
      <w:pPr>
        <w:pStyle w:val="TextBody"/>
        <w:bidi w:val="0"/>
        <w:spacing w:before="200" w:after="283"/>
        <w:jc w:val="left"/>
        <w:rPr>
          <w:rFonts w:ascii="Times New Roman" w:hAnsi="Times New Roman"/>
          <w:sz w:val="20"/>
        </w:rPr>
      </w:pPr>
      <w:r>
        <w:rPr>
          <w:rFonts w:ascii="Times New Roman" w:hAnsi="Times New Roman"/>
          <w:b/>
          <w:i/>
          <w:color w:val="000000"/>
          <w:sz w:val="20"/>
        </w:rPr>
        <w:t>Other (expense) income, net</w:t>
        <w:br/>
      </w:r>
      <w:r>
        <w:rPr>
          <w:rFonts w:ascii="Times New Roman" w:hAnsi="Times New Roman"/>
          <w:color w:val="000000"/>
          <w:sz w:val="20"/>
        </w:rPr>
        <w:t> </w:t>
      </w:r>
    </w:p>
    <w:tbl>
      <w:tblPr>
        <w:tblW w:w="10000" w:type="dxa"/>
        <w:jc w:val="left"/>
        <w:tblInd w:w="0" w:type="dxa"/>
        <w:tblLayout w:type="fixed"/>
        <w:tblCellMar>
          <w:top w:w="28" w:type="dxa"/>
          <w:left w:w="28" w:type="dxa"/>
          <w:bottom w:w="28" w:type="dxa"/>
          <w:right w:w="28" w:type="dxa"/>
        </w:tblCellMar>
      </w:tblPr>
      <w:tblGrid>
        <w:gridCol w:w="2116"/>
        <w:gridCol w:w="197"/>
        <w:gridCol w:w="574"/>
        <w:gridCol w:w="167"/>
        <w:gridCol w:w="197"/>
        <w:gridCol w:w="514"/>
        <w:gridCol w:w="146"/>
        <w:gridCol w:w="203"/>
        <w:gridCol w:w="593"/>
        <w:gridCol w:w="166"/>
        <w:gridCol w:w="243"/>
        <w:gridCol w:w="628"/>
        <w:gridCol w:w="256"/>
        <w:gridCol w:w="196"/>
        <w:gridCol w:w="571"/>
        <w:gridCol w:w="166"/>
        <w:gridCol w:w="196"/>
        <w:gridCol w:w="571"/>
        <w:gridCol w:w="166"/>
        <w:gridCol w:w="203"/>
        <w:gridCol w:w="593"/>
        <w:gridCol w:w="166"/>
        <w:gridCol w:w="243"/>
        <w:gridCol w:w="628"/>
        <w:gridCol w:w="301"/>
      </w:tblGrid>
      <w:tr>
        <w:trPr/>
        <w:tc>
          <w:tcPr>
            <w:tcW w:w="211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 income, net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total revenue</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not meaningful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change in other (expense) income during the three and six months ended June 30, 2026 is primarily due to the following: </w:t>
        <w:br/>
        <w:t> </w:t>
      </w:r>
    </w:p>
    <w:tbl>
      <w:tblPr>
        <w:tblW w:w="5418" w:type="dxa"/>
        <w:jc w:val="left"/>
        <w:tblInd w:w="0" w:type="dxa"/>
        <w:tblLayout w:type="fixed"/>
        <w:tblCellMar>
          <w:top w:w="28" w:type="dxa"/>
          <w:left w:w="28" w:type="dxa"/>
          <w:bottom w:w="28" w:type="dxa"/>
          <w:right w:w="28" w:type="dxa"/>
        </w:tblCellMar>
      </w:tblPr>
      <w:tblGrid>
        <w:gridCol w:w="3016"/>
        <w:gridCol w:w="278"/>
        <w:gridCol w:w="832"/>
        <w:gridCol w:w="166"/>
        <w:gridCol w:w="229"/>
        <w:gridCol w:w="686"/>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5"/>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strategic investments</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strategic investments</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gains and losses</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increase in the impairment of strategic investments is due to an impairment of $2.4 million in the second quarter of 2026 compared to no impairment in the same period in 2025. The decrease in gain on strategic investments is due to gains of $0.1 million from observable price changes in the value of certain strategic investments in the second quarter of 2026 compared to $1.8 million in the same period in 2025. The change in foreign currency gains and losses is primarily attributable to the value of the U.S. Dollar relative to the Euro and British Pound Sterling. </w:t>
        <w:b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Six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increase in the impairment of strategic investments is due to an impairment of $3.0 million in 2026 compared to $1.6 million in the same period in 2025. The decrease in gain on strategic investments is due to gains of $0.6 million from observable price changes in the value of certain strategic investments in 2026 compared to $1.9 million in the same period in 2025. The change in foreign currency gains and losses is primarily attributable to the value of the U.S. Dollar relative to the Euro and British Pound Sterling. </w:t>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Income tax expense</w:t>
      </w:r>
    </w:p>
    <w:tbl>
      <w:tblPr>
        <w:tblW w:w="10205" w:type="dxa"/>
        <w:jc w:val="left"/>
        <w:tblInd w:w="0" w:type="dxa"/>
        <w:tblLayout w:type="fixed"/>
        <w:tblCellMar>
          <w:top w:w="28" w:type="dxa"/>
          <w:left w:w="28" w:type="dxa"/>
          <w:bottom w:w="28" w:type="dxa"/>
          <w:right w:w="28" w:type="dxa"/>
        </w:tblCellMar>
      </w:tblPr>
      <w:tblGrid>
        <w:gridCol w:w="1737"/>
        <w:gridCol w:w="196"/>
        <w:gridCol w:w="571"/>
        <w:gridCol w:w="296"/>
        <w:gridCol w:w="196"/>
        <w:gridCol w:w="511"/>
        <w:gridCol w:w="296"/>
        <w:gridCol w:w="203"/>
        <w:gridCol w:w="593"/>
        <w:gridCol w:w="166"/>
        <w:gridCol w:w="243"/>
        <w:gridCol w:w="628"/>
        <w:gridCol w:w="256"/>
        <w:gridCol w:w="196"/>
        <w:gridCol w:w="661"/>
        <w:gridCol w:w="296"/>
        <w:gridCol w:w="196"/>
        <w:gridCol w:w="571"/>
        <w:gridCol w:w="256"/>
        <w:gridCol w:w="203"/>
        <w:gridCol w:w="593"/>
        <w:gridCol w:w="166"/>
        <w:gridCol w:w="294"/>
        <w:gridCol w:w="577"/>
        <w:gridCol w:w="304"/>
      </w:tblGrid>
      <w:tr>
        <w:trPr/>
        <w:tc>
          <w:tcPr>
            <w:tcW w:w="17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7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 benefit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Effective tax rate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increase in the income tax expense is primarily from an increase in U.S. tax expense as a result of the pattern in which pre-tax income is realized throughout 2026 as compared to 2025.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Six month change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in the income tax expense is primarily from an increased U.S. tax expense as a result of the pattern in which pre-tax income is realized throughout 2026 as compared to 2025, as well as an increase in customer withholding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will continue to maintain a full valuation allowance on our U.S federal and state deferred tax assets until there is sufficient evidence to support the reversal of all or some portion of this allowance. However, given our anticipated future earnings, management believes that there is a reasonable possibility that within the next 12 months, sufficient positive evidence may become available to reach a conclusion that all or a portion of the valuation allowance may no longer be needed. Release of the valuation allowance would result in the recognition of certain deferred tax assets and a decrease to income tax expense for the period the release is recorded. The exact timing and amount of the valuation allowance release are subject to change on the basis of the level of profitability that we are able to actually achieve.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principal sources of liquidity to date have been cash and cash equivalents, net accounts receivable, our common stock offerings, our convertible notes offerings, and our available Revolving Credit Facility.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 shows cash and cash equivalents, working capital, net cash and cash equivalents provided by operating activities, net cash and cash equivalents provided by investing activities, and net cash and cash equivalents used in financing activities for the six months ended June 30, 2026 and 2025. </w:t>
        <w:br/>
        <w:t> </w:t>
      </w:r>
    </w:p>
    <w:tbl>
      <w:tblPr>
        <w:tblW w:w="8069" w:type="dxa"/>
        <w:jc w:val="left"/>
        <w:tblInd w:w="0" w:type="dxa"/>
        <w:tblLayout w:type="fixed"/>
        <w:tblCellMar>
          <w:top w:w="28" w:type="dxa"/>
          <w:left w:w="28" w:type="dxa"/>
          <w:bottom w:w="28" w:type="dxa"/>
          <w:right w:w="28" w:type="dxa"/>
        </w:tblCellMar>
      </w:tblPr>
      <w:tblGrid>
        <w:gridCol w:w="5206"/>
        <w:gridCol w:w="146"/>
        <w:gridCol w:w="211"/>
        <w:gridCol w:w="841"/>
        <w:gridCol w:w="166"/>
        <w:gridCol w:w="146"/>
        <w:gridCol w:w="211"/>
        <w:gridCol w:w="931"/>
        <w:gridCol w:w="211"/>
      </w:tblGrid>
      <w:tr>
        <w:trPr/>
        <w:tc>
          <w:tcPr>
            <w:tcW w:w="5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1,022,684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cash and cash equivalents at June 30, 2026 were held for working capital purposes. At June 30, 2026, $357.5 million of our cash and cash equivalents was held in accounts outside the United States. We do not assert indefinite reinvestment of our foreign earnings because these earnings have been subject to United States Federal tax. While we have concluded that any incremental tax incurred upon ultimate distribution of these earnings to be immaterial, our current plans do not demonstrate a need to repatriate undistributed earnings to fund our U.S.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Cash from operations could be affected by various risks and uncertainties detailed in the section titled “Risk Factors” included under Part II, Item 1A. However, based on our current business plan and revenue prospects, we believe that our existing cash, cash equivalents and investment balances, and our anticipated cash flows from operations will be sufficient to meet our working capital and operating resource expenditure requirements for the next twelve months.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Net Cash and Cash Equivalents Provided by Operating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and cash equivalents provided by operating activities consist primarily of net income (loss) adjusted for certain non-cash items, including stock-based compensation, depreciation and amortization and other non-cash charges,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and cash equivalents provided by operating activities during the six months ended June 30, 2026 primarily reflected our net income of $75.9 million, $84.6 million of depreciation and amortization, $244.2 million in stock-based compensation, $2.6 million of unrealized currency translation, impairments of strategic investments of $3.0 million, and $0.2 million of amortization of debt discount and issuance costs, offset by non-cash expenses that included $10.3 million accretion of bond discounts, gains on strategic investments of $0.6 million, and $1.8 million of benefit from deferred income taxes. Working capital sources of cash and cash equivalents primarily included a $33.9 million decrease in accounts receivable related to increased collection, $59.5 million increase in deferred revenue primarily resulting from the growth in the number of customers invoiced during the period, $3.5 million increase in accounts payable related to timing of bill payments, $32.7 million increase in accrued expenses and other liabilities, and $13.9 million decrease in right-of-use asset. These sources of cash and cash equivalents were offset by $57.8 million increase in prepaid expenses and other assets, $38.1 million increase in deferred commissions, and $23.9 million decrease in operating lease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and cash equivalents provided by operating activities during the six months ended June 30, 2025 primarily reflected our net loss of $25.1 million, $62.0 million of depreciation and amortization, $257.7 million in stock-based compensation, an impairment of strategic investments of $1.6 million, and $0.6 million of amortization of debt discount and issuance costs, offset by non-cash expenses that included $24.4 million accretion of bond discounts, a gain on strategic investments of $1.9 million, and $2.8 million of unrealized currency translation. Working capital sources of cash and cash equivalents primarily included a $63.9 million increase in deferred revenue primarily resulting from the growth in the number of customers invoiced during the period, a $30.0 million decrease in accounts receivable related to increased collection, a $9.1 million increase in accounts payable related to timing of bill payments, a $59.9 million increase in accrued expenses and other liabilities, and a $12.8 million decrease in right-of-use asset. These sources of cash and cash equivalents were offset by a $50.1 million increase in prepaid expenses and other assets, a $17.7 million decrease in operating lease liabilities, and a $49.6 million increase in deferred commissions.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Net Cash and Cash Equivalents Provided by Investing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investing activities have consisted primarily of purchases and maturities of investments, property and equipment purchases, purchases of intangible assets, purchases of strategic investments, capitalization of software development costs, and business acquisitions. Capitalized software development costs are related to new products or improvements to our existing software platform that expand the functionality for our customers.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and cash equivalents provided by investing activities during the six months ended June 30, 2026 consisted primarily of $900.8 million received related to the maturity of investments, offset by $358.7 million purchases of investments, $35.1 million of purchased property and equipment, $13.9 million purchases of strategic investments, $74.3 million of capitalized software development costs, $27.4 million related to business acquisitions, and $0.5 million purchases of intangible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cash and cash equivalents provided by investing activities during the six months ended June 30, 2025 consisted primarily of $1.3 billion received related to the maturity of investments, offset by $830.2 million purchases of investments, $29.4 million of purchased property and equipment, $18.8 million purchases of strategic investments, $69.8 million related to business acquisitions, and $65.9 million of capitalized software development costs.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Net Cash and Cash Equivalents Used in Financing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financing activities have consisted primarily of the repayment of our 2025 Notes, repurchases of our common stock, payment of debt issuance costs, the issuance of common stock under our stock plans, and payments of employee taxes related to the net share settlement of stock-based awards.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six months ended June 30, 2026 cash used in financing activities consisted of $742.9 million used for repurchases of our common stock, $5.4 million used for payment of employee taxes related to the net share settlement of stock-based awards, and $2.6 million for payment of debt issuance costs, offset by $23.2 million of proceeds related to issuance of common stock under stock plans.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six months ended June 30, 2025 cash used in financing activities consisted of $125.0 million used for repurchases of our common stock, $459.8 million for repayments of the 2025 Notes attributable to the principal, and $13.8 million used for payment of employee taxes related to the net share settlement of stock-based awards, offset by $38.7 million of proceeds related to issuance of common stock under stock plans.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Liquidity and Capital Resources Considerations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Contractual Obligations and Commitments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Contractual obligations are cash that we are obligated to pay as part of certain contracts that we have entered during our course of business. Our contractual obligations consist of operating lease liabilities that are included in our consolidated balance sheet and vendor commitments associated with agreements that are legally binding. As of June 30, 2026, the total obligation for operating leases was $283.8 million, of which $54.2 million is expected in the next twelve months. As of June 30, 2026, our vendor commitment was $415.9 million, of which $275.9 million is expected in the next twelve months. See Note 12 for all obligations the Company is committed to in the notes to the consolidated financial statements included elsewhere in this Quarterly Report on Form 10-Q.</w:t>
      </w:r>
    </w:p>
    <w:p>
      <w:pPr>
        <w:pStyle w:val="TextBody"/>
        <w:bidi w:val="0"/>
        <w:spacing w:before="200" w:after="100"/>
        <w:jc w:val="left"/>
        <w:rPr>
          <w:rFonts w:ascii="Times New Roman" w:hAnsi="Times New Roman"/>
          <w:i/>
          <w:color w:val="000000"/>
          <w:sz w:val="20"/>
        </w:rPr>
      </w:pPr>
      <w:r>
        <w:rPr>
          <w:rFonts w:ascii="Times New Roman" w:hAnsi="Times New Roman"/>
          <w:i/>
          <w:color w:val="000000"/>
          <w:sz w:val="20"/>
        </w:rPr>
        <w:t>Share Repurchase Programs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In February 2026, our Board of Directors authorized the February 2026 Share Repurchase Program for the repurchase of shares of our common stock, in an aggregate amount of up to $1 billion, over a period of 24 months. During the six months ended June 30, 2026, we repurchased 3.5 million shares of our common stock at an average price of $214.25 per share, for an aggregate repurchase amount of $742.9 million. As of the date of filing of this report, a total of $257.1 million remained available for repurchase under the February 2026 Share Repurchase Program.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August 2026, our Board of Directors authorized the August 2026 Share Repurchase Program for the repurchase of shares of our common stock, in an aggregate amount of up to $1 billion, over a period of 24 months. As of the date of filing of this report, a total of $1.0 billion remained available for repurchase under the August 2026 Share Repurchase Program. See Note 17 of the notes to consolidated financial statements included elsewhere in this Quarterly Report on Form 10-Q.</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Repurchases under the Share Repurchase Programs may be made under a variety of methods, including privately negotiated or open market trades, pursuant to 10b5-1 plans. The Share Repurchase Programs do not obligate us to acquire a specified number of shares, and may be suspended, modified, or terminated at any time and will be funded using our cash and cash equivalents. Consideration paid for the shares repurchased is recorded as a reduction to stockholders’ equity on the consolidated balance sheets.</w:t>
      </w:r>
    </w:p>
    <w:p>
      <w:pPr>
        <w:pStyle w:val="TextBody"/>
        <w:bidi w:val="0"/>
        <w:jc w:val="left"/>
        <w:rPr/>
      </w:pPr>
      <w:r>
        <w:rPr/>
        <w:t> </w:t>
      </w:r>
    </w:p>
    <w:p>
      <w:pPr>
        <w:pStyle w:val="TextBody"/>
        <w:bidi w:val="0"/>
        <w:spacing w:before="200" w:after="100"/>
        <w:jc w:val="left"/>
        <w:rPr>
          <w:rFonts w:ascii="Times New Roman" w:hAnsi="Times New Roman"/>
          <w:i/>
          <w:color w:val="000000"/>
          <w:sz w:val="20"/>
        </w:rPr>
      </w:pPr>
      <w:r>
        <w:rPr>
          <w:rFonts w:ascii="Times New Roman" w:hAnsi="Times New Roman"/>
          <w:i/>
          <w:color w:val="000000"/>
          <w:sz w:val="20"/>
        </w:rPr>
        <w:t>Letters of Credit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As of June 30, 2026, we had a total of $2.7 million in letters of credit outstanding for office space. These irrevocable letters of credit are expected to remain in effect, in some cases, until 2029.</w:t>
      </w:r>
    </w:p>
    <w:p>
      <w:pPr>
        <w:pStyle w:val="TextBody"/>
        <w:bidi w:val="0"/>
        <w:spacing w:before="100" w:after="100"/>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In February 2026, we entered into the Revolving Credit Agreement. As of June 30, 2026, there were no outstanding borrowings under the Revolving Credit Facility. The Company's obligations under the Revolving Credit Agreement are secured by substantially all of the Company's assets. The Revolving Credit Agreement contains customary representations and warranties, customary affirmative and negative covenants, and, during periods when the Company does not maintain investment-grade credit ratings, a financial covenant that is tested quarterly and requires the Company to maintain a certain consolidated leverage ratio, and customary events of default. As of June 30, 2026, we were in compliance with all financial covenants under the Revolving Credit Agreement.</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Off-Balance Sheet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no material off-balance sheet arrangements as of June 30, 2026 exclusive of items described above and indemnifications of officers, directors and employees for certain events or occurrences while the officer, director or employee is, or was, serving at our request in such capacity.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have been no significant changes in our critical accounting policies and estimates during the six months ended June 30, 2026 as compared to the critical accounting policies and estimates disclosed in our Annual Report on Form 10-K for the year ended December 31,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For information on recent accounting pronouncements, see </w:t>
      </w:r>
      <w:r>
        <w:rPr>
          <w:rFonts w:ascii="Times New Roman" w:hAnsi="Times New Roman"/>
          <w:i/>
          <w:color w:val="000000"/>
          <w:sz w:val="20"/>
        </w:rPr>
        <w:t>Recent Accounting Pronouncements</w:t>
      </w:r>
      <w:r>
        <w:rPr>
          <w:rFonts w:ascii="Times New Roman" w:hAnsi="Times New Roman"/>
          <w:color w:val="000000"/>
          <w:sz w:val="20"/>
        </w:rPr>
        <w:t xml:space="preserve"> in the notes to the consolidated financial statements appearing elsewhere in this Quarterly Report on Form 10-Q.</w:t>
      </w:r>
    </w:p>
    <w:p>
      <w:pPr>
        <w:pStyle w:val="TextBody"/>
        <w:bidi w:val="0"/>
        <w:spacing w:before="200" w:after="283"/>
        <w:jc w:val="left"/>
        <w:rPr/>
      </w:pPr>
      <w:r>
        <w:rPr/>
        <w:t> </w:t>
      </w:r>
    </w:p>
    <w:p>
      <w:pPr>
        <w:pStyle w:val="TextBody"/>
        <w:bidi w:val="0"/>
        <w:spacing w:before="24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Exchange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foreign currency risks related to our revenue, cost of revenue, and operating expenses denominated in currencies other than the U.S. dollar. Since we translate foreign currencies into U.S. dollars for financial reporting purposes, currency fluctuations can have an impact on our financial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experienced and will continue to experience fluctuations in our net (loss) income as a result of transaction gains or losses related to revaluing monetary assets and liabilities that are denominated in currencies other than the functional currency of the entities in which they are recorded. Our hedging program allows us to mitigate foreign exchange impacts, such as exposure to currency exchange rates in connection with significant transactions denominated in currencies other than the U.S. dollar, by entering into derivatives transactions such as foreign exchange forwards. See Note 6 in the notes to the consolidated financial statements appearing elsewhere in this Quarterly Report on Form 10-Q for impact of the hedging program to our financial statements.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Rate Sensitivity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Our cash and cash equivalents and short- and long-term investments are subject to market risk due to changes in interest rates. Fixed rate securities may have their market value adversely affected due to a rise in interest rates. As our short- and long-term investments are classified as available-for-sale, no gains or losses are recognized in our consolidated statements of operations due to changes in interest rates unless such securities are sold prior to maturity or the decline in fair value is caused by expected credit losses. As of June 30, 2026, a hypothetical increase of 100 basis points in interest rates would not have a material impact on the value of our cash and cash equivalents or short- and long-term investments in our consolidated financial statements. This estimate is based on a sensitivity model that measures market value changes when changes in interest rates occur. We do not currently hedge our interest rate exposure and do not enter into financial instruments for trading or speculative purposes.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exposed to the impact of changes in interest rates in connection with borrowings under the Revolving Credit Facility. Borrowings under the Revolving Credit Facility may be drawn as either Base Rate Loans or Term SOFR Loans. Base Rate Loans bear interest at the highest of the federal funds rate plus 0.50%, the Bank of America prime rate, or one-month Term SOFR plus 1.00%, in each case subject to a 1.00% floor, plus an applicable margin ranging from 0.125% to 0.875%. Term SOFR Loans bear interest at SOFR plus an applicable margin ranging from 1.125% to 1.875%. Consequently, our interest expense would fluctuate if we were to borrow any amounts under the Revolving Credit Facility as a result of the floating interest rates applicable to such borrowings and potential changes in the applicable margin resulting from changes to our total consolidated leverage ratio. As of June 30, 2026, there were no outstanding borrowings under the Revolving Credit Facility.</w:t>
      </w:r>
    </w:p>
    <w:p>
      <w:pPr>
        <w:pStyle w:val="TextBody"/>
        <w:bidi w:val="0"/>
        <w:spacing w:before="240" w:after="283"/>
        <w:jc w:val="left"/>
        <w:rPr>
          <w:rFonts w:ascii="Times New Roman" w:hAnsi="Times New Roman"/>
          <w:color w:val="000000"/>
          <w:sz w:val="20"/>
        </w:rPr>
      </w:pPr>
      <w:bookmarkStart w:id="12" w:name="item_4_controls_procedures"/>
      <w:bookmarkEnd w:id="12"/>
      <w:r>
        <w:rPr>
          <w:rFonts w:ascii="Times New Roman" w:hAnsi="Times New Roman"/>
          <w:color w:val="000000"/>
          <w:sz w:val="20"/>
        </w:rPr>
        <w:t>Item 4. Controls and Procedures</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Evaluation of Disclosure Controls and Procedures</w:t>
      </w:r>
      <w:r>
        <w:rPr>
          <w:rFonts w:ascii="Times New Roman" w:hAnsi="Times New Roman"/>
          <w:color w:val="000000"/>
          <w:sz w:val="20"/>
        </w:rPr>
        <w:t>. 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Changes in Internal Control Over Financial Reporting</w:t>
      </w:r>
      <w:r>
        <w:rPr>
          <w:rFonts w:ascii="Times New Roman" w:hAnsi="Times New Roman"/>
          <w:color w:val="000000"/>
          <w:sz w:val="20"/>
        </w:rPr>
        <w:t xml:space="preserve">. 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Inherent Limitations of Internal Controls</w:t>
      </w:r>
      <w:r>
        <w:rPr>
          <w:rFonts w:ascii="Times New Roman" w:hAnsi="Times New Roman"/>
          <w:color w:val="000000"/>
          <w:sz w:val="20"/>
        </w:rPr>
        <w:t>. 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13" w:name="part_ii"/>
      <w:bookmarkEnd w:id="1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Other Information</w:t>
      </w:r>
    </w:p>
    <w:p>
      <w:pPr>
        <w:pStyle w:val="TextBody"/>
        <w:bidi w:val="0"/>
        <w:spacing w:before="24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become involved in legal proceedings or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240" w:after="283"/>
        <w:jc w:val="left"/>
        <w:rPr/>
      </w:pPr>
      <w:r>
        <w:rPr/>
        <w:t> </w:t>
      </w:r>
    </w:p>
    <w:p>
      <w:pPr>
        <w:pStyle w:val="TextBody"/>
        <w:bidi w:val="0"/>
        <w:spacing w:before="20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An investment in our common stock involves a high degree of risk. You should carefully consider the risks described below and the other information in this Quarterly Report on Form 10-Q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Quarterly Report on Form 10-Q and in our other public filings. The trading price of our common stock could decline due to any of these risks, and, as a result, you may lose all or part of your investment.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br/>
        <w:t>Risks Related to Our Business and Strategy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are dependent upon customer renewals, the addition of new customers, increased revenue from existing customers and the continued growth of the market for a customer platform.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derive, and expect to continue to derive, a substantial portion of our revenue from the sale of subscriptions to our customer platform. The market for marketing, sales, service, operations, revenue and customer management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or strategically choose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and our recent seats-based and consumption-based pricing model changes) intended to provide opportunities to increase the value of our customer relationships over time, including as customers expand their use of our platform, or we sell to other parts of their organizations, cross-sell additional products and seats through touchless or low touch in product purchases, and upsell additional offerings and features. Our consumption-based pricing strategies are novel and evolving. Due to customer flexibility in the timing of their use of our platform, we could have less predictability from our consumption-based products than we do for our subscription-based products, and there is a risk that customers could use our consumption-based products at lower levels than we expect. If our scalable pricing and cross-selling efforts are unsuccessful or if our existing customers do not expand their use of our platform or adopt additional offerings and features, or if the anticipated benefits from scalable pricing take longer to realize or are not realized at all, our revenue and operating results may suffer.</w:t>
      </w:r>
    </w:p>
    <w:p>
      <w:pPr>
        <w:pStyle w:val="TextBody"/>
        <w:bidi w:val="0"/>
        <w:jc w:val="left"/>
        <w:rPr>
          <w:rFonts w:ascii="Times New Roman" w:hAnsi="Times New Roman"/>
          <w:b/>
          <w:i/>
          <w:color w:val="000000"/>
          <w:sz w:val="20"/>
        </w:rPr>
      </w:pPr>
      <w:r>
        <w:rPr>
          <w:rFonts w:ascii="Times New Roman" w:hAnsi="Times New Roman"/>
          <w:b/>
          <w:i/>
          <w:color w:val="000000"/>
          <w:sz w:val="20"/>
        </w:rPr>
        <w:t>Our subscription renewal rates may decrease, and any decrease could harm our future revenue and operating results.</w:t>
      </w:r>
    </w:p>
    <w:p>
      <w:pPr>
        <w:pStyle w:val="TextBody"/>
        <w:bidi w:val="0"/>
        <w:jc w:val="left"/>
        <w:rPr>
          <w:rFonts w:ascii="Times New Roman" w:hAnsi="Times New Roman"/>
          <w:color w:val="000000"/>
          <w:sz w:val="20"/>
        </w:rPr>
      </w:pPr>
      <w:r>
        <w:rPr>
          <w:rFonts w:ascii="Times New Roman" w:hAnsi="Times New Roman"/>
          <w:color w:val="000000"/>
          <w:sz w:val="20"/>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In addition, we do not record deferred revenue beyond amounts invoiced as a liability on our consolidated balance sheets.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 </w:t>
      </w:r>
    </w:p>
    <w:p>
      <w:pPr>
        <w:pStyle w:val="TextBody"/>
        <w:bidi w:val="0"/>
        <w:jc w:val="left"/>
        <w:rPr>
          <w:rFonts w:ascii="Times New Roman" w:hAnsi="Times New Roman"/>
          <w:b/>
          <w:i/>
          <w:color w:val="000000"/>
          <w:sz w:val="20"/>
        </w:rPr>
      </w:pPr>
      <w:r>
        <w:rPr>
          <w:rFonts w:ascii="Times New Roman" w:hAnsi="Times New Roman"/>
          <w:b/>
          <w:i/>
          <w:color w:val="000000"/>
          <w:sz w:val="20"/>
        </w:rPr>
        <w:t>We face significant competition from both established and new companies in the software market in which we operate, which may harm our ability to add new customers, retain existing customers and grow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The software market in which we operate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 </w:t>
      </w:r>
    </w:p>
    <w:p>
      <w:pPr>
        <w:pStyle w:val="TextBody"/>
        <w:bidi w:val="0"/>
        <w:jc w:val="left"/>
        <w:rPr>
          <w:rFonts w:ascii="Times New Roman" w:hAnsi="Times New Roman"/>
          <w:color w:val="000000"/>
          <w:sz w:val="20"/>
        </w:rPr>
      </w:pPr>
      <w:r>
        <w:rPr>
          <w:rFonts w:ascii="Times New Roman" w:hAnsi="Times New Roman"/>
          <w:color w:val="000000"/>
          <w:sz w:val="20"/>
        </w:rPr>
        <w:t>We face intense competition from other software companies in the market we operate that provide interactive marketing services. Competition could significantly impede our ability to sell subscriptions to our customer platform on terms favorable to us. Our current and potential competitors may develop and market new technologies including as a result of new or better use of evolving AI technologies, whether through greater investments in AI development, access to higher quality training datasets, or more advanced AI models, that render our existing or future products less competitive, or obsolete. We may also face greater competition from non-specialist solutions relying on generic large language models (“LLMs”), generative AI and general-purpose agents to address a broad range of business needs. As we attempt to sell our products and solutions to new and existing customers, we must convince them that our products and solutions are superior to other solutions available to their organizations, including generic LLMs, software created using natural language prompts and generative AI (referred to as vibe coding) and other emerging technologies.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pStyle w:val="TextBody"/>
        <w:bidi w:val="0"/>
        <w:jc w:val="left"/>
        <w:rPr>
          <w:rFonts w:ascii="Times New Roman" w:hAnsi="Times New Roman"/>
          <w:color w:val="000000"/>
          <w:sz w:val="20"/>
        </w:rPr>
      </w:pPr>
      <w:r>
        <w:rPr>
          <w:rFonts w:ascii="Times New Roman" w:hAnsi="Times New Roman"/>
          <w:color w:val="000000"/>
          <w:sz w:val="20"/>
        </w:rPr>
        <w:t>Our competitors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cloud-based marketing automation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email marketing software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force automation and CRM software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large-scale enterprise suites;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customer service software providers;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AI-native companies and emerging startups;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content management systems.</w:t>
      </w:r>
    </w:p>
    <w:p>
      <w:pPr>
        <w:pStyle w:val="TextBody"/>
        <w:bidi w:val="0"/>
        <w:jc w:val="left"/>
        <w:rPr>
          <w:rFonts w:ascii="Times New Roman" w:hAnsi="Times New Roman"/>
          <w:color w:val="000000"/>
          <w:sz w:val="20"/>
        </w:rPr>
      </w:pPr>
      <w:r>
        <w:rPr>
          <w:rFonts w:ascii="Times New Roman" w:hAnsi="Times New Roman"/>
          <w:color w:val="000000"/>
          <w:sz w:val="20"/>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sales and CRM offerings. Some of these companies have acquired social media marketing and other marketing software providers to integrate with their broader offerings. Customers may also defer purchasing decisions due to uncertainty about their AI investment priorities.</w:t>
      </w:r>
    </w:p>
    <w:p>
      <w:pPr>
        <w:pStyle w:val="TextBody"/>
        <w:bidi w:val="0"/>
        <w:jc w:val="left"/>
        <w:rPr>
          <w:rFonts w:ascii="Times New Roman" w:hAnsi="Times New Roman"/>
          <w:color w:val="000000"/>
          <w:sz w:val="20"/>
        </w:rPr>
      </w:pPr>
      <w:r>
        <w:rPr>
          <w:rFonts w:ascii="Times New Roman" w:hAnsi="Times New Roman"/>
          <w:color w:val="000000"/>
          <w:sz w:val="20"/>
        </w:rPr>
        <w:t xml:space="preserve">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a customer platform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customer platform could substantially decline.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 </w:t>
      </w:r>
    </w:p>
    <w:p>
      <w:pPr>
        <w:pStyle w:val="TextBody"/>
        <w:bidi w:val="0"/>
        <w:jc w:val="left"/>
        <w:rPr>
          <w:rFonts w:ascii="Times New Roman" w:hAnsi="Times New Roman"/>
          <w:b/>
          <w:i/>
          <w:color w:val="000000"/>
          <w:sz w:val="20"/>
        </w:rPr>
      </w:pPr>
      <w:r>
        <w:rPr>
          <w:rFonts w:ascii="Times New Roman" w:hAnsi="Times New Roman"/>
          <w:b/>
          <w:i/>
          <w:color w:val="000000"/>
          <w:sz w:val="20"/>
        </w:rPr>
        <w:t>We have experienced significant growth and organizational change in prior periods and may continue to experience growth of headcount and operations over the long-term. Such historical trends, including growth rates, may not continue in the future, and if we fail to manage growth and organizational change effectively, we may be unable to execute our business plan, maintain high levels of service or address competitive challenges adequately.</w:t>
      </w:r>
    </w:p>
    <w:p>
      <w:pPr>
        <w:pStyle w:val="TextBody"/>
        <w:bidi w:val="0"/>
        <w:jc w:val="left"/>
        <w:rPr>
          <w:rFonts w:ascii="Times New Roman" w:hAnsi="Times New Roman"/>
          <w:color w:val="000000"/>
          <w:sz w:val="20"/>
        </w:rPr>
      </w:pPr>
      <w:r>
        <w:rPr>
          <w:rFonts w:ascii="Times New Roman" w:hAnsi="Times New Roman"/>
          <w:color w:val="000000"/>
          <w:sz w:val="20"/>
        </w:rPr>
        <w:t>Our headcount and operations have grown and may continue to grow. For example, we had 9,016 full-time employees as of June 30, 2026 and 8,882 as of December 31, 2025. To date, we have opened several international offices. This growth has placed, and may continue to place, a significant strain on our management, administrative, operational and financial infrastructure. Although we have experienced significant growth in headcount and operations historically, we may not sustain our current growth rates, which could adversely affect our business performance and operating results. Our success will depend in part upon our ability to recruit, hire, train, manage and integrate qualified managers, technical personnel and employees in specialized roles within our company, including in technology, sales and marketing. Advances in automation and AI may also alter the skills required of our workforce and could reduce demand for certain roles, creating challenges in workforce management, employee relations, and reputational risk. We may be required to make significant investments in retraining and workforce transition programs, and failure to effectively manage these changes could impair our ability to attract and retain talent, disrupt operations, and adversely affect our business. Furthermore, as many of our employees work remotely from geographic areas across jurisdictions where we have offices pursuant to our hybrid workplace model, which provides our employees with the option to be fully remote, work full-time from one of our offices, or have the flexibility to work both in the office and remotely, we may need to reallocate our investment of resources and closely monitor a variety of local regulations and requirements, including local tax laws. We may experience unpredictability in our expenses and employee work culture. If we experience any of these effects in connection with future growth, if our new employees perform poorly, or if we are unsuccessful in recruiting, hiring, training, managing and integrating new employees, or retaining our existing employees, it could materially impair our ability to attract new customers, retain existing customers and expand their use of our platform, all of which would materially and adversely affect our business, financial condition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Failure to effectively develop and expand our customer platform capabilities could harm our ability to increase our customer base and achieve broader market acceptance of our platform.</w:t>
      </w:r>
    </w:p>
    <w:p>
      <w:pPr>
        <w:pStyle w:val="TextBody"/>
        <w:bidi w:val="0"/>
        <w:jc w:val="left"/>
        <w:rPr>
          <w:rFonts w:ascii="Times New Roman" w:hAnsi="Times New Roman"/>
          <w:color w:val="000000"/>
          <w:sz w:val="20"/>
        </w:rPr>
      </w:pPr>
      <w:r>
        <w:rPr>
          <w:rFonts w:ascii="Times New Roman" w:hAnsi="Times New Roman"/>
          <w:color w:val="000000"/>
          <w:sz w:val="20"/>
        </w:rPr>
        <w:t>To increase customers and achieve broader market acceptance of our customer platform, we will need to continue to expand our customer platform capabilities, including our sales force and third-party channel partners. We will continue to dedicate significant resources to sales and marketing programs. The effectiveness of our sales and marketing and third-party channel partners has varied over time and may vary in the future and depends on our ability to maintain and improve our customer platform including with respect to AI and machine learning, and on adapting our go-to-market strategy and sales force to changing customer purchasing behaviors.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pStyle w:val="TextBody"/>
        <w:bidi w:val="0"/>
        <w:jc w:val="left"/>
        <w:rPr>
          <w:rFonts w:ascii="Times New Roman" w:hAnsi="Times New Roman"/>
          <w:b/>
          <w:i/>
          <w:color w:val="212529"/>
          <w:sz w:val="20"/>
        </w:rPr>
      </w:pPr>
      <w:r>
        <w:rPr>
          <w:rFonts w:ascii="Times New Roman" w:hAnsi="Times New Roman"/>
          <w:b/>
          <w:i/>
          <w:color w:val="212529"/>
          <w:sz w:val="20"/>
        </w:rPr>
        <w:t>The rate of growth of our business depends on the continued participation and level of service of our Solutions Partners.</w:t>
      </w:r>
    </w:p>
    <w:p>
      <w:pPr>
        <w:pStyle w:val="TextBody"/>
        <w:bidi w:val="0"/>
        <w:jc w:val="left"/>
        <w:rPr>
          <w:rFonts w:ascii="Times New Roman" w:hAnsi="Times New Roman"/>
          <w:color w:val="000000"/>
          <w:sz w:val="20"/>
        </w:rPr>
      </w:pPr>
      <w:r>
        <w:rPr>
          <w:rFonts w:ascii="Times New Roman" w:hAnsi="Times New Roman"/>
          <w:color w:val="000000"/>
          <w:sz w:val="20"/>
        </w:rPr>
        <w:t>We rely on our Solutions Partners to provide certain services to our customers, as well as pursue sales of our customer platform to customers. To the extent we do not attract new Solutions Partners, or existing or new Solutions Partners do not refer a growing number of customers to us, due to changes in our Solutions Partner relationship models or otherwise,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maintain our thought leadership position, our business may suffer.</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maintaining our thought leadership position in the customer platform space is an important element in attracting new customers. We devote significant resources to develop and maintain our thought leadership position, with a focus on identifying and interpreting emerging trends, shaping and guiding industry dialog and creating and sharing the best practices. Our activities related to developing and maintaining our thought leadership may not yield increased revenue, and even if they do, any increased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may not offset the expenses we incurred in such effort. We rely upon the continued services of our management and employees with domain expertise with marketing, sales, services, operations, revenue and content management,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further enhance our brand and maintain our existing strong brand awareness, our ability to expand our customer base will be impaired and our financial condition may suffer.</w:t>
      </w:r>
    </w:p>
    <w:p>
      <w:pPr>
        <w:pStyle w:val="TextBody"/>
        <w:bidi w:val="0"/>
        <w:jc w:val="left"/>
        <w:rPr>
          <w:rFonts w:ascii="Times New Roman" w:hAnsi="Times New Roman"/>
          <w:color w:val="000000"/>
          <w:sz w:val="20"/>
        </w:rPr>
      </w:pPr>
      <w:r>
        <w:rPr>
          <w:rFonts w:ascii="Times New Roman" w:hAnsi="Times New Roman"/>
          <w:color w:val="000000"/>
          <w:sz w:val="20"/>
        </w:rPr>
        <w:t>We believe that our development of the HubSpot brand is critical to achieving widespread awareness of our existing and future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customer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adapt and respond effectively to rapidly changing technology, evolving industry standards and changing customer needs or requirements, our customer platform may become less competitive.</w:t>
      </w:r>
    </w:p>
    <w:p>
      <w:pPr>
        <w:pStyle w:val="TextBody"/>
        <w:bidi w:val="0"/>
        <w:jc w:val="left"/>
        <w:rPr>
          <w:rFonts w:ascii="Times New Roman" w:hAnsi="Times New Roman"/>
          <w:color w:val="000000"/>
          <w:sz w:val="20"/>
        </w:rPr>
      </w:pPr>
      <w:r>
        <w:rPr>
          <w:rFonts w:ascii="Times New Roman" w:hAnsi="Times New Roman"/>
          <w:color w:val="000000"/>
          <w:sz w:val="20"/>
        </w:rPr>
        <w:t>Our future success depends on our ability to adapt and innovate our customer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including AI and machine learning, which will increase our research and development costs. Further, any third-party AI</w:t>
      </w:r>
    </w:p>
    <w:p>
      <w:pPr>
        <w:pStyle w:val="TextBody"/>
        <w:bidi w:val="0"/>
        <w:jc w:val="left"/>
        <w:rPr>
          <w:rFonts w:ascii="Times New Roman" w:hAnsi="Times New Roman"/>
          <w:color w:val="000000"/>
          <w:sz w:val="20"/>
        </w:rPr>
      </w:pPr>
      <w:r>
        <w:rPr>
          <w:rFonts w:ascii="Times New Roman" w:hAnsi="Times New Roman"/>
          <w:color w:val="000000"/>
          <w:sz w:val="20"/>
        </w:rPr>
        <w:t>technologies leveraged in our products and services may not be available on commercially reasonable terms or at all and any loss of rights to use such technologies may significantly increase our expenses or otherwise disrupt or delay the provisioning of</w:t>
      </w:r>
    </w:p>
    <w:p>
      <w:pPr>
        <w:pStyle w:val="TextBody"/>
        <w:bidi w:val="0"/>
        <w:jc w:val="left"/>
        <w:rPr>
          <w:rFonts w:ascii="Times New Roman" w:hAnsi="Times New Roman"/>
          <w:color w:val="000000"/>
          <w:sz w:val="20"/>
        </w:rPr>
      </w:pPr>
      <w:r>
        <w:rPr>
          <w:rFonts w:ascii="Times New Roman" w:hAnsi="Times New Roman"/>
          <w:color w:val="000000"/>
          <w:sz w:val="20"/>
        </w:rPr>
        <w:t>our products and services to customers. If we are unable to develop, license or acquire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customer platform is provided via the cloud, which, itself, was disruptive to the previous enterprise software model. If new technologies emerge that are able to deliver marketing software and related applications at lower prices, more efficiently, more conveniently or more securely, such technologies could adversely affect our ability to compete.</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offer high-quality customer support, our business and reputation may suffer.</w:t>
      </w:r>
    </w:p>
    <w:p>
      <w:pPr>
        <w:pStyle w:val="TextBody"/>
        <w:bidi w:val="0"/>
        <w:jc w:val="left"/>
        <w:rPr>
          <w:rFonts w:ascii="Times New Roman" w:hAnsi="Times New Roman"/>
          <w:color w:val="000000"/>
          <w:sz w:val="20"/>
        </w:rPr>
      </w:pPr>
      <w:r>
        <w:rPr>
          <w:rFonts w:ascii="Times New Roman" w:hAnsi="Times New Roman"/>
          <w:color w:val="000000"/>
          <w:sz w:val="20"/>
        </w:rPr>
        <w:t>High-quality education, training and customer support are important for the successful marketing, sale and use of our customer platform and for the renewal of existing customers. Providing this education, training and support requires that our personnel who manage our online training resource, HubSpot Academy, or provide customer support have specific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customer platform and provide effective ongoing support, our ability to sell additional functionality and services to, or to retain, existing customers may suffer and our reputation with existing or potential customers may be harmed.</w:t>
      </w:r>
    </w:p>
    <w:p>
      <w:pPr>
        <w:pStyle w:val="TextBody"/>
        <w:bidi w:val="0"/>
        <w:jc w:val="left"/>
        <w:rPr>
          <w:rFonts w:ascii="Times New Roman" w:hAnsi="Times New Roman"/>
          <w:b/>
          <w:i/>
          <w:color w:val="000000"/>
          <w:sz w:val="20"/>
        </w:rPr>
      </w:pPr>
      <w:r>
        <w:rPr>
          <w:rFonts w:ascii="Times New Roman" w:hAnsi="Times New Roman"/>
          <w:b/>
          <w:i/>
          <w:color w:val="000000"/>
          <w:sz w:val="20"/>
        </w:rPr>
        <w:t>We may not be able to scale our business quickly enough to meet our customers’ growing needs and if we are not able to grow efficiently, our operating results could be harmed.</w:t>
      </w:r>
    </w:p>
    <w:p>
      <w:pPr>
        <w:pStyle w:val="TextBody"/>
        <w:bidi w:val="0"/>
        <w:jc w:val="left"/>
        <w:rPr>
          <w:rFonts w:ascii="Times New Roman" w:hAnsi="Times New Roman"/>
          <w:color w:val="000000"/>
          <w:sz w:val="20"/>
        </w:rPr>
      </w:pPr>
      <w:r>
        <w:rPr>
          <w:rFonts w:ascii="Times New Roman" w:hAnsi="Times New Roman"/>
          <w:color w:val="000000"/>
          <w:sz w:val="20"/>
        </w:rPr>
        <w:t xml:space="preserve">As usage of our customer platform grows and as customers use our platform for additional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customer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ability to introduce new products and features, including new products and features that utilize AI,</w:t>
      </w:r>
      <w:r>
        <w:rPr>
          <w:rFonts w:ascii="Times New Roman" w:hAnsi="Times New Roman"/>
          <w:color w:val="000000"/>
          <w:sz w:val="20"/>
        </w:rPr>
        <w:t xml:space="preserve"> </w:t>
      </w:r>
      <w:r>
        <w:rPr>
          <w:rFonts w:ascii="Times New Roman" w:hAnsi="Times New Roman"/>
          <w:b/>
          <w:i/>
          <w:color w:val="000000"/>
          <w:sz w:val="20"/>
        </w:rPr>
        <w:t>is dependent on adequate research and development resources. If we do not adequately fund our research and development efforts, we may not be able to compete effectively and our business and operating results may be harmed.</w:t>
      </w:r>
    </w:p>
    <w:p>
      <w:pPr>
        <w:pStyle w:val="TextBody"/>
        <w:bidi w:val="0"/>
        <w:jc w:val="left"/>
        <w:rPr>
          <w:rFonts w:ascii="Times New Roman" w:hAnsi="Times New Roman"/>
          <w:color w:val="000000"/>
          <w:sz w:val="20"/>
        </w:rPr>
      </w:pPr>
      <w:r>
        <w:rPr>
          <w:rFonts w:ascii="Times New Roman" w:hAnsi="Times New Roman"/>
          <w:color w:val="000000"/>
          <w:sz w:val="20"/>
        </w:rPr>
        <w:t>To remain competitive, we must continue to develop new product offerings, applications, features and enhancements to our existing customer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including recruiting and retaining highly qualified personnel, (particularly with AI and machine learning backgrounds), or to compete effectively with the research and development programs of our competitors could materially adversely affect our business.</w:t>
      </w:r>
    </w:p>
    <w:p>
      <w:pPr>
        <w:pStyle w:val="TextBody"/>
        <w:bidi w:val="0"/>
        <w:jc w:val="left"/>
        <w:rPr>
          <w:rFonts w:ascii="Times New Roman" w:hAnsi="Times New Roman"/>
          <w:color w:val="000000"/>
          <w:sz w:val="20"/>
        </w:rPr>
      </w:pPr>
      <w:r>
        <w:rPr>
          <w:rFonts w:ascii="Times New Roman" w:hAnsi="Times New Roman"/>
          <w:color w:val="000000"/>
          <w:sz w:val="20"/>
        </w:rPr>
        <w:t>The development of next-generation solutions that utilize new and advanced features, including AI and machine learning, such as Breeze Assistant, involves making predictions regarding the willingness of the market to adopt such technologies over legacy solutions. The Company may be required to commit significant resources to developing new products, software and services, before knowing whether such investment will result in products or services that the market will accept.</w:t>
      </w:r>
    </w:p>
    <w:p>
      <w:pPr>
        <w:pStyle w:val="TextBody"/>
        <w:bidi w:val="0"/>
        <w:jc w:val="left"/>
        <w:rPr>
          <w:rFonts w:ascii="Times New Roman" w:hAnsi="Times New Roman"/>
          <w:color w:val="000000"/>
          <w:sz w:val="20"/>
        </w:rPr>
      </w:pPr>
      <w:r>
        <w:rPr>
          <w:rFonts w:ascii="Times New Roman" w:hAnsi="Times New Roman"/>
          <w:color w:val="000000"/>
          <w:sz w:val="20"/>
        </w:rPr>
        <w:t>The Company’s inability, for technological, legal or other reasons, some of which may be beyond the Company’s control, to enhance, develop, introduce and monetize products and services in a timely manner, or at all, in response to changing market conditions or customer requirements could have a material adverse effect on the Company’s business, results of operations and financial condition or could result in its products and services not achieving market acceptance or becoming obsolete. In addition, if the Company fails to deliver a compelling customer experience or accurately predict emerging technological trends and the changing needs of customers and end users, or if the features of its new products and services do not meet the demands of its customers or are not sufficiently differentiated from those of its competitors, the Company’s business, results of operations and financial condition could be materially harmed.</w:t>
      </w:r>
    </w:p>
    <w:p>
      <w:pPr>
        <w:pStyle w:val="TextBody"/>
        <w:bidi w:val="0"/>
        <w:jc w:val="left"/>
        <w:rPr>
          <w:rFonts w:ascii="Times New Roman" w:hAnsi="Times New Roman"/>
          <w:color w:val="000000"/>
          <w:sz w:val="20"/>
        </w:rPr>
      </w:pPr>
      <w:r>
        <w:rPr>
          <w:rFonts w:ascii="Times New Roman" w:hAnsi="Times New Roman"/>
          <w:color w:val="000000"/>
          <w:sz w:val="20"/>
        </w:rPr>
        <w:t>Uncertainty around new and emerging AI applications, such as agentic AI technologies and generative AI content creation, may require additional investment in the development or acquisition of proprietary datasets, machine learning models and other AI systems to test for accuracy, bias and other variables, which are often complex. Development of new approaches and processes to provide attribution or remuneration to content creators and building and/or integrating systems that enable creatives to have greater control over the use of their work in the development of AI may be costly and could impact our profit margin if we are unable to monetize such assets. In addition, AI technologies, including agentic and generative AI tools, may create content, analyses or recommendations without human intervention that take or suggest actions based on incomplete or inaccurate data, “hallucinatory” inferences, or flawed training inputs, or contain copyrighted or other protected material, and if our customers or others use this flawed or protected content or materials to their detriment, we may be exposed to brand or reputational harm, competitive harm, and/or legal liability. Developing, testing and deploying AI systems may also increase the cost profile of our offerings due to the nature of the computing costs involved in such systems.</w:t>
      </w:r>
    </w:p>
    <w:p>
      <w:pPr>
        <w:pStyle w:val="TextBody"/>
        <w:bidi w:val="0"/>
        <w:jc w:val="left"/>
        <w:rPr>
          <w:rFonts w:ascii="Times New Roman" w:hAnsi="Times New Roman"/>
          <w:b/>
          <w:i/>
          <w:color w:val="000000"/>
          <w:sz w:val="20"/>
        </w:rPr>
      </w:pPr>
      <w:r>
        <w:rPr>
          <w:rFonts w:ascii="Times New Roman" w:hAnsi="Times New Roman"/>
          <w:b/>
          <w:i/>
          <w:color w:val="000000"/>
          <w:sz w:val="20"/>
        </w:rPr>
        <w:t>Changes in the sizes or types of businesses that purchase our platform or in the applications within our customer platform purchased or used by our customers could negatively affect our operating results.</w:t>
      </w:r>
    </w:p>
    <w:p>
      <w:pPr>
        <w:pStyle w:val="TextBody"/>
        <w:bidi w:val="0"/>
        <w:jc w:val="left"/>
        <w:rPr>
          <w:rFonts w:ascii="Times New Roman" w:hAnsi="Times New Roman"/>
          <w:sz w:val="20"/>
        </w:rPr>
      </w:pPr>
      <w:r>
        <w:rPr>
          <w:rFonts w:ascii="Times New Roman" w:hAnsi="Times New Roman"/>
          <w:color w:val="000000"/>
          <w:sz w:val="20"/>
        </w:rPr>
        <w:t>Our strategy is to sell subscriptions to our customer platform to mid-sized businesses, but we have sold and will continue to sell to organizations ranging from small businesses to enterprises. Our gross margins can vary depending on numerous factors related to the implementation and use of our customer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br/>
      </w:r>
      <w:r>
        <w:rPr>
          <w:rFonts w:ascii="Times New Roman" w:hAnsi="Times New Roman"/>
          <w:color w:val="000000"/>
          <w:sz w:val="24"/>
        </w:rPr>
        <w:br/>
      </w:r>
      <w:r>
        <w:rPr>
          <w:rFonts w:ascii="Times New Roman" w:hAnsi="Times New Roman"/>
          <w:b/>
          <w:i/>
          <w:color w:val="000000"/>
          <w:sz w:val="20"/>
        </w:rPr>
        <w:t>We have in the past completed acquisitions and may continue to acquire or invest in other companies or technologies in the future, which could divert management’s attention, fail to meet our expectations, result in additional dilution to our stockholders, increase expenses, disrupt our operations or harm our operating results.</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in the past acquired, and we may in the future acquire or invest in, businesses, products or technologies that we believe could complement or expand our platform, enhance our technical capabilities or otherwise offer growth opportunities. We may not be able to fully realize the anticipated benefits of historical or any future acquisitions. The pursuit of potential acquisitions may divert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attention of management and cause us to incur various expenses related to identifying, investigating and pursuing suitable acquisitions, whether or not they are consummated.</w:t>
      </w:r>
    </w:p>
    <w:p>
      <w:pPr>
        <w:pStyle w:val="TextBody"/>
        <w:bidi w:val="0"/>
        <w:jc w:val="left"/>
        <w:rPr>
          <w:rFonts w:ascii="Times New Roman" w:hAnsi="Times New Roman"/>
          <w:color w:val="000000"/>
          <w:sz w:val="20"/>
        </w:rPr>
      </w:pPr>
      <w:r>
        <w:rPr>
          <w:rFonts w:ascii="Times New Roman" w:hAnsi="Times New Roman"/>
          <w:color w:val="000000"/>
          <w:sz w:val="20"/>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the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and use of substantial portions of our available cash or the incurrence of debt to consummate the acquisition. Acquisitions also increase the risk of unforeseen legal and compliance liabilities, including for potential violations of applicable law or industry rules and regulations, arising from prior or ongoing acts or omissions by the acquired businesses which are not discovered by due diligence during the acquisition process, including data handling, cybersecurity risks and privacy violations.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 </w:t>
      </w:r>
    </w:p>
    <w:p>
      <w:pPr>
        <w:pStyle w:val="TextBody"/>
        <w:bidi w:val="0"/>
        <w:spacing w:before="0" w:after="160"/>
        <w:jc w:val="both"/>
        <w:rPr>
          <w:rFonts w:ascii="Times New Roman" w:hAnsi="Times New Roman"/>
          <w:sz w:val="20"/>
        </w:rPr>
      </w:pPr>
      <w:r>
        <w:rPr>
          <w:rFonts w:ascii="Times New Roman" w:hAnsi="Times New Roman"/>
          <w:b/>
          <w:i/>
          <w:color w:val="000000"/>
          <w:sz w:val="20"/>
        </w:rPr>
        <w:t>We are subject to risks associated with our strategic investments, including partial or complete loss of invested capital. Significant changes in the fair value of this portfolio, including changes in the valuation of our investments in privately held companies, could negatively impact our financial results.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made, and expect in the future to make, strategic investments in privately held companies and private limited partnerships. While we invest in companies that we believe have the potential to transform their industries, improve customer experiences, help us expand our solution ecosystem or support other corporate initiatives, we may still experience unforeseen brand or reputational harm associated with our investments. We may also experience challenges from regulatory authorities in connection with our investments, including from antitrust authorities who are increasingly scrutinizing technology investments, and which may lead to unforeseen expenditures or which may block, delay or impose undesirable conditions on transactions involving our investment portfolio. Our investments range from early-stage companies to more mature companies with established revenue streams and business models. Many such companies generate net losses and the market for their products, services or technologies may be slow to develop, and, therefore, they are dependent on the availability of later rounds of financing from banks or investors on favorable terms to continue their operations. Investments in early-stage companies are inherently speculative, as these companies may not yet be revenue-generating and could still be in the process of developing their products and services at the time of our investment. The financial success of our investment in any company or partnership is typically dependent on a liquidity event, such as a public offering, acquisition or other favorable market event reflecting appreciation to the cost of our initial investment. In certain cases, our ability to sell these investments may be impacted by contractual obligations to hold the securities for a set period of time after a public offering. All of our investments are subject to a risk of partial or total loss of invested capital.</w:t>
      </w:r>
    </w:p>
    <w:p>
      <w:pPr>
        <w:pStyle w:val="TextBody"/>
        <w:bidi w:val="0"/>
        <w:jc w:val="left"/>
        <w:rPr>
          <w:rFonts w:ascii="Times New Roman" w:hAnsi="Times New Roman"/>
          <w:color w:val="000000"/>
          <w:sz w:val="20"/>
        </w:rPr>
      </w:pPr>
      <w:r>
        <w:rPr>
          <w:rFonts w:ascii="Times New Roman" w:hAnsi="Times New Roman"/>
          <w:color w:val="000000"/>
          <w:sz w:val="20"/>
        </w:rPr>
        <w:t>We may experience future volatility in our consolidated statements of operations due to changes in market prices, observable price changes and impairments of our strategic investments. The resulting gains or losses could be material depending on market conditions and events, particularly in periods with economic uncertainty, inflation, geopolitical conflict, volatile public equity markets or unsettled global market conditions.</w:t>
      </w:r>
    </w:p>
    <w:p>
      <w:pPr>
        <w:pStyle w:val="TextBody"/>
        <w:bidi w:val="0"/>
        <w:jc w:val="left"/>
        <w:rPr>
          <w:rFonts w:ascii="Times New Roman" w:hAnsi="Times New Roman"/>
          <w:b/>
          <w:i/>
          <w:color w:val="000000"/>
          <w:sz w:val="20"/>
        </w:rPr>
      </w:pPr>
      <w:r>
        <w:rPr>
          <w:rFonts w:ascii="Times New Roman" w:hAnsi="Times New Roman"/>
          <w:b/>
          <w:i/>
          <w:color w:val="000000"/>
          <w:sz w:val="20"/>
        </w:rPr>
        <w:t>Because our long-term growth strategy involves further expansion of our sales to customers outside the United States, our business will be susceptible to risks associated with international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A component of our growth strategy involves the further expansion of our operations and customer base internationally. We have formed several international entities and may plan to form additional entities in the future. These international operations focus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primarily on sales, professional services and support, and select international locations have development teams. Our current international operations and future initiatives will involve a variety of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maintaining our company culture with a dispersed and distant workforce;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stringent regulations relating to data security and the unauthorized use of, or access to, commercial and personal data, particularly in the European Union;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regulatory requirements, taxes or trade laws, including tariffs or other trade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labor regulations, especially in the European Union, where labor laws are generally more advantageous to employees as compared to the United States, including deemed hourly wage and overtime regulations in these locations;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inherent in efficiently managing an increased number of employees over large geographic distances, including the need to implement appropriate systems, policies, benefits and compliance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managing a business in new markets with diverse cultures, languages, customs, legal systems, alternative dispute systems and regulatory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currency exchange rate fluctuations and the resulting effect on our revenue and expenses, and the cost and risk of entering into hedging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uncertainty caused by global political events, including changes in trade policies, including trade wars, tariffs or other trade restrictions or the threat of such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our ability to reinvest earnings from operations in one country to fund the capital needs of our operations in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limited or insufficient intellectual property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perceptions of U.S.-based companies in the regions where we operate or plan to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perceptions of regions or governments in the regions where we operate or plan to operate, resulting in negative publicity or reputational harm;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international disputes, wars, political instability or terrorist activities, including the conflict in Iran, the Russia-Ukraine conflict, the Israel-Hamas conflict and recent events in Venezuela, and resulting economic instability;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tax burdens and foreign exchange controls that could make it difficult to repatriate earnings and cash.</w:t>
      </w:r>
    </w:p>
    <w:p>
      <w:pPr>
        <w:pStyle w:val="TextBody"/>
        <w:bidi w:val="0"/>
        <w:jc w:val="left"/>
        <w:rPr>
          <w:rFonts w:ascii="Times New Roman" w:hAnsi="Times New Roman"/>
          <w:color w:val="000000"/>
          <w:sz w:val="20"/>
        </w:rPr>
      </w:pPr>
      <w:r>
        <w:rPr>
          <w:rFonts w:ascii="Times New Roman" w:hAnsi="Times New Roman"/>
          <w:color w:val="000000"/>
          <w:sz w:val="20"/>
        </w:rPr>
        <w:t>Our limited experience in operating our business internationally increases the risk that any potential future expansion efforts that we may undertake will not be successful. If in the future,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pStyle w:val="TextBody"/>
        <w:bidi w:val="0"/>
        <w:jc w:val="left"/>
        <w:rPr>
          <w:rFonts w:ascii="Times New Roman" w:hAnsi="Times New Roman"/>
          <w:sz w:val="20"/>
        </w:rPr>
      </w:pPr>
      <w:r>
        <w:rPr>
          <w:rFonts w:ascii="Times New Roman" w:hAnsi="Times New Roman"/>
          <w:b/>
          <w:i/>
          <w:color w:val="000000"/>
          <w:sz w:val="20"/>
        </w:rPr>
        <w:t>Social and ethical issues relating to the use of new and evolving technologies, such as AI, in our offerings may result in reputational harm and liability.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Social and ethical issues relating to the use of new and evolving technologies such as AI in our offerings, may result in reputational harm and liability, and may cause us to incur additional research and development costs to resolve such issues. We are increasingly building AI into many of our offerings, including early-stage agentic and generative AI features. As with many innovations, AI presents risks and challenges that could affect its adoption, and therefore our business. If we enable or offer solutions that draw controversy due to their perceived or actual impact on human rights, privacy, employment, or in other social contexts, we may experience brand or reputational harm, competitive harm or legal liability.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products and services.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rapid evolution of AI will require the application of resources to develop, test and maintain our products and services to help ensure that AI is implemented ethically in order to minimize unintended, harmful impact.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Employee Matters</w:t>
      </w:r>
    </w:p>
    <w:p>
      <w:pPr>
        <w:pStyle w:val="TextBody"/>
        <w:bidi w:val="0"/>
        <w:jc w:val="left"/>
        <w:rPr>
          <w:rFonts w:ascii="Times New Roman" w:hAnsi="Times New Roman"/>
          <w:b/>
          <w:i/>
          <w:color w:val="000000"/>
          <w:sz w:val="20"/>
        </w:rPr>
      </w:pPr>
      <w:r>
        <w:rPr>
          <w:rFonts w:ascii="Times New Roman" w:hAnsi="Times New Roman"/>
          <w:b/>
          <w:i/>
          <w:color w:val="000000"/>
          <w:sz w:val="20"/>
        </w:rPr>
        <w:t>If we cannot maintain our company culture as we experience changes in our workforce, we could lose the innovation, teamwork, passion and focus on execution that we believe contribute to our success and our business may be harmed.</w:t>
      </w:r>
    </w:p>
    <w:p>
      <w:pPr>
        <w:pStyle w:val="TextBody"/>
        <w:bidi w:val="0"/>
        <w:jc w:val="left"/>
        <w:rPr>
          <w:rFonts w:ascii="Times New Roman" w:hAnsi="Times New Roman"/>
          <w:color w:val="000000"/>
          <w:sz w:val="20"/>
        </w:rPr>
      </w:pPr>
      <w:r>
        <w:rPr>
          <w:rFonts w:ascii="Times New Roman" w:hAnsi="Times New Roman"/>
          <w:color w:val="000000"/>
          <w:sz w:val="20"/>
        </w:rPr>
        <w:t>We believe that a critical component to our success has been our company culture, which is based on transparency and personal autonomy. We have invested substantial time and resources in building our team within this company culture. We offer a hybrid workplace model, which means our employees have the option to be fully remote, work full-time from one of our offices, or work both in the office and remotely. Preservation of our corporate culture has been made more difficult as the majority of our workforce works from home. Any failure to preserve our culture could negatively affect our ability to retain and recruit personnel and to effectively focus on and pursue our corporate objectives. As we grow and continue to develop our company infrastructure, and experience organizational change, we may find it difficult to maintain these important aspects of our company culture and our business may be adversely impacted.</w:t>
      </w:r>
    </w:p>
    <w:p>
      <w:pPr>
        <w:pStyle w:val="TextBody"/>
        <w:bidi w:val="0"/>
        <w:jc w:val="left"/>
        <w:rPr>
          <w:rFonts w:ascii="Times New Roman" w:hAnsi="Times New Roman"/>
          <w:b/>
          <w:i/>
          <w:color w:val="000000"/>
          <w:sz w:val="20"/>
        </w:rPr>
      </w:pPr>
      <w:r>
        <w:rPr>
          <w:rFonts w:ascii="Times New Roman" w:hAnsi="Times New Roman"/>
          <w:b/>
          <w:i/>
          <w:color w:val="000000"/>
          <w:sz w:val="20"/>
        </w:rPr>
        <w:t>We rely on our management team and other key employees, and the loss of one or more key employees could harm our business.</w:t>
      </w:r>
    </w:p>
    <w:p>
      <w:pPr>
        <w:pStyle w:val="TextBody"/>
        <w:bidi w:val="0"/>
        <w:jc w:val="left"/>
        <w:rPr>
          <w:rFonts w:ascii="Times New Roman" w:hAnsi="Times New Roman"/>
          <w:color w:val="000000"/>
          <w:sz w:val="20"/>
        </w:rPr>
      </w:pPr>
      <w:r>
        <w:rPr>
          <w:rFonts w:ascii="Times New Roman" w:hAnsi="Times New Roman"/>
          <w:color w:val="000000"/>
          <w:sz w:val="20"/>
        </w:rPr>
        <w:t>Our success and future growth depend upon the continued services of our management team, including our co-founder, Dharmesh Shah, our chief executive officer, Yamini Rangan, and other key employees in the areas of research and development, marketing, sales, services, operations,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The failure to attract and retain additional qualified personnel could prevent us from executing our business strategy.</w:t>
      </w:r>
    </w:p>
    <w:p>
      <w:pPr>
        <w:pStyle w:val="TextBody"/>
        <w:bidi w:val="0"/>
        <w:jc w:val="left"/>
        <w:rPr>
          <w:rFonts w:ascii="Times New Roman" w:hAnsi="Times New Roman"/>
          <w:color w:val="000000"/>
          <w:sz w:val="20"/>
        </w:rPr>
      </w:pPr>
      <w:r>
        <w:rPr>
          <w:rFonts w:ascii="Times New Roman" w:hAnsi="Times New Roman"/>
          <w:color w:val="000000"/>
          <w:sz w:val="20"/>
        </w:rPr>
        <w:t>To execute our business strategy, we must attract and retain highly qualified personnel. In particular, we compete with many other companies for software developers with high levels of experience in designing, developing and managing cloud-based software, or with AI and machine learning backgrounds, as well as for skilled information technology, marketing, sales and operations professionals, and we may not be successful in attracting and retaining the professionals we need. Also, our customer platform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worldwide, particularly for engineers with experience in AI. Many of the companies with which we compete for experienced personnel have greater resources than we do. Other companies that continue to offer a remote or hybrid work environment may increase the competition for such employees from employers outside of our traditional office locations. In addition, if we choose to no longer offer a remote or hybrid work environment, we may face more difficulty in retaining our workforce. Further, labor is subject to external factors that are beyond our control, including our industry’s highly competitive market for skilled workers and leaders, cost inflation, and workforce participation rates. In addition, if our reputation were to be harmed, whether as a result of media, legislative, or regulatory scrutiny or otherwise, it could make it more difficult to attract and retain personnel that are critical to the success of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in making employment decisions, particularly in the software industry, job candidates often consider the value of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br/>
        <w:t>Risks Related to Global Economic Conditions</w:t>
      </w:r>
    </w:p>
    <w:p>
      <w:pPr>
        <w:pStyle w:val="TextBody"/>
        <w:bidi w:val="0"/>
        <w:jc w:val="left"/>
        <w:rPr>
          <w:rFonts w:ascii="Times New Roman" w:hAnsi="Times New Roman"/>
          <w:b/>
          <w:i/>
          <w:color w:val="000000"/>
          <w:sz w:val="20"/>
        </w:rPr>
      </w:pPr>
      <w:r>
        <w:rPr>
          <w:rFonts w:ascii="Times New Roman" w:hAnsi="Times New Roman"/>
          <w:b/>
          <w:i/>
          <w:color w:val="000000"/>
          <w:sz w:val="20"/>
        </w:rPr>
        <w:br/>
        <w:t>We are exposed to fluctuations in currency exchange rates that could adversely affect our financial results.</w:t>
      </w:r>
    </w:p>
    <w:p>
      <w:pPr>
        <w:pStyle w:val="TextBody"/>
        <w:bidi w:val="0"/>
        <w:jc w:val="left"/>
        <w:rPr>
          <w:rFonts w:ascii="Times New Roman" w:hAnsi="Times New Roman"/>
          <w:color w:val="000000"/>
          <w:sz w:val="20"/>
        </w:rPr>
      </w:pPr>
      <w:r>
        <w:rPr>
          <w:rFonts w:ascii="Times New Roman" w:hAnsi="Times New Roman"/>
          <w:color w:val="000000"/>
          <w:sz w:val="20"/>
        </w:rPr>
        <w:t xml:space="preserve">We face exposure to movements in currency exchange rates, which may cause our revenue and operating results to differ materially from expectations. As we have expanded our international operations, our exposure to exchange rate fluctuations has increased. Fluctuations in the value of the U.S. dollar versus foreign currencies may impact our operating results when translated into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U.S. dollars. Thus, our results of operations and cash flows are subject to fluctuations due to changes in foreign currency exchange rates and may be adversely affected in the future due to changes in foreign currency exchange rates.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In the first quarter of 2024, we implemented a hedging program intended to allow us to mitigate foreign exchange impacts, such as exposure to currency exchange rates in connection with significant transactions denominated in currencies other than the U.S. dollar, by entering into derivatives transactions such as foreign exchange forwards. We may also employ certain other strategies in the future to mitigate foreign currency risk. There can be no guarantee or assurance that such hedging program and the strategies we employ pursuant thereto will be effective to reduce or eliminate our exposure to foreign exchange rate fluctuations to the extent we anticipate, or at all. Furthermore, the hedging program and the derivatives transactions employed as part thereof involve costs and risks of their own, including ongoing management time and expertise, external costs to implement the programs and strategies, potential counterparty credit risk and liquidity risk, and potential accounting implications. Additionally, as we anticipate growing our business further outside of the United States, the effects of movements in currency exchange rates will increase as our transaction volume outside of the United States increases.</w:t>
      </w:r>
    </w:p>
    <w:p>
      <w:pPr>
        <w:pStyle w:val="TextBody"/>
        <w:bidi w:val="0"/>
        <w:jc w:val="left"/>
        <w:rPr>
          <w:rFonts w:ascii="Times New Roman" w:hAnsi="Times New Roman"/>
          <w:b/>
          <w:i/>
          <w:color w:val="000000"/>
          <w:sz w:val="20"/>
        </w:rPr>
      </w:pPr>
      <w:r>
        <w:rPr>
          <w:rFonts w:ascii="Times New Roman" w:hAnsi="Times New Roman"/>
          <w:b/>
          <w:i/>
          <w:color w:val="000000"/>
          <w:sz w:val="20"/>
        </w:rPr>
        <w:t>Weakened global economic conditions may harm our industry, business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volatility in the banking sector, changes in the labor market, supply chain disruptions, bankruptcies, inflation and overall uncertainty with respect to the economy, including with respect to trade issues, such as trade wars, tariffs or other trade restrictions or the threat of such actions. For example, on October 1, 2025, the U.S. federal government shut down through November 12, 2025, suspending services deemed non-essential as a result of the failure by Congress to enact regular appropriations for the 2026 fiscal year. If we experience another government shutdown, it could result in increased uncertainty and volatility in the global economy and financial markets which could have an adverse effect on our business.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 Further, weak market conditions have, and could in the future, result in impairment of our investments and long-lived assets.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the economies of countries in Europe have been experiencing weakness associated with high sovereign debt levels, weakness in the banking sector, uncertainty over the future of the Eurozone and volatility in the value of the pound sterling and the Euro and instability resulting from the ongoing conflicts between Russia and Ukraine and in Israel, Gaza, Iran, and in Venezuela. The effects of such conflicts, including any resulting sanctions, export controls or other restrictive actions that may be imposed against governmental or other entities in, for example, Russia, have in the past contributed and may in the future contribute to disruption, instability and volatility in the global markets, including global supply chains and energy markets. We have operations, as well as current and potential new customers, throughout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 </w:t>
      </w:r>
    </w:p>
    <w:p>
      <w:pPr>
        <w:pStyle w:val="TextBody"/>
        <w:bidi w:val="0"/>
        <w:jc w:val="left"/>
        <w:rPr>
          <w:rFonts w:ascii="Times New Roman" w:hAnsi="Times New Roman"/>
          <w:color w:val="000000"/>
          <w:sz w:val="20"/>
        </w:rPr>
      </w:pPr>
      <w:r>
        <w:rPr>
          <w:rFonts w:ascii="Times New Roman" w:hAnsi="Times New Roman"/>
          <w:color w:val="000000"/>
          <w:sz w:val="20"/>
        </w:rPr>
        <w:t>More recently, global inflation rates have increased to levels not seen in several decades, which may result in decreased demand for our products and services, increases in our operating costs, including our labor costs, constrained credit and liquidity, reduced government spending and volatility in financial markets. The Federal Reserve and other international government agencies have raised, and may again raise, interest rates in response to concerns over inflation risk. Increases in interest rates on credit and debt that would increase the cost of any borrowing that we may make from time to time and could impact our ability to access the capital markets.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and services at or above the rate at which our costs increase, which would reduce our profit margins and could have a material adverse effect on our financial results and net income. We also may experience lower than expected sales and potential adverse impacts on our competitive position if there is a decrease in consumer spending or a negative reaction to our pricing. A reduction in our revenue would be detrimental to our profitability and financial condition and could also have an adverse impact on our future growth.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continues to be uncertainty in the changing market and economic conditions, including the possibility of additional measures that could be taken by the Federal Reserve and other domestic and international government agencies, related to concerns over inflation risk. A sharp rise in interest rates could have an adverse impact on the fair market value of certain securities in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portfolio and investments in some financial instruments could pose risks arising from market liquidity and credit concerns, which could adversely affect our financial results.</w:t>
      </w:r>
    </w:p>
    <w:p>
      <w:pPr>
        <w:pStyle w:val="TextBody"/>
        <w:bidi w:val="0"/>
        <w:jc w:val="left"/>
        <w:rPr>
          <w:rFonts w:ascii="Times New Roman" w:hAnsi="Times New Roman"/>
          <w:b/>
          <w:i/>
          <w:color w:val="000000"/>
          <w:sz w:val="20"/>
        </w:rPr>
      </w:pPr>
      <w:r>
        <w:rPr>
          <w:rFonts w:ascii="Times New Roman" w:hAnsi="Times New Roman"/>
          <w:b/>
          <w:i/>
          <w:color w:val="000000"/>
          <w:sz w:val="20"/>
        </w:rPr>
        <w:t>Economic uncertainty may lead to decreased demand for our products and services and otherwise harm our business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Our overall performance depends, in part, on worldwide economic conditions. Impacts of economic weakness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falling overall demand for goods and services, leading to reduced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credit availability;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higher borrowing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liquidity;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labor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chain disruptions;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volatility in credit, equity and foreign exchange markets;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bankruptcies. </w:t>
      </w:r>
    </w:p>
    <w:p>
      <w:pPr>
        <w:pStyle w:val="TextBody"/>
        <w:bidi w:val="0"/>
        <w:jc w:val="left"/>
        <w:rPr>
          <w:rFonts w:ascii="Times New Roman" w:hAnsi="Times New Roman"/>
          <w:color w:val="000000"/>
          <w:sz w:val="20"/>
        </w:rPr>
      </w:pPr>
      <w:r>
        <w:rPr>
          <w:rFonts w:ascii="Times New Roman" w:hAnsi="Times New Roman"/>
          <w:color w:val="000000"/>
          <w:sz w:val="20"/>
        </w:rPr>
        <w:t>Economic weakness could lead to inflation, higher interest rates, and uncertainty about business continuity, which may adversely affect our business and our results of operations. As our customers react to global economic conditions and the potential for a global recession, we may see them reduce spending on our products and take additional precautionary measures to limit or delay expenditures and preserve capital and liquidity. Reductions in spending on our solutions, delays in purchasing decisions, lack of renewals, inability to attract new customers, as well as pressure for extended billing terms or pricing discounts, would limit our ability to grow our business and could negatively affect our operating results and financial condition.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Technical Operations Infrastructure and Dependence on Third Parties</w:t>
      </w:r>
    </w:p>
    <w:p>
      <w:pPr>
        <w:pStyle w:val="TextBody"/>
        <w:bidi w:val="0"/>
        <w:jc w:val="left"/>
        <w:rPr>
          <w:rFonts w:ascii="Times New Roman" w:hAnsi="Times New Roman"/>
          <w:b/>
          <w:i/>
          <w:color w:val="000000"/>
          <w:sz w:val="20"/>
        </w:rPr>
      </w:pPr>
      <w:r>
        <w:rPr>
          <w:rFonts w:ascii="Times New Roman" w:hAnsi="Times New Roman"/>
          <w:b/>
          <w:i/>
          <w:color w:val="000000"/>
          <w:sz w:val="20"/>
        </w:rPr>
        <w:b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pStyle w:val="TextBody"/>
        <w:bidi w:val="0"/>
        <w:jc w:val="left"/>
        <w:rPr>
          <w:rFonts w:ascii="Times New Roman" w:hAnsi="Times New Roman"/>
          <w:color w:val="000000"/>
          <w:sz w:val="20"/>
        </w:rPr>
      </w:pPr>
      <w:r>
        <w:rPr>
          <w:rFonts w:ascii="Times New Roman" w:hAnsi="Times New Roman"/>
          <w:color w:val="000000"/>
          <w:sz w:val="20"/>
        </w:rPr>
        <w:t xml:space="preserve">We currently serve the majority of our platform functions from third-party data center hosting facilities operated by Amazon Web Services (“AWS”) in the United States and Europe. We also have several colocations which host certain critical services (for example, VPN access) in various locations around the world. In addition, we use Cloudflare Global CDN to optimize content delivery across our locations. </w:t>
      </w:r>
    </w:p>
    <w:p>
      <w:pPr>
        <w:pStyle w:val="TextBody"/>
        <w:bidi w:val="0"/>
        <w:jc w:val="left"/>
        <w:rPr>
          <w:rFonts w:ascii="Times New Roman" w:hAnsi="Times New Roman"/>
          <w:color w:val="000000"/>
          <w:sz w:val="20"/>
        </w:rPr>
      </w:pPr>
      <w:r>
        <w:rPr>
          <w:rFonts w:ascii="Times New Roman" w:hAnsi="Times New Roman"/>
          <w:color w:val="000000"/>
          <w:sz w:val="20"/>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geopolitical conflict, vandalism or sabotage, a disruptive cyber-attack, a decision to close a facility without adequate notice, power or telecommunications failures or other unanticipated problems at a facility could result in lengthy interruptions in the availability of our on-demand software. Similarly, security vulnerabilities or data breaches with our third-party providers could impact the security and availability of our platform. In the event that any of our third-party facilities arrangements is terminated, or if there is a lapse of service or damage to a facility, we could experience interruptions in our platform as well as delays and additional expenses in arranging new facilities and services.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If our customer platform has outages or fails due to defects or similar problems, and if we fail to correct any defect or other software problems, we could lose customers, become subject to service performance or warranty claims or incur significant costs.</w:t>
      </w:r>
    </w:p>
    <w:p>
      <w:pPr>
        <w:pStyle w:val="TextBody"/>
        <w:bidi w:val="0"/>
        <w:jc w:val="left"/>
        <w:rPr>
          <w:rFonts w:ascii="Times New Roman" w:hAnsi="Times New Roman"/>
          <w:color w:val="000000"/>
          <w:sz w:val="20"/>
        </w:rPr>
      </w:pPr>
      <w:r>
        <w:rPr>
          <w:rFonts w:ascii="Times New Roman" w:hAnsi="Times New Roman"/>
          <w:color w:val="000000"/>
          <w:sz w:val="20"/>
        </w:rPr>
        <w:t xml:space="preserve">Our customer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pStyle w:val="TextBody"/>
        <w:bidi w:val="0"/>
        <w:jc w:val="left"/>
        <w:rPr>
          <w:rFonts w:ascii="Times New Roman" w:hAnsi="Times New Roman"/>
          <w:color w:val="000000"/>
          <w:sz w:val="20"/>
        </w:rPr>
      </w:pPr>
      <w:r>
        <w:rPr>
          <w:rFonts w:ascii="Times New Roman" w:hAnsi="Times New Roman"/>
          <w:color w:val="000000"/>
          <w:sz w:val="20"/>
        </w:rPr>
        <w:t>In addition, third-party applications and features on our customer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pStyle w:val="TextBody"/>
        <w:bidi w:val="0"/>
        <w:jc w:val="left"/>
        <w:rPr>
          <w:rFonts w:ascii="Times New Roman" w:hAnsi="Times New Roman"/>
          <w:sz w:val="20"/>
        </w:rPr>
      </w:pPr>
      <w:r>
        <w:rPr>
          <w:rFonts w:ascii="Times New Roman" w:hAnsi="Times New Roman"/>
          <w:b/>
          <w:i/>
          <w:color w:val="000000"/>
          <w:sz w:val="20"/>
        </w:rPr>
        <w:t>If our information technology systems, including our customer platform, have outages or fail due to defects or similar problems, and if we fail to correct any defect or other software problems, it could disrupt our internal operations or services provided to customers, and could reduce our revenue, increase our expenses, damage our reputation and adversely affect our cash flows and stock price.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on our information technology systems, including the sustained and uninterrupted performance of our customer platform, to manage numerous aspects of our business, including marketing, sales, content management, customer service and other internal operations. Our information technology systems are an essential component of our business and any disruption could significantly limit our ability to manage and operate our business efficiently. </w:t>
      </w:r>
    </w:p>
    <w:p>
      <w:pPr>
        <w:pStyle w:val="TextBody"/>
        <w:bidi w:val="0"/>
        <w:jc w:val="left"/>
        <w:rPr>
          <w:rFonts w:ascii="Times New Roman" w:hAnsi="Times New Roman"/>
          <w:color w:val="000000"/>
          <w:sz w:val="20"/>
        </w:rPr>
      </w:pPr>
      <w:r>
        <w:rPr>
          <w:rFonts w:ascii="Times New Roman" w:hAnsi="Times New Roman"/>
          <w:color w:val="000000"/>
          <w:sz w:val="20"/>
        </w:rPr>
        <w:t>Our customer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While we seek to implement secure development practices, we cannot eliminate the risk that our applications may have vulnerabilities. From time to time, we find defects in our software and may discover in the future additional defects, outages, delays or cessations of service, performance and quality problems or may produce errors in connection with systems integrations, migration work or other causes, which could result in business disruptions and the process of remediating them could be more expensive, time-consuming, disruptive and resource intensive than planned. Such disruptions could adversely impact our internal operations and interrupt other processes. Delayed sales, lower margins or lost customers resulting from these disruptions could reduce our revenue, increase our expenses, damage our reputation and adversely affect our cash flows and stock price.</w:t>
      </w:r>
    </w:p>
    <w:p>
      <w:pPr>
        <w:pStyle w:val="TextBody"/>
        <w:bidi w:val="0"/>
        <w:jc w:val="left"/>
        <w:rPr>
          <w:rFonts w:ascii="Times New Roman" w:hAnsi="Times New Roman"/>
          <w:b/>
          <w:i/>
          <w:color w:val="000000"/>
          <w:sz w:val="20"/>
        </w:rPr>
      </w:pPr>
      <w:r>
        <w:rPr>
          <w:rFonts w:ascii="Times New Roman" w:hAnsi="Times New Roman"/>
          <w:b/>
          <w:i/>
          <w:color w:val="000000"/>
          <w:sz w:val="20"/>
        </w:rPr>
        <w:t>We are dependent on the continued availability of third-party data hosting and transmission services and AI technologies developed by third parties.</w:t>
      </w:r>
    </w:p>
    <w:p>
      <w:pPr>
        <w:pStyle w:val="TextBody"/>
        <w:bidi w:val="0"/>
        <w:jc w:val="left"/>
        <w:rPr>
          <w:rFonts w:ascii="Times New Roman" w:hAnsi="Times New Roman"/>
          <w:color w:val="000000"/>
          <w:sz w:val="20"/>
        </w:rPr>
      </w:pPr>
      <w:r>
        <w:rPr>
          <w:rFonts w:ascii="Times New Roman" w:hAnsi="Times New Roman"/>
          <w:color w:val="000000"/>
          <w:sz w:val="20"/>
        </w:rPr>
        <w:t>A significant portion of our operating cost is from our third-party data hosting and transmission services, including AWS, which hosts the substantial majority of our products and platform. If the costs for such services increase due to vendor consolidation, regulation, contract renegotiation, or otherwise, we may not be able to increase the fees for our customer platform or services to cover the changes, which could have a negative impact on our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Moreover, as a result of the increasing use and deployment of AI technologies, infrastructure capacity requirements, including network capacity and, computing power and energy requirements, may increase which could lead to an increase in service interruptions we experience. In some instances, including because we do not control our service providers, we may not be able to identify the cause or causes of these problems within a period of time acceptable to our customers. Additionally, as our business continues to grow, to the extent that we do not effectively address capacity constraints, through our providers of cloud infrastructure, our results of operations may be adversely affected. In addition, any changes in service levels from our service providers may adversely affect our ability to meet our customers’ requirements, result in negative publicity which could harm our reputation and brand and may adversely affect the usage of our platform.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and expect to continue to rely, in part on AI technologies developed by third parties, including foundation and other AI models, datasets, and cloud computing infrastructure, to develop, train, and deliver certain of our AI features and offerings. Our dependence on these third parties exposes us to risks relating to their performance, reliability, and availability; the security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provenance of their models and training data; their respective intellectual property rights; evolving licensing terms and use restrictions; and increases in pricing. These third parties may modify, deprecate, suspend, or discontinue access to their models, datasets, or infrastructure, change the terms on which they are offered, fail to perform as expected, or become subject to litigation, regulatory action, security incidents, or service interruptions, any of which may occur with limited notice and may be outside of our control. If any of these risks were to materialize, our ability to develop, offer, scale, or support our AI features could be impaired, we may be required to expend significant resources to identify and integrate alternative technologies that may not be available on commercially reasonable terms or at all, and our business, reputation, financial condition, and results of operations could be materially and adversely affected.</w:t>
        <w:br/>
        <w:t> </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or cannot maintain the compatibility of our customer platform with third-party applications that our customers use in their businesses, our revenue will decline.</w:t>
      </w:r>
    </w:p>
    <w:p>
      <w:pPr>
        <w:pStyle w:val="TextBody"/>
        <w:bidi w:val="0"/>
        <w:jc w:val="left"/>
        <w:rPr>
          <w:rFonts w:ascii="Times New Roman" w:hAnsi="Times New Roman"/>
          <w:color w:val="000000"/>
          <w:sz w:val="20"/>
        </w:rPr>
      </w:pPr>
      <w:r>
        <w:rPr>
          <w:rFonts w:ascii="Times New Roman" w:hAnsi="Times New Roman"/>
          <w:color w:val="000000"/>
          <w:sz w:val="20"/>
        </w:rPr>
        <w:t>A significant percentage of our customers choose to integrate our platform with certain capabilities provided by third-party application providers using application programming interfaces (“APIs”) published by these providers. The functionality and popularity of our customer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services, operations, revenue, or content management purposes, or fail to renew existing relationships pursuant to which we currently provide such integration, we may not be able to offer the functionality that our customers need, which would negatively impact our ability to generate new revenue or maintain existing revenue and adversely impact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rely on data provided by third parties, the loss of which could limit the functionality of our platform and disrupt our business.</w:t>
      </w:r>
    </w:p>
    <w:p>
      <w:pPr>
        <w:pStyle w:val="TextBody"/>
        <w:bidi w:val="0"/>
        <w:jc w:val="left"/>
        <w:rPr>
          <w:rFonts w:ascii="Times New Roman" w:hAnsi="Times New Roman"/>
          <w:color w:val="000000"/>
          <w:sz w:val="20"/>
        </w:rPr>
      </w:pPr>
      <w:r>
        <w:rPr>
          <w:rFonts w:ascii="Times New Roman" w:hAnsi="Times New Roman"/>
          <w:color w:val="000000"/>
          <w:sz w:val="20"/>
        </w:rPr>
        <w:t>Select functionality of our customer platform depends on our ability to deliver data, including search engine results and social media updates, provided by unaffiliated third parties, such as Meta, Google, LinkedIn and X.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pStyle w:val="TextBody"/>
        <w:bidi w:val="0"/>
        <w:jc w:val="left"/>
        <w:rPr>
          <w:rFonts w:ascii="Times New Roman" w:hAnsi="Times New Roman"/>
          <w:b/>
          <w:i/>
          <w:color w:val="000000"/>
          <w:sz w:val="20"/>
        </w:rPr>
      </w:pPr>
      <w:r>
        <w:rPr>
          <w:rFonts w:ascii="Times New Roman" w:hAnsi="Times New Roman"/>
          <w:b/>
          <w:i/>
          <w:color w:val="000000"/>
          <w:sz w:val="20"/>
        </w:rPr>
        <w:t>Privacy concerns and end users’ acceptance of Internet behavior tracking may limit the applicability, use and adoption of our customer platform.</w:t>
      </w:r>
    </w:p>
    <w:p>
      <w:pPr>
        <w:pStyle w:val="TextBody"/>
        <w:bidi w:val="0"/>
        <w:jc w:val="left"/>
        <w:rPr>
          <w:rFonts w:ascii="Times New Roman" w:hAnsi="Times New Roman"/>
          <w:color w:val="000000"/>
          <w:sz w:val="20"/>
        </w:rPr>
      </w:pPr>
      <w:r>
        <w:rPr>
          <w:rFonts w:ascii="Times New Roman" w:hAnsi="Times New Roman"/>
          <w:color w:val="000000"/>
          <w:sz w:val="20"/>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customer platform and reduce overall demand for it, or lead to significant fines, penalties or liabilities for any noncompliance or loss of any such action.</w:t>
      </w:r>
    </w:p>
    <w:p>
      <w:pPr>
        <w:pStyle w:val="TextBody"/>
        <w:bidi w:val="0"/>
        <w:jc w:val="left"/>
        <w:rPr>
          <w:rFonts w:ascii="Times New Roman" w:hAnsi="Times New Roman"/>
          <w:b/>
          <w:i/>
          <w:color w:val="000000"/>
          <w:sz w:val="20"/>
        </w:rPr>
      </w:pPr>
      <w:r>
        <w:rPr>
          <w:rFonts w:ascii="Times New Roman" w:hAnsi="Times New Roman"/>
          <w:b/>
          <w:i/>
          <w:color w:val="000000"/>
          <w:sz w:val="20"/>
        </w:rPr>
        <w:t>If our or our customers’ security measures are compromised or unauthorized access to data of our customers or their customers is otherwise obtained, our customer platform may be perceived as not being secure, our customers may be harmed and may curtail or cease their use of our platform, our reputation may be damaged and we may incur significant liabilities.</w:t>
      </w:r>
    </w:p>
    <w:p>
      <w:pPr>
        <w:pStyle w:val="TextBody"/>
        <w:bidi w:val="0"/>
        <w:jc w:val="left"/>
        <w:rPr>
          <w:rFonts w:ascii="Times New Roman" w:hAnsi="Times New Roman"/>
          <w:color w:val="000000"/>
          <w:sz w:val="20"/>
        </w:rPr>
      </w:pPr>
      <w:r>
        <w:rPr>
          <w:rFonts w:ascii="Times New Roman" w:hAnsi="Times New Roman"/>
          <w:color w:val="000000"/>
          <w:sz w:val="20"/>
        </w:rPr>
        <w:t xml:space="preserve">Our operations involve the storage and transmission of data of our customers and their customers, including personal data. Our storage is typically the sole source of record for portions of our customers’ businesses and end user data, such as initial contact information and online interactions. While we have security measures in place designed to protect our production and development environments and other systems, maintain the integrity of customer, company, and employee information, and prevent data loss, misappropriation and other security incidents and breaches, there can be no assurance that such security measures will be effective,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security incidents or data breaches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or those of our service providers, are compromised as a result of third-party action, employee, vendor or customer error or wrongful conduct, malfeasance, stolen or fraudulently obtained log-in credentials or otherwise, our reputation could be damaged, our business may be harmed and we could incur significant liability. Additionally,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or our service providers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our employees with limited access restricted via just-in-time-access controls and least privilege access models to our databases, which store our customer data, and to our APIs to facilitate our rapid pace of product development and to support our customers. If such access, unauthorized access or our own operations, cause damage, destruction or loss (including, without limitation, because of actions by a bad actor, attempts to exfiltrate customer data which attempts we have experienced in the past and could experience in the future), our systems being compromised or unintentional or accidental disclosure, or destruction of our customers’ business data, their sales, lead generation, support and other business operations may be permanently harmed. As a result, our customers may bring claims against us for lost profits and other damages, or such concerns may cause us to further limit access by our development team. Additionally, in certain of our subscription agreements with our customers, we agree to indemnify these customers against claims by a third party alleging our breach of confidentiality obligations or our misuse of customer data in violation of the subscription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Cyber-attacks, denial-of-service attacks, ransomware attacks, supply chain attacks, business email compromises, computer malware, viruses, wrongful intrusions, data breaches social engineering (including phishing), and other compromises are prevalent in our industry, the industries of certain of our service providers and our customers' industries. Like other companies in our industry, we and our third-party vendors have in the past experienced threats and security incidents related to our data and systems, and we may in the future experience other threats, compromises, breaches, or incidents. Attempts to disrupt or gain unauthorized access to our and our third-party vendors’ information systems from malicious third parties or insider threats may incorporate widely varying and frequently changing tactics, which may be enhanced or facilitated by AI. Our internal computer systems and those of our current and any future strategic collaborators, vendors, and other contractors or consultants are vulnerable to damage from cyber-attacks, attacks enhanced or facilitated by AI, computer viruses, unauthorized access, natural disasters, cybersecurity threats, terrorism, geopolitical conflict, war and telecommunication and electrical failures. Accordingly, if our cybersecurity measures or those of our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 Cyber incidents have been increasing in sophistication and frequency and can include third parties gaining access to employee or customer data using stolen or inferred credentials, computer malware, viruses, spamming, phishing attacks, ransomware, vulnerabilities in first- or third-party code, card skimming code, and other deliberate attacks and attempts to gain unauthorized access. These attacks and activities are also being facilitated or enhanced by evolving technologies, including AI. This risk is increased by the difficulty of balancing rapid vulnerability patching and system availability in a large and rapidly-changing production environment. At times, we may be unable to patch all of our systems in a manner that strictly adheres to our internally prescribed timelines.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Because the techniques used by threat actors who may attempt to penetrate and sabotage our computer systems change frequently and may not be recognized until launched against a target, we may be unable to anticipate these techniques. Additionally, with the expansion of remote work and resource access, there is an increased risk that we may experience cybersecurity-related events such as phishing attacks, exploitation of any cybersecurity flaws that may exist, an increase in the number of cybersecurity threats or attacks, and other security challenges as a result of most of our employees and our service providers continuing to work remotely from non-corporate managed networks. There is also a risk of potential increase in such attacks due to cyberwarfare in connection with the ongoing global conflicts, such as the conflict in Iran, the Russia-Ukraine conflict, the Israel-Hamas conflict, and recent events in Venezuela, which could adversely affect our and our suppliers' ability to maintain or enhance key cybersecurity and data protection measures. We believe we have previously been, and may in the future become, the target of cyber-attacks, incidents, or compromises by third parties seeking unauthorized access to our or our customers' data, systems, or infrastructure, or to disrupt our operations or ability to provide our services.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it is also possible that unauthorized access to sensitive customer and business data may be obtained through inadequate use of security controls by our customers, suppliers or other vendors, using social engineering to cause an employee or contractor to install malware or exploiting known vulnerabilities. Like other businesses, we rely on hardware and software supplied by third parties and, therefore, are susceptible to supply chain attacks. Such attacks are becoming increasingly common, and we may not be able to anticipate and prevent negative impacts from such an attack. If we are impacted by a supply chain attack, we could incur liability, our competitive position could be harmed and the further development and commercialization of our product and services could be hindered or delayed.</w:t>
      </w:r>
    </w:p>
    <w:p>
      <w:pPr>
        <w:pStyle w:val="TextBody"/>
        <w:bidi w:val="0"/>
        <w:jc w:val="left"/>
        <w:rPr>
          <w:rFonts w:ascii="Times New Roman" w:hAnsi="Times New Roman"/>
          <w:color w:val="000000"/>
          <w:sz w:val="20"/>
        </w:rPr>
      </w:pPr>
      <w:r>
        <w:rPr>
          <w:rFonts w:ascii="Times New Roman" w:hAnsi="Times New Roman"/>
          <w:color w:val="000000"/>
          <w:sz w:val="20"/>
        </w:rPr>
        <w:t>Recent cybersecurity incidents and compromises affecting large institutions, including an incident that affected us in 2024, suggest that the risk of such events is significant, even if privacy protection and security measures are implemented and enforced. A cyber-attack, incident, or compromise could result in a material disruption of our development programs and our business operations, whether due to a loss of our trade secrets or other proprietary information or other disruptions. These cyber-attacks could be carried out by threat actors of all types (including but not limited to nation states, organized crime, other criminal enterprises, individual actors, malicious insiders, and/or advanced persistent threat groups). In addition, we may experience intrusions on our physical premises by any of these threat actors. To the extent that any compromise, disruption or security breach were to result in a loss of, or damage to, our data or applications, or inappropriate disclosure of confidential or proprietary information, we could incur liability, incur significant costs associated with remediation and the implementation of additional security measures, including costs to deploy additional personnel and protection technologies, train employees, and engage third-party experts and consultants, and our competitive position could be harmed. Any breach, loss, or compromise of personal data may also subject us to civil fines and penalties, or claims for damages either under the General Data Protection Regulation (the “EU GDPR”), the EU GDPR as incorporated into United Kingdom law, and relevant member state law in the European Union, other foreign laws, and other relevant state and federal privacy laws in the United States.</w:t>
      </w:r>
    </w:p>
    <w:p>
      <w:pPr>
        <w:pStyle w:val="TextBody"/>
        <w:bidi w:val="0"/>
        <w:jc w:val="left"/>
        <w:rPr>
          <w:rFonts w:ascii="Times New Roman" w:hAnsi="Times New Roman"/>
          <w:color w:val="000000"/>
          <w:sz w:val="20"/>
        </w:rPr>
      </w:pPr>
      <w:r>
        <w:rPr>
          <w:rFonts w:ascii="Times New Roman" w:hAnsi="Times New Roman"/>
          <w:color w:val="000000"/>
          <w:sz w:val="20"/>
        </w:rPr>
        <w:t>Many governments have enacted laws requiring companies to notify individuals of security incidents, including unauthorized access and transfers of certain types of personal data. In addition, the data processing agreement we execute with our customers contractually requires us to notify them of any personal data breach. Under payment card network rules and our contracts with our payment processors, if there is a data breach of payment resulting in the compromise of cardholder payment information that is stored by our direct payment card processing vendors, we could be liable to the payment card issuing banks for their cost of issuing new cards and related expenses depending on the cause of such data breach. Data breaches and other data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pStyle w:val="TextBody"/>
        <w:bidi w:val="0"/>
        <w:jc w:val="left"/>
        <w:rPr>
          <w:rFonts w:ascii="Times New Roman" w:hAnsi="Times New Roman"/>
          <w:color w:val="000000"/>
          <w:sz w:val="20"/>
        </w:rPr>
      </w:pPr>
      <w:r>
        <w:rPr>
          <w:rFonts w:ascii="Times New Roman" w:hAnsi="Times New Roman"/>
          <w:color w:val="000000"/>
          <w:sz w:val="20"/>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insurance coverage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jc w:val="left"/>
        <w:rPr>
          <w:rFonts w:ascii="Times New Roman" w:hAnsi="Times New Roman"/>
          <w:b/>
          <w:i/>
          <w:color w:val="000000"/>
          <w:sz w:val="20"/>
        </w:rPr>
      </w:pPr>
      <w:r>
        <w:rPr>
          <w:rFonts w:ascii="Times New Roman" w:hAnsi="Times New Roman"/>
          <w:b/>
          <w:i/>
          <w:color w:val="000000"/>
          <w:sz w:val="20"/>
        </w:rPr>
        <w:br/>
        <w:t>Our business may suffer if it is alleged or determined that our technology infringes the intellectual property rights of others.</w:t>
      </w:r>
    </w:p>
    <w:p>
      <w:pPr>
        <w:pStyle w:val="TextBody"/>
        <w:bidi w:val="0"/>
        <w:jc w:val="left"/>
        <w:rPr>
          <w:rFonts w:ascii="Times New Roman" w:hAnsi="Times New Roman"/>
          <w:color w:val="000000"/>
          <w:sz w:val="20"/>
        </w:rPr>
      </w:pPr>
      <w:r>
        <w:rPr>
          <w:rFonts w:ascii="Times New Roman" w:hAnsi="Times New Roman"/>
          <w:color w:val="000000"/>
          <w:sz w:val="20"/>
        </w:rPr>
        <w:t xml:space="preserve">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time-consuming, costly to defend in litigation, divert management’s attention and resources, damage our reputation and brand and cause us to incur significant expenses. Our technologies may not be able to withstand any third-party claims against their use. Claims of intellectual property infringement, even those without merit, could require us to redesign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customer platform if they are concerned that they may infringe third-party intellectual property rights. The occurrence of any of these events may have a material adverse effect on our business.</w:t>
      </w:r>
    </w:p>
    <w:p>
      <w:pPr>
        <w:pStyle w:val="TextBody"/>
        <w:bidi w:val="0"/>
        <w:jc w:val="left"/>
        <w:rPr>
          <w:rFonts w:ascii="Times New Roman" w:hAnsi="Times New Roman"/>
          <w:color w:val="000000"/>
          <w:sz w:val="20"/>
        </w:rPr>
      </w:pPr>
      <w:r>
        <w:rPr>
          <w:rFonts w:ascii="Times New Roman" w:hAnsi="Times New Roman"/>
          <w:color w:val="000000"/>
          <w:sz w:val="20"/>
        </w:rPr>
        <w:t>In our subscription agreements with customers, we agree to indemnify them against claims by a third party alleging infringement of a valid patent, registered copyright or registered trademark. Customers can also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adequately protect our proprietary rights, in the United States and abroad, our competitive position could be impaired and we may lose valuable assets, experience reduced revenue and incur costly litigation to protect our rights.</w:t>
      </w:r>
    </w:p>
    <w:p>
      <w:pPr>
        <w:pStyle w:val="TextBody"/>
        <w:bidi w:val="0"/>
        <w:jc w:val="left"/>
        <w:rPr>
          <w:rFonts w:ascii="Times New Roman" w:hAnsi="Times New Roman"/>
          <w:color w:val="000000"/>
          <w:sz w:val="20"/>
        </w:rPr>
      </w:pPr>
      <w:r>
        <w:rPr>
          <w:rFonts w:ascii="Times New Roman" w:hAnsi="Times New Roman"/>
          <w:color w:val="000000"/>
          <w:sz w:val="20"/>
        </w:rPr>
        <w:t>Our success is dependent, in part, upon protecting our proprietary technology. We rely on a combination of patents,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Additionally, the intellectual property ownership and license rights surrounding AI technologies, which we are increasingly building into our product offerings, have not been fully addressed by U.S. courts or other federal, state or international laws or regulations, and the use or adoption of AI technologies in our products and services may expose us to claims of copyright infringement or other intellectual property infringement or misappropriation, violation of applicable laws or regulations, or breach of contractual obligations to which we are or may become subject.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pStyle w:val="TextBody"/>
        <w:bidi w:val="0"/>
        <w:jc w:val="left"/>
        <w:rPr>
          <w:rFonts w:ascii="Times New Roman" w:hAnsi="Times New Roman"/>
          <w:color w:val="000000"/>
          <w:sz w:val="20"/>
        </w:rPr>
      </w:pPr>
      <w:r>
        <w:rPr>
          <w:rFonts w:ascii="Times New Roman" w:hAnsi="Times New Roman"/>
          <w:color w:val="000000"/>
          <w:sz w:val="20"/>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pStyle w:val="TextBody"/>
        <w:bidi w:val="0"/>
        <w:jc w:val="left"/>
        <w:rPr>
          <w:rFonts w:ascii="Times New Roman" w:hAnsi="Times New Roman"/>
          <w:color w:val="000000"/>
          <w:sz w:val="20"/>
        </w:rPr>
      </w:pPr>
      <w:r>
        <w:rPr>
          <w:rFonts w:ascii="Times New Roman" w:hAnsi="Times New Roman"/>
          <w:color w:val="000000"/>
          <w:sz w:val="20"/>
        </w:rPr>
        <w:t>We may be required to spend significant resources to monitor and protect our intellectual property rights. Litigation may be necessary in the future to enforce our intellectual property rights and to protect our trade secrets. Such litigation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pStyle w:val="TextBody"/>
        <w:bidi w:val="0"/>
        <w:jc w:val="left"/>
        <w:rPr>
          <w:rFonts w:ascii="Times New Roman" w:hAnsi="Times New Roman"/>
          <w:b/>
          <w:i/>
          <w:color w:val="000000"/>
          <w:sz w:val="20"/>
        </w:rPr>
      </w:pPr>
      <w:r>
        <w:rPr>
          <w:rFonts w:ascii="Times New Roman" w:hAnsi="Times New Roman"/>
          <w:b/>
          <w:i/>
          <w:color w:val="000000"/>
          <w:sz w:val="20"/>
        </w:rPr>
        <w:t>Our use of “open source” software could negatively affect our ability to offer our platform and subject us to possible litigation.</w:t>
      </w:r>
    </w:p>
    <w:p>
      <w:pPr>
        <w:pStyle w:val="TextBody"/>
        <w:bidi w:val="0"/>
        <w:jc w:val="left"/>
        <w:rPr>
          <w:rFonts w:ascii="Times New Roman" w:hAnsi="Times New Roman"/>
          <w:color w:val="000000"/>
          <w:sz w:val="20"/>
        </w:rPr>
      </w:pPr>
      <w:r>
        <w:rPr>
          <w:rFonts w:ascii="Times New Roman" w:hAnsi="Times New Roman"/>
          <w:color w:val="000000"/>
          <w:sz w:val="20"/>
        </w:rPr>
        <w:t xml:space="preserve">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pStyle w:val="TextBody"/>
        <w:bidi w:val="0"/>
        <w:jc w:val="left"/>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business lines, and thereby decrease our revenue.</w:t>
      </w:r>
    </w:p>
    <w:p>
      <w:pPr>
        <w:pStyle w:val="TextBody"/>
        <w:bidi w:val="0"/>
        <w:jc w:val="left"/>
        <w:rPr>
          <w:rFonts w:ascii="Times New Roman" w:hAnsi="Times New Roman"/>
          <w:color w:val="000000"/>
          <w:sz w:val="20"/>
        </w:rPr>
      </w:pPr>
      <w:r>
        <w:rPr>
          <w:rFonts w:ascii="Times New Roman" w:hAnsi="Times New Roman"/>
          <w:color w:val="000000"/>
          <w:sz w:val="20"/>
        </w:rPr>
        <w:t>Our handling of data across our products and services is subject to a variety of laws and regulations, including regulation by various government agencies, including the U.S. Federal Trade Commission ("FTC"), and various state, local and foreign agencies. We collect personal data and other data from our customers, prospects, partners, third-party providers and publicly available sources. We also handle personal data about our customers’ customers. We use this information to provide services to our customers, to support, expand and improve our business. We may also share customers’ personal data with third parties as authorized by the customer or as described in our privacy policy.</w:t>
      </w:r>
    </w:p>
    <w:p>
      <w:pPr>
        <w:pStyle w:val="TextBody"/>
        <w:bidi w:val="0"/>
        <w:jc w:val="left"/>
        <w:rPr>
          <w:rFonts w:ascii="Times New Roman" w:hAnsi="Times New Roman"/>
          <w:color w:val="000000"/>
          <w:sz w:val="20"/>
        </w:rPr>
      </w:pPr>
      <w:r>
        <w:rPr>
          <w:rFonts w:ascii="Times New Roman" w:hAnsi="Times New Roman"/>
          <w:color w:val="000000"/>
          <w:sz w:val="20"/>
        </w:rPr>
        <w:t>The U.S. federal and various state and foreign governments have adopted or proposed limitations on the collection, processing, distribution, use, storage and safeguarding of personal data. In the U.S., the FTC and many state attorneys general are applying federal and state privacy and consumer protection laws to impose standards for the online collection, use and dissemination of personal and other data. However, these obligations may be interpreted and applied in a manner that is inconsistent from one jurisdiction to another and may conflict with other requirements or our practices. Any failure or perceived failure by us to comply with privacy or data security laws, policies, legal obligations or industry standards or any security incident that results in the unauthorized, disclosure, release or transfer of personal data or other customer data may result in governmental enforcement actions, litigation, fines and penalties and/or adverse publicity, and could cause our customers to lose trust in us, which could have an adverse effect on our reputation and business.</w:t>
      </w:r>
    </w:p>
    <w:p>
      <w:pPr>
        <w:pStyle w:val="TextBody"/>
        <w:bidi w:val="0"/>
        <w:jc w:val="left"/>
        <w:rPr>
          <w:rFonts w:ascii="Times New Roman" w:hAnsi="Times New Roman"/>
          <w:color w:val="000000"/>
          <w:sz w:val="20"/>
        </w:rPr>
      </w:pPr>
      <w:r>
        <w:rPr>
          <w:rFonts w:ascii="Times New Roman" w:hAnsi="Times New Roman"/>
          <w:color w:val="000000"/>
          <w:sz w:val="20"/>
        </w:rPr>
        <w:t>Laws and regulations governing privacy, data protection, cybersecurity, and online safety are rapidly evolving, and changes to such laws and regulations could require us to change features of our platform or restrict our customers’ ability to collect and use email addresses, page viewing data and other personal data, which may reduce demand for our platform or inhibit our improvement and development of our platform or its features, including AI models. Our failure to comply with federal, state and foreign privacy and cybersecurity laws and regulations could harm our ability to successfully operate our business and pursue our business goals.</w:t>
      </w:r>
    </w:p>
    <w:p>
      <w:pPr>
        <w:pStyle w:val="TextBody"/>
        <w:bidi w:val="0"/>
        <w:jc w:val="left"/>
        <w:rPr>
          <w:rFonts w:ascii="Times New Roman" w:hAnsi="Times New Roman"/>
          <w:color w:val="000000"/>
          <w:sz w:val="20"/>
        </w:rPr>
      </w:pPr>
      <w:r>
        <w:rPr>
          <w:rFonts w:ascii="Times New Roman" w:hAnsi="Times New Roman"/>
          <w:color w:val="000000"/>
          <w:sz w:val="20"/>
        </w:rPr>
        <w:t>For example, the California Consumer Privacy Act, as amended by the California Privacy Rights Act (collectively, the “CCPA”), among other things, requires covered companies to provide disclosures to California residents and afford such individuals the ability to opt out of the sales or sharing of their personal data. New and proposed regulations implementing the CCPA continue to evolve the standards of protection required by the CCPA. In addition to increasing our potential exposure to regulatory enforcement, the CCPA also provides for violations and a limited private right of action, which may increase our exposure to civil litigation.</w:t>
      </w:r>
    </w:p>
    <w:p>
      <w:pPr>
        <w:pStyle w:val="TextBody"/>
        <w:bidi w:val="0"/>
        <w:jc w:val="left"/>
        <w:rPr>
          <w:rFonts w:ascii="Times New Roman" w:hAnsi="Times New Roman"/>
          <w:color w:val="000000"/>
          <w:sz w:val="20"/>
        </w:rPr>
      </w:pPr>
      <w:r>
        <w:rPr>
          <w:rFonts w:ascii="Times New Roman" w:hAnsi="Times New Roman"/>
          <w:color w:val="000000"/>
          <w:sz w:val="20"/>
        </w:rPr>
        <w:t>Recently, plaintiffs’ attorneys have initiated a wave of demand letters, claims and class action lawsuits alleging companies’ use of online trackers, such as cookies and pixels, constitutes a violation of state wiretapping laws, primarily the California Invasion of Privacy Act (“CIPA”). Plaintiffs’ attorneys have also expanded their claims and threatened claims to other privacy-related statutes that provide for private rights of action, including statutes governing text messaging and other commercial communications. So far, most of these claims have settled outside the courthouse, though a risk of costly litigation now exists for business practices that are common. We have been subject to these actions and may become subject to additional such actions in the future.</w:t>
      </w:r>
    </w:p>
    <w:p>
      <w:pPr>
        <w:pStyle w:val="TextBody"/>
        <w:bidi w:val="0"/>
        <w:jc w:val="left"/>
        <w:rPr>
          <w:rFonts w:ascii="Times New Roman" w:hAnsi="Times New Roman"/>
          <w:color w:val="000000"/>
          <w:sz w:val="20"/>
        </w:rPr>
      </w:pPr>
      <w:r>
        <w:rPr>
          <w:rFonts w:ascii="Times New Roman" w:hAnsi="Times New Roman"/>
          <w:color w:val="000000"/>
          <w:sz w:val="20"/>
        </w:rPr>
        <w:t xml:space="preserve">The landscape of privacy and cybersecurity regulation in the U.S. is increasingly complex. Numerous states have passed comprehensive privacy and data security laws, which impose obligations on covered businesses similar – but not identical – to those under the CCPA, and some states have passed privacy and cybersecurity laws governing specific sectors, technologies, or categories of personal data, such as laws regulating health data, children’s data, and online chatbots. Many of those states have also passed – or proposed to pass – laws and regulations that amend the standard of protection required by such laws. A number of other states have proposed similar privacy legislation, and the U.S. Congress has considered – and may reintroduce – federal privacy and cybersecurity legislation that may or may not preempt some or all of such U.S. state privacy laws, and may provide a private right of action. Through executive and legislative action, the federal government has also taken steps to restrict data transactions involving persons affiliated with China, Russia, Venezuela, Iran, and other countries of concern. For example, the Department of Justice January 8, 2025 rule on "Preventing Access to U.S. Sensitive Personal Data and Government-Related Data by Countries of Concern or Covered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Persons,” prohibits the sharing of certain sensitive personal data categories to countries of concern. The regulations also restrict certain investment agreements, employment agreements and vendor agreements involving such data and countries of concern, absent specified cybersecurity controls. Actual or alleged violations of these regulations are punishable by criminal and/or civil sanctions. The evolving complexity of privacy and data security legislation in the U.S. may complicate our compliance efforts and further increase our risk of regulatory enforcement, penalties and litigation.</w:t>
      </w:r>
    </w:p>
    <w:p>
      <w:pPr>
        <w:pStyle w:val="TextBody"/>
        <w:bidi w:val="0"/>
        <w:jc w:val="left"/>
        <w:rPr>
          <w:rFonts w:ascii="Times New Roman" w:hAnsi="Times New Roman"/>
          <w:color w:val="000000"/>
          <w:sz w:val="20"/>
        </w:rPr>
      </w:pPr>
      <w:r>
        <w:rPr>
          <w:rFonts w:ascii="Times New Roman" w:hAnsi="Times New Roman"/>
          <w:color w:val="000000"/>
          <w:sz w:val="20"/>
        </w:rPr>
        <w:t>In addition, many foreign jurisdictions in which we do business, including the European Union, Japan, United Kingdom, Canada, Australia, and others have laws and regulations dealing with the collection and use of personal data obtained from their residents, which are more restrictive in certain respects than those in the U.S. Laws and regulations in these jurisdictions apply broadly to the collection, use, storage, disclosure and security of personal data that identifies or may be used to identify an individual. In relevant part, these foreign laws and regulations may affect our ability to engage in lead generation activities by imposing heightened requirements, such as affirmative opt-ins or other consent prior to sending commercial correspondence, obtaining leads or engaging in electronic tracking activities that aid our marketing and business intelligence. We may be required to modify our policies, procedures, and data processing measures in order to address requirements under these or other privacy, data protection, or cyber security regimes, and may face claims, litigation, investigations, or other proceedings regarding them and may incur related liabilities, expenses, costs, and operational losses.</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operation of some of our business lines, such as business intelligence and AI services, we collect, process and share personal data, such as business contact information or other personal data individuals make available in their professional capacity. We may be subject to additional requirements under privacy and data protection laws that could lead to additional compliance costs, regulatory scrutiny, claims, and reputational risks that may affect our business. For example, we may be required to send notifications to individuals and respond to higher volumes of data privacy requests, which may require substantial costs and expenses, or reduce the potential value of our business intelligence services. We may also receive data from third-party vendors (e.g., data brokers) in connection with such services. While we have implemented certain contractual measures with such vendors to protect our interests, we are ultimately unable to verify with complete certainty the source of such data, how it was received, and that such information was collected and is being shared with us in compliance with all applicable data privacy laws. Furthermore, the uncertain and shifting regulatory environment and trust climate may cause concerns regarding data privacy and may cause our vendors, customers, users, or our customers’ customers to decline to provide the data necessary to allow us to offer some of our services to our customers and users effectively, or could prompt individuals to opt out of our collection of their personal data. Concern regarding our use of the personal data collected when performing our services could keep prospective customers from subscribing to our services. </w:t>
      </w:r>
    </w:p>
    <w:p>
      <w:pPr>
        <w:pStyle w:val="TextBody"/>
        <w:bidi w:val="0"/>
        <w:jc w:val="left"/>
        <w:rPr>
          <w:rFonts w:ascii="Times New Roman" w:hAnsi="Times New Roman"/>
          <w:color w:val="000000"/>
          <w:sz w:val="20"/>
        </w:rPr>
      </w:pPr>
      <w:r>
        <w:rPr>
          <w:rFonts w:ascii="Times New Roman" w:hAnsi="Times New Roman"/>
          <w:color w:val="000000"/>
          <w:sz w:val="20"/>
        </w:rPr>
        <w:t>Within the European Union, the EU GDPR, and in the United Kingdom, the EU GDPR as incorporated into the laws of the United Kingdom ("UK") (the “UK GDPR” together with the EU GDPR, the “GDPR”), impose heightened obligations and risk upon our business and substantially increases the penalties to which we could be subject in the event of any non-compliance. Non-compliance with the GDPR and the related national data protection laws of the European Union Member States may result in monetary penalties of up to €20 million (£17.5 million) or 4% of worldwide annual revenue, whichever is higher.</w:t>
      </w:r>
    </w:p>
    <w:p>
      <w:pPr>
        <w:pStyle w:val="TextBody"/>
        <w:bidi w:val="0"/>
        <w:jc w:val="left"/>
        <w:rPr>
          <w:rFonts w:ascii="Times New Roman" w:hAnsi="Times New Roman"/>
          <w:color w:val="000000"/>
          <w:sz w:val="20"/>
        </w:rPr>
      </w:pPr>
      <w:r>
        <w:rPr>
          <w:rFonts w:ascii="Times New Roman" w:hAnsi="Times New Roman"/>
          <w:color w:val="000000"/>
          <w:sz w:val="20"/>
        </w:rPr>
        <w:t>The proliferation of privacy and data protection laws has heightened risks and uncertainties concerning cross-border transfers of personal data and other data, which could impose significant compliance costs and expenses on our business, increase our potential exposure to regulatory enforcement and/or litigation, and have a negative effect on our existing business and on our ability to attract and retain new customers. To enable the transfer of personal data outside of the European Union or United Kingdom, adequate safeguards must be implemented in compliance with data protection laws. On June 4, 2021, the European Commission published new versions of its Standard Contractual Clauses (“SCCs”), which are required for all transfers of personal data from the European Union to third countries (including the U.S). The United Kingdom is not subject to the new SCCs but has its own equivalent, being the international data transfer agreement and/or UK Addendum (“IDTAs”). Our customer agreements include the updated SCCs and UK IDTAs. Under the new SCCs and IDTAs, companies are also required to assess the risk of a data transfer on a case-by-case basis by undertaking a transfer impact assessment, and may be required to adopt additional measures to accomplish transfers of personal data to the United States and other third countries. There continue to be concerns about whether the SCCs will face additional challenges.</w:t>
      </w:r>
    </w:p>
    <w:p>
      <w:pPr>
        <w:pStyle w:val="TextBody"/>
        <w:bidi w:val="0"/>
        <w:jc w:val="left"/>
        <w:rPr>
          <w:rFonts w:ascii="Times New Roman" w:hAnsi="Times New Roman"/>
          <w:color w:val="000000"/>
          <w:sz w:val="20"/>
        </w:rPr>
      </w:pPr>
      <w:r>
        <w:rPr>
          <w:rFonts w:ascii="Times New Roman" w:hAnsi="Times New Roman"/>
          <w:color w:val="000000"/>
          <w:sz w:val="20"/>
        </w:rPr>
        <w:t>On July 10, 2023, the European Commission approved the EU-U.S. Data Privacy Framework (“DPF”) to support transfers of personal data from the EU to companies in the U.S. Because we have maintained our certification under the previously invalidated Privacy Shield, we have now automatically become subject to the DPF and are required to maintain policies and procedures to comply with the DPF principles. We may be subject to regulatory enforcement by the FTC if we are found to be noncompliant with any of the DPF principles, and this regulatory enforcement may lead to significant civil penalties.</w:t>
      </w:r>
    </w:p>
    <w:p>
      <w:pPr>
        <w:pStyle w:val="TextBody"/>
        <w:bidi w:val="0"/>
        <w:jc w:val="left"/>
        <w:rPr>
          <w:rFonts w:ascii="Times New Roman" w:hAnsi="Times New Roman"/>
          <w:color w:val="000000"/>
          <w:sz w:val="20"/>
        </w:rPr>
      </w:pPr>
      <w:r>
        <w:rPr>
          <w:rFonts w:ascii="Times New Roman" w:hAnsi="Times New Roman"/>
          <w:color w:val="000000"/>
          <w:sz w:val="20"/>
        </w:rPr>
        <w:t>Until the remaining legal uncertainties regarding SCCs, DPF and other transfer mechanisms are settled, we will continue to face uncertainty as to whether our customers will be permitted to transfer personal data to the United States for processing by us as part of our platform services. Our customers may view data transfer mechanisms as being too costly, too burdensome, too legally uncertain or otherwise objectionable and therefore decide not to do business with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publicly post documentation regarding our practices concerning the collection, processing, use and disclosure of data. Although we endeavor to comply with our published policies and documentation, we may at times fail to do so or be alleged to have failed to do so. Any failure or perceived failure by us to comply with our privacy policies or any applicable privacy, security or data protection, information security or consumer-protection related laws, regulations, orders or industry standards could expose us to costly litigation, significant awards, fines or judgments, civil and/or criminal penalties or negative publicity, and could materially and adversely affect our business, financial condition and results of operations. The publication of our privacy policy and other documentation that provide promises and assurances about privacy and security can subject us to potential state and federal action if they are found to be deceptive, unfair, or misrepresentative of our actual practices, which could, individually or in the aggregate, materially and adversely affect our business,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data or our ability to store, process and share personal data, demand for our solutions could decrease, our costs could increase, and our business, results of operations and financial condition could be harmed.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use of new and evolving technologies, such as AI,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pStyle w:val="TextBody"/>
        <w:bidi w:val="0"/>
        <w:jc w:val="left"/>
        <w:rPr>
          <w:rFonts w:ascii="Times New Roman" w:hAnsi="Times New Roman"/>
          <w:color w:val="000000"/>
          <w:sz w:val="20"/>
        </w:rPr>
      </w:pPr>
      <w:r>
        <w:rPr>
          <w:rFonts w:ascii="Times New Roman" w:hAnsi="Times New Roman"/>
          <w:color w:val="000000"/>
          <w:sz w:val="20"/>
        </w:rPr>
        <w:t>We currently use and integrate AI technologies into our business processes and services. Development, use, and deployment of these technologies could pose cybersecurity, data privacy, IT, intellectual property, regulatory, legal, operational, competitive, reputational, and other risks and challenges that could affect our business. Specifically, risks related to bias, AI hallucinations, discrimination, harmful content, misinformation, fraud, scams, targeted attacks such as model poisoning or data poisoning, surveillance, data leakage, loss of consensus reality, inequality, environmental harms, and other harms may flow from our development, use, or deployment of AI technologies. If we enable or use solutions that draw controversy due to perceived or actual negative societal impact or otherwise cause harm, we may experience brand or reputational harm, competitive harm, legal liability, and defensive costs and expenses.</w:t>
      </w:r>
    </w:p>
    <w:p>
      <w:pPr>
        <w:pStyle w:val="TextBody"/>
        <w:bidi w:val="0"/>
        <w:jc w:val="left"/>
        <w:rPr>
          <w:rFonts w:ascii="Times New Roman" w:hAnsi="Times New Roman"/>
          <w:color w:val="000000"/>
          <w:sz w:val="20"/>
        </w:rPr>
      </w:pPr>
      <w:r>
        <w:rPr>
          <w:rFonts w:ascii="Times New Roman" w:hAnsi="Times New Roman"/>
          <w:color w:val="000000"/>
          <w:sz w:val="20"/>
        </w:rPr>
        <w:t xml:space="preserve">A growing number of legislators and regulators are adopting laws and regulations addressing, and have focused enforcement efforts on the development and adoption of AI technologies and use of such technologies in compliance with ethical standards and societal expectations. Several states have enacted laws regulating various uses of AI, ranging from automated or consequential decision-making to requiring companies to disclose the sources of data used to train AI technologies, among other requirements. For example, AI laws in California and Texas took effect in 2026, and Colorado enacted a comprehensive AI law that was subsequently amended to narrow its scope and delay its effective date to January 1, 2027. In addition, U.S. states and the federal government have a wide variety of measures to regulate various facets of AI development, deployment, and use in recent years, and it is possible that new laws and regulations will be adopted in the near future, or that existing laws and regulations may be interpreted in ways that would affect our business and the ways in which we and our customers use our AI technologies, our financial condition and our results of operations, including as a result of the cost to comply with such laws or regulations. The Trump Administration has endorsed a federal moratorium on the enforcement of certain state AI laws, including through a December 11, 2025 Executive Order on “Ensuring a National Policy Framework for Artificial Intelligence.” On March 20, 2026 the Trump Administration also issued a National Policy Framework setting forth non-binding policy priorities for federal AI regulation. So far, these efforts have not been successful in curtailing state action on AI regulation, contributing to a complicated legislative patchwork, which may be litigated in state and federal courts.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Outside the U.S., lawmaking and regulation relating to AI is proceeding at a similar pace. In Europe, for example, the EU’s Artificial Intelligence Act (“AI Act”) entered into force on August 1, 2024 and applies on a phased basis, with certain provisions already in effect. In May 2026, EU institutions reached agreement on a Digital Omnibus package that, among other things, defers the application of certain obligations for high-risk AI systems, with such obligations now expected to apply from December 2, 2027, for stand-alone high-risk systems and from August 2, 2028. for AI embedded in certain regulated products. The implementation timeline and scope of the AI Act remain subject to further change. This legislation imposes significant obligations on providers and deployers of high-risk AI systems, and encourages providers and deployers of AI systems to account for EU ethical principles in their development and use of these systems. As we continue to develop and use AI systems, which may be governed by the AI Act or other emerging regulations, we may be required to ensure higher standards of data quality, transparency, and human oversight, as well as adhere to specific ethical, accountability, and administrative requirements, some of which may increase our costs and compliance obligations. Further, potential government regulation related to AI use and ethics may also increase the cost of research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development in this area, and failure to properly remediate AI usage or ethics issues may cause public confidence in AI to be undermined, which could slow adoption of AI in our products and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rapid evolution of AI technologies and regulatory frameworks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The use of certain AI technologies can also give rise to intellectual property risks, including the disclosure or compromise of our confidential information or other proprietary intellectual property through the use of agentic and generative AI tools, or the ability to assert or defend ownership rights in intellectual property created with the use of agentic and generative AI tools.</w:t>
      </w:r>
    </w:p>
    <w:p>
      <w:pPr>
        <w:pStyle w:val="TextBody"/>
        <w:bidi w:val="0"/>
        <w:jc w:val="left"/>
        <w:rPr>
          <w:rFonts w:ascii="Times New Roman" w:hAnsi="Times New Roman"/>
          <w:color w:val="000000"/>
          <w:sz w:val="20"/>
        </w:rPr>
      </w:pPr>
      <w:r>
        <w:rPr>
          <w:rFonts w:ascii="Times New Roman" w:hAnsi="Times New Roman"/>
          <w:color w:val="000000"/>
          <w:sz w:val="20"/>
        </w:rPr>
        <w:t xml:space="preserve">Our vendors have in turn incorporated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Use of generative AI models in our internal or third-party systems may create new attack surfaces or methods for adversaries, which could impact us and our vendors. The integration of AI systems, by us or by our vendors, may increase cybersecurity risk. Any of these effects could damage our reputation, result in the loss of valuable property and information, cause us to breach applicable laws and regulations, and adversely impact our business.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could face liability, or our reputation might be harmed, as a result of the activities of our customers, the content of their websites or the data they store on our servers.</w:t>
      </w:r>
    </w:p>
    <w:p>
      <w:pPr>
        <w:pStyle w:val="TextBody"/>
        <w:bidi w:val="0"/>
        <w:jc w:val="left"/>
        <w:rPr>
          <w:rFonts w:ascii="Times New Roman" w:hAnsi="Times New Roman"/>
          <w:color w:val="000000"/>
          <w:sz w:val="20"/>
        </w:rPr>
      </w:pPr>
      <w:r>
        <w:rPr>
          <w:rFonts w:ascii="Times New Roman" w:hAnsi="Times New Roman"/>
          <w:color w:val="000000"/>
          <w:sz w:val="20"/>
        </w:rPr>
        <w:t>As a provider of a cloud-based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customer platform that may violate our policy on acceptable use which prohibits content that is threatening, abusive, harassing, deceptive, false, misleading, vulgar, obscene, or indecent. While such content may not be illegal, use of our customer platform for such content could harm our reputation resulting in a loss of business.</w:t>
      </w:r>
    </w:p>
    <w:p>
      <w:pPr>
        <w:pStyle w:val="TextBody"/>
        <w:bidi w:val="0"/>
        <w:jc w:val="left"/>
        <w:rPr>
          <w:rFonts w:ascii="Times New Roman" w:hAnsi="Times New Roman"/>
          <w:color w:val="000000"/>
          <w:sz w:val="20"/>
        </w:rPr>
      </w:pPr>
      <w:r>
        <w:rPr>
          <w:rFonts w:ascii="Times New Roman" w:hAnsi="Times New Roman"/>
          <w:color w:val="000000"/>
          <w:sz w:val="20"/>
        </w:rPr>
        <w:t>Several U.S. federal statutes may apply to us with respect to various customer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Digital Millennium Copyright Act of 1998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Communications Decency Act of 1996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CDA, the Securing the Protection of our Enduring and Established Constitutional Heritage Act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our end-to-end payment solution, as well as our Stripe payment processing integration (“Payments”), are both built within Revenue Hub and are susceptible to potentially illegal or improper uses, including money laundering, terrorist financing, fraudulent or illegal sales of goods or services, piracy of software, movies, music, and other copyrighted or trademarked information, bank fraud, securities fraud, pyramid or ponzi schemes, or the facilitation of other illegal or improper activity. While we engage a third party as our registered payment facilitator, the use of Payments for illegal or improper uses may subject us to claims (including claims brought by our third-party payment processor), government and regulatory requests, inquiries, or investigations that could result in liability, and harm our reputation. Moreover, certain activity that may be legal in one jurisdiction may be illegal in another jurisdiction, and a merchant may be found responsible for intentionally or inadvertently importing or exporting illegal goods, resulting in liability for us. Owners of intellectual property rights or government authorities may seek to bring legal action against providers of payments solutions, including Payments, that are peripherally involved in the sale of infringing or allegedly infringing items. Any threatened or resulting claims could result in reputational harm, and any resulting liabilities, loss of transaction volume, or increased costs could harm our business. </w:t>
      </w:r>
    </w:p>
    <w:p>
      <w:pPr>
        <w:pStyle w:val="TextBody"/>
        <w:bidi w:val="0"/>
        <w:jc w:val="left"/>
        <w:rPr>
          <w:rFonts w:ascii="Times New Roman" w:hAnsi="Times New Roman"/>
          <w:color w:val="000000"/>
          <w:sz w:val="20"/>
        </w:rPr>
      </w:pPr>
      <w:r>
        <w:rPr>
          <w:rFonts w:ascii="Times New Roman" w:hAnsi="Times New Roman"/>
          <w:color w:val="000000"/>
          <w:sz w:val="20"/>
        </w:rPr>
        <w:t xml:space="preserve">If Payments is used for illegal or improper uses, we may incur substantial losses as a result of claims from merchants and their buyers, including consumers. Allowances for transaction losses that we have established may be insufficient to cover incurred losses. Moreover, if measures to detect and reduce the risk of fraud are not effective and our loss rate is higher than anticipated, Payments and our business could be negatively impacted. </w:t>
      </w:r>
    </w:p>
    <w:p>
      <w:pPr>
        <w:pStyle w:val="TextBody"/>
        <w:bidi w:val="0"/>
        <w:jc w:val="left"/>
        <w:rPr>
          <w:rFonts w:ascii="Times New Roman" w:hAnsi="Times New Roman"/>
          <w:b/>
          <w:i/>
          <w:color w:val="000000"/>
          <w:sz w:val="20"/>
        </w:rPr>
      </w:pPr>
      <w:r>
        <w:rPr>
          <w:rFonts w:ascii="Times New Roman" w:hAnsi="Times New Roman"/>
          <w:b/>
          <w:i/>
          <w:color w:val="000000"/>
          <w:sz w:val="20"/>
        </w:rPr>
        <w:t>The standards that private entities use to regulate the use of email have in the past interfered with, and may in the future interfere with, the effectiveness of our customer platform and our ability to conduct business.</w:t>
      </w:r>
    </w:p>
    <w:p>
      <w:pPr>
        <w:pStyle w:val="TextBody"/>
        <w:bidi w:val="0"/>
        <w:jc w:val="left"/>
        <w:rPr>
          <w:rFonts w:ascii="Times New Roman" w:hAnsi="Times New Roman"/>
          <w:color w:val="000000"/>
          <w:sz w:val="20"/>
        </w:rPr>
      </w:pPr>
      <w:r>
        <w:rPr>
          <w:rFonts w:ascii="Times New Roman" w:hAnsi="Times New Roman"/>
          <w:color w:val="000000"/>
          <w:sz w:val="20"/>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pStyle w:val="TextBody"/>
        <w:bidi w:val="0"/>
        <w:jc w:val="left"/>
        <w:rPr>
          <w:rFonts w:ascii="Times New Roman" w:hAnsi="Times New Roman"/>
          <w:color w:val="000000"/>
          <w:sz w:val="20"/>
        </w:rPr>
      </w:pPr>
      <w:r>
        <w:rPr>
          <w:rFonts w:ascii="Times New Roman" w:hAnsi="Times New Roman"/>
          <w:color w:val="000000"/>
          <w:sz w:val="20"/>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customer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Existing federal, state and foreign laws regulate Internet tracking software, commercial emails and text messages, website owners and other activities, and could impact the use of our customer platform and potentially subject us to regulatory enforcement or private litigation.</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that protect users’ right to choose whether or not to be tracked online. The entry into force of state law requirements to implement Universal Opt-Out Mechanisms (UOOMs) may require us to adapt our data collection, processing, and retention practices to ensure compliance with evolving privacy regulations. We are actively monitoring these developments and assessing the potential operational and financial impact of implementing the necessary technical and organizational measures to support UOOM functionality across our platforms.</w:t>
      </w:r>
    </w:p>
    <w:p>
      <w:pPr>
        <w:pStyle w:val="TextBody"/>
        <w:bidi w:val="0"/>
        <w:jc w:val="left"/>
        <w:rPr>
          <w:rFonts w:ascii="Times New Roman" w:hAnsi="Times New Roman"/>
          <w:color w:val="000000"/>
          <w:sz w:val="20"/>
        </w:rPr>
      </w:pPr>
      <w:r>
        <w:rPr>
          <w:rFonts w:ascii="Times New Roman" w:hAnsi="Times New Roman"/>
          <w:color w:val="000000"/>
          <w:sz w:val="20"/>
        </w:rPr>
        <w:t xml:space="preserve">Related regulations may restrict the use or disclosure of consumer information without sufficient consent.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third-party websites. These policies could have a significant impact on the operation of our customer platform, impair our attractiveness to customers, and lead to claims or threatened claims, which would harm our business. </w:t>
      </w:r>
    </w:p>
    <w:p>
      <w:pPr>
        <w:pStyle w:val="TextBody"/>
        <w:bidi w:val="0"/>
        <w:jc w:val="left"/>
        <w:rPr>
          <w:rFonts w:ascii="Times New Roman" w:hAnsi="Times New Roman"/>
          <w:color w:val="000000"/>
          <w:sz w:val="20"/>
        </w:rPr>
      </w:pPr>
      <w:r>
        <w:rPr>
          <w:rFonts w:ascii="Times New Roman" w:hAnsi="Times New Roman"/>
          <w:color w:val="000000"/>
          <w:sz w:val="20"/>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customer platform to decrease and adversely impact our financial results.</w:t>
      </w:r>
    </w:p>
    <w:p>
      <w:pPr>
        <w:pStyle w:val="TextBody"/>
        <w:bidi w:val="0"/>
        <w:jc w:val="left"/>
        <w:rPr>
          <w:rFonts w:ascii="Times New Roman" w:hAnsi="Times New Roman"/>
          <w:color w:val="000000"/>
          <w:sz w:val="20"/>
        </w:rPr>
      </w:pPr>
      <w:r>
        <w:rPr>
          <w:rFonts w:ascii="Times New Roman" w:hAnsi="Times New Roman"/>
          <w:color w:val="000000"/>
          <w:sz w:val="20"/>
        </w:rPr>
        <w:t>In addition, the Controlling the Assault of Non-Solicited Pornography and Marketing Act of 2003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customer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pStyle w:val="TextBody"/>
        <w:bidi w:val="0"/>
        <w:jc w:val="left"/>
        <w:rPr>
          <w:rFonts w:ascii="Times New Roman" w:hAnsi="Times New Roman"/>
          <w:color w:val="000000"/>
          <w:sz w:val="20"/>
        </w:rPr>
      </w:pPr>
      <w:r>
        <w:rPr>
          <w:rFonts w:ascii="Times New Roman" w:hAnsi="Times New Roman"/>
          <w:color w:val="000000"/>
          <w:sz w:val="20"/>
        </w:rPr>
        <w:t>While these laws and regulations generally govern our customers’ use of our customer platform, we may be subject to certain laws as a data processor on behalf of, or as a business associate of, our customers. For example, laws and regulations governing the collection, use and disclosure of personal data include, in the United States, rules and regulations promulgated under the authority of the Federal Trade Commission, the Health Insurance Portability and Accountability Act of 1996, the Gramm-Leach-Bliley Act of 1999 and state breach notification laws, and internationally, the GDPR and other privacy and data protection laws.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governmental export controls and economic sanctions laws that could impair our ability to compete in international markets and subject us to liability if we are not in full compliance with applicable laws.</w:t>
      </w:r>
    </w:p>
    <w:p>
      <w:pPr>
        <w:pStyle w:val="TextBody"/>
        <w:bidi w:val="0"/>
        <w:jc w:val="left"/>
        <w:rPr>
          <w:rFonts w:ascii="Times New Roman" w:hAnsi="Times New Roman"/>
          <w:color w:val="000000"/>
          <w:sz w:val="20"/>
        </w:rPr>
      </w:pPr>
      <w:r>
        <w:rPr>
          <w:rFonts w:ascii="Times New Roman" w:hAnsi="Times New Roman"/>
          <w:color w:val="000000"/>
          <w:sz w:val="20"/>
        </w:rPr>
        <w:t>Our business activities are subject to various restrictions under U.S. and other global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license(s), for a particular transaction may be time-consuming, is not guaranteed, and may result in the delay or loss of sales opportunities. Furthermore, export control laws and economic sanctions laws prohibit certain transactions with embargoed or sanctioned countries, governments, persons and entities. These sanctions laws with which we must comply may also change rapidly from time to time as a result of geopolitical events, such as the imposition of sanctions on Russia as a result of the conflict between Russia and Ukraine. Although we take precautions to prevent unlawful transactions and business relationships with sanction targets, the possibility exists that we could inadvertently provide our products and services to persons or entities prohibited by U.S. and other global sanctions regimes. This could result in negative consequences to us, including government investigations, enforcement actions resulting in civil and/or criminal penalties and reputational harm.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b/>
          <w:color w:val="000000"/>
          <w:sz w:val="20"/>
        </w:rPr>
        <w:t>Risks Related to Taxation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additional obligations to collect and remit sales tax and other taxes, and we may be subject to tax liability for past sales, which could harm our business.</w:t>
      </w:r>
    </w:p>
    <w:p>
      <w:pPr>
        <w:pStyle w:val="TextBody"/>
        <w:bidi w:val="0"/>
        <w:jc w:val="left"/>
        <w:rPr>
          <w:rFonts w:ascii="Times New Roman" w:hAnsi="Times New Roman"/>
          <w:color w:val="000000"/>
          <w:sz w:val="20"/>
        </w:rPr>
      </w:pPr>
      <w:r>
        <w:rPr>
          <w:rFonts w:ascii="Times New Roman" w:hAnsi="Times New Roman"/>
          <w:color w:val="000000"/>
          <w:sz w:val="20"/>
        </w:rPr>
        <w:t>State, local, and non-U.S. jurisdictions have differing rules and regulations governing sales, use, value added, digital service, and other taxes, and these rules and regulations are subject to varying interpretations that may change over time. In particular, the applicability of such taxes to our customer platform in various jurisdictions can be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pStyle w:val="TextBody"/>
        <w:bidi w:val="0"/>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could increase the costs of our customer platform and adversely impact our business.</w:t>
      </w:r>
    </w:p>
    <w:p>
      <w:pPr>
        <w:pStyle w:val="TextBody"/>
        <w:bidi w:val="0"/>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For example, on July 4, 2025, tax reform legislation included in the One Big Beautiful Bill Act was enacted in the United States. Key corporate tax provisions include the restoration of 100% bonus depreciation, allowing for the immediate expensing of domestic research and experimental expenditures, changes to Section 163(j) interest limitations, updates to Global Intangible Low-Taxed Income and Foreign-Derived Intangible Income rules, amendments to energy credits, and expanded aggregation requirements for the Section 162(m) limitation on executive compensation. Any new tax laws could adversely affect our current tax position,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Additionally, new, changed, modified or newly interpreted or applied tax laws could increase our customers’ and our compliance, operating and other costs, as well as the costs of our platform. Any or all of these events could adversely impact our business, cash flows and financial performance. Furthermore, as our employees continue to work remotely from geographic locations across the United States and internationally, we may become subject to additional taxes and our compliance burdens with respect to the tax laws of additional jurisdictions may increase.</w:t>
      </w:r>
    </w:p>
    <w:p>
      <w:pPr>
        <w:pStyle w:val="TextBody"/>
        <w:bidi w:val="0"/>
        <w:jc w:val="left"/>
        <w:rPr>
          <w:rFonts w:ascii="Times New Roman" w:hAnsi="Times New Roman"/>
          <w:b/>
          <w:i/>
          <w:color w:val="000000"/>
          <w:sz w:val="20"/>
        </w:rPr>
      </w:pPr>
      <w:r>
        <w:rPr>
          <w:rFonts w:ascii="Times New Roman" w:hAnsi="Times New Roman"/>
          <w:b/>
          <w:i/>
          <w:color w:val="000000"/>
          <w:sz w:val="20"/>
        </w:rPr>
        <w:t>We are a multinational organization faced with increasingly complex tax issues in many jurisdictions, and we could be obligated to pay additional taxes in various jurisdictions.</w:t>
      </w:r>
    </w:p>
    <w:p>
      <w:pPr>
        <w:pStyle w:val="TextBody"/>
        <w:bidi w:val="0"/>
        <w:jc w:val="left"/>
        <w:rPr>
          <w:rFonts w:ascii="Times New Roman" w:hAnsi="Times New Roman"/>
          <w:color w:val="000000"/>
          <w:sz w:val="20"/>
        </w:rPr>
      </w:pPr>
      <w:r>
        <w:rPr>
          <w:rFonts w:ascii="Times New Roman" w:hAnsi="Times New Roman"/>
          <w:color w:val="000000"/>
          <w:sz w:val="20"/>
        </w:rPr>
        <w:t xml:space="preserve">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or challenges to our tax positions by tax authorities, any of which could have a material adverse effect on our liquidity, financial condition or operating results. We also may invest in companies located in jurisdictions outside the United States, and these investments may result in complex U.S. or non-U.S. tax consequences. New global tax developments may have a material impact to our business, cash flows, or financial results. Such developments, may include certain Organization for Economic Co-operation and Development's proposals including the implementation of global minimum tax under the Pillar Two model rules, and the European Commission’s and certain major jurisdictions’ heightened interest in and taxation of companies participating in the digital economy. In January 2026, the OECD introduced new guidance including a "side-by-side safe harbor" which, if elected, exempts U.S. parented groups from certain provisions of Pillar Two. However, the election does not relieve foreign subsidiaries from certain jurisdiction specific minimum taxes.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or assert that we are subject to tax in a jurisdiction where we believe we have not established a taxable nexus, often referred to as a “permanent establishment” under international tax treaties, any of which could have a material impact on us, our financial condition or our operating results. </w:t>
      </w:r>
    </w:p>
    <w:p>
      <w:pPr>
        <w:pStyle w:val="TextBody"/>
        <w:bidi w:val="0"/>
        <w:jc w:val="left"/>
        <w:rPr>
          <w:rFonts w:ascii="Times New Roman" w:hAnsi="Times New Roman"/>
          <w:sz w:val="20"/>
        </w:rPr>
      </w:pPr>
      <w:r>
        <w:rPr>
          <w:rFonts w:ascii="Times New Roman" w:hAnsi="Times New Roman"/>
          <w:b/>
          <w:i/>
          <w:color w:val="000000"/>
          <w:sz w:val="20"/>
        </w:rPr>
        <w:t>We may not be able to utilize a significant portion of our net operating loss carryforwards, which could adversely affect our profitability.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2025, we had $1.1 billion of U.S. federal and $866.1 million of state net operating loss carryforwards. U.S. federal net operating losses generated in taxable years beginning after December 31, 2017 have an indefinite carryforward and may be used to offset up to 80% of taxable income. State net operating loss carryforwards are subject to varying carryforward periods with certain states beginning to expire as early as 2026 and others conforming to an indefinite carryforward period. A portion of our state net operating loss carryforwards could expire unused and be unavailable to offset future income tax liabilities, which could adversely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affect our profitability. In addition, under Section 382 and Section 383 of the Internal Revenue Code of 1986, our ability to utilize net operating loss carryforwards or other tax attributes, such as research tax credits, in any taxable year may be further limited if we experience an “ownership change.” An ownership change generally occurs if one or more stockholders or groups of stockholders who own at least 5% of our stock increase their ownership by more than 50 percentage points over their lowest ownership percentage (by value) within a rolling three-year period. Similar rules may apply under state tax laws. We may have experienced an ownership change in the past, and future issuances of our stock or other transactions could cause an ownership change. It is possible that any such ownership change could have a material effect on the use of our net operating loss carryforwards or other tax attributes accrued prior to such ownership change, which could adversely affect our profitability.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Operating Results and Financial Condition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a history of losses and may not become consistently profitable or maintain or increase profitability in the future.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generated net income of $75.9 million for the six months ended June 30, 2026 and net losses of $25.1 million for the six months ended June 30, 2025. As of June 30, 2026 we had an accumulated deficit of $678.0 million. We will need to generate and sustain increased revenue levels in future periods to become consistently profitable, and, even if we do, we may not be able to maintain or increase our level of profitability. We have spent and intend to continue to expend significant funds on our marketing, sales, customer service, and general and administrative operations, the development and enhancement of our customer platform, scaling our data center infrastructure and services capabilities and expanding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Quarterly Report on Form 10-Q, and unforeseen expenses, difficulties, complications and delays and other unknown events. If we are unable to achieve and sustain profitability, the market price of our common stock may decrease significantly.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From time to time, we may invest funds in social impact investment funds, and may receive no return on our investment or lose our entire investment.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time to time, we may invest in social impact investment funds. As of June 30, 2026, we have invested $12.2 million in the National Strategic Investments Impact Fund (f/k/a the Black Economic Development Fund) and $7.5 million in support of Minority Depository Institutions to help close the racial wealth, health and opportunity gap. There is no guarantee as to the performance of this investment or any similar investments we make in the future. Depending on the performance of this investment and future investments we may make, we may not receive any return on our investment or we may lose our entire investment, which could have an adverse effect on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may experience quarterly fluctuations in our operating results due to a number of factors, which makes our future results difficult to predict and could cause our operating results to fall below expectations or our guidance.</w:t>
      </w:r>
    </w:p>
    <w:p>
      <w:pPr>
        <w:pStyle w:val="TextBody"/>
        <w:bidi w:val="0"/>
        <w:jc w:val="left"/>
        <w:rPr>
          <w:rFonts w:ascii="Times New Roman" w:hAnsi="Times New Roman"/>
          <w:color w:val="000000"/>
          <w:sz w:val="20"/>
        </w:rPr>
      </w:pPr>
      <w:r>
        <w:rPr>
          <w:rFonts w:ascii="Times New Roman" w:hAnsi="Times New Roman"/>
          <w:color w:val="000000"/>
          <w:sz w:val="20"/>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Quarterly Report on Form 10-Q, factors that may affect our quarterly operating results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spending on software by our current or prospective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pricing our customer platform subscriptions effectively so that we are able to attract and retain customers without compromising our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attracting new customers for our customer platform, increasing our existing customers’ use of our customer platform and providing our customers with excellent customer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renewal rates and the amounts for which agreements are renewed;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awareness of our thought leadership and brand;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competitive dynamics of our market, including consolidation among competitors or customers and the introduction of new products or product enhancements;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the commission plans, quotas and other compensation-related metrics for our sales representatives;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payment for operating expenses, particularly research and development, sales and marketing expenses and employee benefit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costs associated with recruiting, training and integrating new employees while maintaining our company culture;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our existing business and future growth, including increases in the number of customers on our platform and the introduction and adoption of our customer platform in new markets outside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related to the expansion of our business, operations and infrastructure, including disruptions in our hosting network infrastructure and privacy and data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exchange rate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rising inflation in the economies in which we operate and our ability to control costs, including operating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and political conditions in our domestic and international markets, including economic sanctions, trade policy changes and restrictions, trade wars, tariffs, or the threat posed by such actions.</w:t>
      </w:r>
    </w:p>
    <w:p>
      <w:pPr>
        <w:pStyle w:val="TextBody"/>
        <w:bidi w:val="0"/>
        <w:jc w:val="left"/>
        <w:rPr>
          <w:rFonts w:ascii="Times New Roman" w:hAnsi="Times New Roman"/>
          <w:color w:val="000000"/>
          <w:sz w:val="20"/>
        </w:rPr>
      </w:pPr>
      <w:r>
        <w:rPr>
          <w:rFonts w:ascii="Times New Roman" w:hAnsi="Times New Roman"/>
          <w:color w:val="000000"/>
          <w:sz w:val="20"/>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accurately predict subscription renewal rates or otherwise fail to forecast our revenue accurately, or if we fail to match our expenditures with corresponding revenue, our operating results could be adversely affected.</w:t>
      </w:r>
    </w:p>
    <w:p>
      <w:pPr>
        <w:pStyle w:val="TextBody"/>
        <w:bidi w:val="0"/>
        <w:jc w:val="left"/>
        <w:rPr>
          <w:rFonts w:ascii="Times New Roman" w:hAnsi="Times New Roman"/>
          <w:color w:val="000000"/>
          <w:sz w:val="20"/>
        </w:rPr>
      </w:pPr>
      <w:r>
        <w:rPr>
          <w:rFonts w:ascii="Times New Roman" w:hAnsi="Times New Roman"/>
          <w:color w:val="000000"/>
          <w:sz w:val="20"/>
        </w:rPr>
        <w:t>Our customers have no obligation to renew their subscriptions for our services after the expiration of their contractual subscription period and some customers have elected not to renew. In addition, our customers may renew for fewer subscriptions, renew for shorter contract lengths or switch to lower cost offerings of our services. It is difficult to predict attrition rates given our varied customer base. Our attrition rates may increase or fluctuate as a result of various factors, including customer dissatisfaction with our services, customers’ spending levels, mix of customer base, competition, pricing increases or changes in the macroeconomic environment. If customers do not renew their subscriptions, do not purchase additional features or enhanced subscriptions or if attrition rates increase, our operating results in future reporting periods may be significantly below the expectations of the public market, equity research analysts or investors, which could harm the price of our common stock.</w:t>
      </w:r>
    </w:p>
    <w:p>
      <w:pPr>
        <w:pStyle w:val="TextBody"/>
        <w:bidi w:val="0"/>
        <w:jc w:val="left"/>
        <w:rPr>
          <w:rFonts w:ascii="Times New Roman" w:hAnsi="Times New Roman"/>
          <w:sz w:val="20"/>
        </w:rPr>
      </w:pPr>
      <w:r>
        <w:rPr>
          <w:rFonts w:ascii="Times New Roman" w:hAnsi="Times New Roman"/>
          <w:b/>
          <w:i/>
          <w:color w:val="000000"/>
          <w:sz w:val="20"/>
        </w:rPr>
        <w:t>Changes in accounting standards and subjective assumptions, estimates and judgments by management related to complex accounting matters could significantly affect our financial condition and results of operations.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apply accounting principles and related pronouncements, implementation guidelines and interpretations to a wide range of matters that are relevant to our business, are highly complex and involve subjective assumptions, estimates and judgments by our management. Changes in these rules or their interpretation, or changes in underlying assumptions, estimates or judgments by our management, could significantly change our reported or expected financial performance.</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Indebtedness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credit facility provides our lenders with a first-priority lien against substantially all of our assets, and contains financial covenants and other restrictions on our actions, which could limit our operational flexibility and otherwise adversely affect our financial condition.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credit facility restricts our ability to,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use our accounts receivable, inventory, trademarks and most of our other assets as security in other borrowings or transactions, unless the value of the assets subject thereto does not exceed a certain threshold;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liens upon our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dispose of certain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declare dividends or make certain distributions;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undergo a merger or consolidation or other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credit facility also requires that our Consolidated Leverage Ratio (as defined in the Revolving Credit Agreement)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exceed specified levels during periods when we do not maintain investment-grade credit ratings. Our ability to comply with these and other covenants is dependent upon several factors, some of which are beyond our control.</w:t>
      </w:r>
    </w:p>
    <w:p>
      <w:pPr>
        <w:pStyle w:val="TextBody"/>
        <w:bidi w:val="0"/>
        <w:jc w:val="left"/>
        <w:rPr>
          <w:rFonts w:ascii="Times New Roman" w:hAnsi="Times New Roman"/>
          <w:color w:val="000000"/>
          <w:sz w:val="20"/>
        </w:rPr>
      </w:pPr>
      <w:r>
        <w:rPr>
          <w:rFonts w:ascii="Times New Roman" w:hAnsi="Times New Roman"/>
          <w:color w:val="000000"/>
          <w:sz w:val="20"/>
        </w:rPr>
        <w:t xml:space="preserve">Our failure to comply with the covenants or payment requirements, or the occurrence of other events specified in our credit facility, could result in an event of default under the credit facility, which would give our lenders the right to terminate their commitments to provide additional loans under the credit facility and to declare all borrowings outstanding, together with accrued and unpaid interest and fees, to be immediately due and payable. In addition, we have granted our lenders first-priority liens against all of our assets as collateral. Failure to comply with the covenants or other restrictions in the credit facility could result in a default. If the debt under our credit facility was to be accelerated, we may not have sufficient cash on hand or be able to sell sufficient collateral to repay it, which would have an immediate adverse effect on our business and operating results.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jc w:val="left"/>
        <w:rPr>
          <w:rFonts w:ascii="Times New Roman" w:hAnsi="Times New Roman"/>
          <w:b/>
          <w:i/>
          <w:color w:val="000000"/>
          <w:sz w:val="20"/>
        </w:rPr>
      </w:pPr>
      <w:r>
        <w:rPr>
          <w:rFonts w:ascii="Times New Roman" w:hAnsi="Times New Roman"/>
          <w:b/>
          <w:i/>
          <w:color w:val="000000"/>
          <w:sz w:val="20"/>
        </w:rPr>
        <w:t>Our stock price may be volatile and you may be unable to sell your shares at or above the price you purchased them.</w:t>
      </w:r>
    </w:p>
    <w:p>
      <w:pPr>
        <w:pStyle w:val="TextBody"/>
        <w:bidi w:val="0"/>
        <w:jc w:val="left"/>
        <w:rPr>
          <w:rFonts w:ascii="Times New Roman" w:hAnsi="Times New Roman"/>
          <w:color w:val="000000"/>
          <w:sz w:val="20"/>
        </w:rPr>
      </w:pPr>
      <w:r>
        <w:rPr>
          <w:rFonts w:ascii="Times New Roman" w:hAnsi="Times New Roman"/>
          <w:color w:val="000000"/>
          <w:sz w:val="20"/>
        </w:rPr>
        <w:t xml:space="preserve">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$881.13 through June 30, 2026. The market price of our common stock may fluctuate significantly in response to numerous factors, many of which are beyond our control,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fluctuations in our revenue and other operating results, including as a result of the addition or loss of any number of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technical innovations, acquisitions, strategic partnerships,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projections we may provide to the public, any changes in these projections or our failure to meet these projections;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operating performance and stock market valuations of cloud-based software or other technology companies, or those in our industry in particular;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and volume fluctuations in the trading of our common stock and in the overall stock market, including as a result of trends in the economy as a whole;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large blocks of our common stock or the dilutive effect of any equity or equity-linked financings;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laws or regulations or new interpretations of existing laws or regulations applicable to our business or industry, including data privacy and data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lawsuits threatened or filed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key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events or factors, including changes in general economic, industry and market conditions and trends, international disputes, wars, and political stability. </w:t>
      </w:r>
    </w:p>
    <w:p>
      <w:pPr>
        <w:pStyle w:val="TextBody"/>
        <w:bidi w:val="0"/>
        <w:jc w:val="left"/>
        <w:rPr>
          <w:rFonts w:ascii="Times New Roman" w:hAnsi="Times New Roman"/>
          <w:color w:val="000000"/>
          <w:sz w:val="20"/>
        </w:rPr>
      </w:pPr>
      <w:r>
        <w:rPr>
          <w:rFonts w:ascii="Times New Roman" w:hAnsi="Times New Roman"/>
          <w:color w:val="000000"/>
          <w:sz w:val="20"/>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pStyle w:val="TextBody"/>
        <w:bidi w:val="0"/>
        <w:jc w:val="left"/>
        <w:rPr>
          <w:rFonts w:ascii="Times New Roman" w:hAnsi="Times New Roman"/>
          <w:color w:val="000000"/>
          <w:sz w:val="20"/>
        </w:rPr>
      </w:pPr>
      <w:r>
        <w:rPr>
          <w:rFonts w:ascii="Times New Roman" w:hAnsi="Times New Roman"/>
          <w:color w:val="000000"/>
          <w:sz w:val="20"/>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As a public company we are subject to the reporting requirements of the Exchange Act, the Sarbanes-Oxley Act of 2002 (the “Sarbanes-Oxley Act”), the Dodd-Frank Wall Street Reform and Consumer Protection Act (the “Dodd-Frank Act”), and the rules and regulations of the New York Stock Exchange (the “NYSE”). We expect that compliance with these rules and regulations will continue to increase our legal, accounting and financial compliance costs, make some activities more difficult, time-consuming and costly, and place significant strain on our personnel, systems and resources. </w:t>
      </w:r>
    </w:p>
    <w:p>
      <w:pPr>
        <w:pStyle w:val="TextBody"/>
        <w:bidi w:val="0"/>
        <w:jc w:val="left"/>
        <w:rPr>
          <w:rFonts w:ascii="Times New Roman" w:hAnsi="Times New Roman"/>
          <w:color w:val="000000"/>
          <w:sz w:val="20"/>
        </w:rPr>
      </w:pPr>
      <w:r>
        <w:rPr>
          <w:rFonts w:ascii="Times New Roman" w:hAnsi="Times New Roman"/>
          <w:color w:val="000000"/>
          <w:sz w:val="20"/>
        </w:rPr>
        <w:t>The Sarbanes-Oxley Act requires, among other things, that we assess the effectiveness of our internal control over financial reporting annually and the effectiveness of our disclosure controls and procedures quarterly. In particular, Section 404 of the Sarbanes-Oxley Act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expenses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pStyle w:val="TextBody"/>
        <w:bidi w:val="0"/>
        <w:jc w:val="left"/>
        <w:rPr>
          <w:rFonts w:ascii="Times New Roman" w:hAnsi="Times New Roman"/>
          <w:color w:val="000000"/>
          <w:sz w:val="20"/>
        </w:rPr>
      </w:pPr>
      <w:r>
        <w:rPr>
          <w:rFonts w:ascii="Times New Roman" w:hAnsi="Times New Roman"/>
          <w:color w:val="000000"/>
          <w:sz w:val="20"/>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 In addition, as a result of our hybrid culture, many of our employees – including those critical to maintaining an effective system of disclosure controls and internal control over financial reporting – are working, and are expected to continue to work, in a remote environment and not in the office environment from which they have historically performed their duties. While we have experience maintaining effective control systems with our employees working in remote environments, and risks that we have not contemplated may arise and result in our failure to maintain effective disclosure controls or internal control over financial reporting.</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cannot guarantee that our share repurchase program will be fully consummated or will enhance long-term stockholder value, and share repurchases could increase the volatility of the trading price of our common stock and diminish our cash reserves.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7, 2026, our Board of Directors authorized a share repurchase program under which we are authorized to purchase up to $1.0 billion of our common stock from time to time (the “February 2026 Share Repurchase Program”). As of the date of filing this report, a total of $257.1 million remained available for repurchase under the February 2026 Share Repurchase Program. On August 3, 2026, our Board of Directors authorized an additional share repurchase program under which we are authorized to purchase up to an additional $1.0 billion of our common stock from time to time (together with the February 2026 Share Repurchase Program, the “2026 Share Repurchase Programs”), all of which remained available for repurchase as of the date of this report. Repurchases under the 2026 Share Repurchase Programs will be made in the open market, through privately negotiated transactions or other means, including pursuant to 10b5-1 plans, and in compliance with applicable securities laws and other requirements. The timing, manner, price, and amount of the 2026 Share Repurchase Programs are subject to the discretion of our management. The 2026 Share Repurchase Programs do not obligate us to acquire a specified number of shares, and may be suspended, modified, or terminated at any time, without prior notice. There can be no assurance that we will repurchase shares at favorable prices. Further, our share repurchases could affect the trading price of our common stock, increase its volatility, reduce our cash reserves, and may be suspended or terminated at any time, which may result in a lower market valuation of our common stock.</w:t>
      </w:r>
    </w:p>
    <w:p>
      <w:pPr>
        <w:pStyle w:val="TextBody"/>
        <w:bidi w:val="0"/>
        <w:jc w:val="left"/>
        <w:rPr>
          <w:rFonts w:ascii="Times New Roman" w:hAnsi="Times New Roman"/>
          <w:b/>
          <w:i/>
          <w:color w:val="000000"/>
          <w:sz w:val="20"/>
        </w:rPr>
      </w:pPr>
      <w:r>
        <w:rPr>
          <w:rFonts w:ascii="Times New Roman" w:hAnsi="Times New Roman"/>
          <w:b/>
          <w:i/>
          <w:color w:val="000000"/>
          <w:sz w:val="20"/>
        </w:rPr>
        <w:t>Anti-takeover provisions in our charter documents and Delaware law may delay or prevent an acquisition of our company.</w:t>
      </w:r>
    </w:p>
    <w:p>
      <w:pPr>
        <w:pStyle w:val="TextBody"/>
        <w:bidi w:val="0"/>
        <w:jc w:val="left"/>
        <w:rPr>
          <w:rFonts w:ascii="Times New Roman" w:hAnsi="Times New Roman"/>
          <w:color w:val="000000"/>
          <w:sz w:val="20"/>
        </w:rPr>
      </w:pPr>
      <w:r>
        <w:rPr>
          <w:rFonts w:ascii="Times New Roman" w:hAnsi="Times New Roman"/>
          <w:color w:val="000000"/>
          <w:sz w:val="20"/>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“blank check” preferred stock, which could be issued by the board of directors without stockholder approval and may contain voting, liquidation, dividend and other rights superior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 the chairperson of the board of directors, the chief executive officer or the president;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be removed only for 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no stockholder is permitted to cumulate votes at any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modify, alter or repeal our amended and restated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 majority vote of the holders of our outstanding common stock to amend specified provisions of our charter documents.</w:t>
      </w:r>
    </w:p>
    <w:p>
      <w:pPr>
        <w:pStyle w:val="TextBody"/>
        <w:bidi w:val="0"/>
        <w:jc w:val="left"/>
        <w:rPr>
          <w:rFonts w:ascii="Times New Roman" w:hAnsi="Times New Roman"/>
          <w:color w:val="000000"/>
          <w:sz w:val="20"/>
        </w:rPr>
      </w:pPr>
      <w:r>
        <w:rPr>
          <w:rFonts w:ascii="Times New Roman" w:hAnsi="Times New Roman"/>
          <w:color w:val="000000"/>
          <w:sz w:val="20"/>
        </w:rPr>
        <w:t>These provisions, alone or together, could delay or prevent hostile takeovers and changes in control or changes in our management.</w:t>
      </w:r>
    </w:p>
    <w:p>
      <w:pPr>
        <w:pStyle w:val="TextBody"/>
        <w:bidi w:val="0"/>
        <w:jc w:val="left"/>
        <w:rPr>
          <w:rFonts w:ascii="Times New Roman" w:hAnsi="Times New Roman"/>
          <w:color w:val="000000"/>
          <w:sz w:val="20"/>
        </w:rPr>
      </w:pPr>
      <w:r>
        <w:rPr>
          <w:rFonts w:ascii="Times New Roman" w:hAnsi="Times New Roman"/>
          <w:color w:val="000000"/>
          <w:sz w:val="20"/>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pStyle w:val="TextBody"/>
        <w:bidi w:val="0"/>
        <w:jc w:val="left"/>
        <w:rPr>
          <w:rFonts w:ascii="Times New Roman" w:hAnsi="Times New Roman"/>
          <w:color w:val="000000"/>
          <w:sz w:val="20"/>
        </w:rPr>
      </w:pPr>
      <w:r>
        <w:rPr>
          <w:rFonts w:ascii="Times New Roman" w:hAnsi="Times New Roman"/>
          <w:color w:val="000000"/>
          <w:sz w:val="20"/>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jc w:val="left"/>
        <w:rPr>
          <w:rFonts w:ascii="Times New Roman" w:hAnsi="Times New Roman"/>
          <w:b/>
          <w:color w:val="000000"/>
          <w:sz w:val="20"/>
        </w:rPr>
      </w:pPr>
      <w:r>
        <w:rPr>
          <w:rFonts w:ascii="Times New Roman" w:hAnsi="Times New Roman"/>
          <w:b/>
          <w:color w:val="000000"/>
          <w:sz w:val="20"/>
        </w:rPr>
        <w:t>General Risks</w:t>
      </w:r>
    </w:p>
    <w:p>
      <w:pPr>
        <w:pStyle w:val="TextBody"/>
        <w:bidi w:val="0"/>
        <w:jc w:val="left"/>
        <w:rPr>
          <w:rFonts w:ascii="Times New Roman" w:hAnsi="Times New Roman"/>
          <w:b/>
          <w:i/>
          <w:color w:val="000000"/>
          <w:sz w:val="20"/>
        </w:rPr>
      </w:pPr>
      <w:r>
        <w:rPr>
          <w:rFonts w:ascii="Times New Roman" w:hAnsi="Times New Roman"/>
          <w:b/>
          <w:i/>
          <w:color w:val="000000"/>
          <w:sz w:val="20"/>
        </w:rPr>
        <w:t>Failure to comply with laws and regulations could harm our business.</w:t>
      </w:r>
    </w:p>
    <w:p>
      <w:pPr>
        <w:pStyle w:val="TextBody"/>
        <w:bidi w:val="0"/>
        <w:jc w:val="left"/>
        <w:rPr>
          <w:rFonts w:ascii="Times New Roman" w:hAnsi="Times New Roman"/>
          <w:color w:val="000000"/>
          <w:sz w:val="20"/>
        </w:rPr>
      </w:pPr>
      <w:r>
        <w:rPr>
          <w:rFonts w:ascii="Times New Roman" w:hAnsi="Times New Roman"/>
          <w:color w:val="000000"/>
          <w:sz w:val="20"/>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pStyle w:val="TextBody"/>
        <w:bidi w:val="0"/>
        <w:jc w:val="left"/>
        <w:rPr>
          <w:rFonts w:ascii="Times New Roman" w:hAnsi="Times New Roman"/>
          <w:sz w:val="20"/>
        </w:rPr>
      </w:pPr>
      <w:r>
        <w:rPr>
          <w:rFonts w:ascii="Times New Roman" w:hAnsi="Times New Roman"/>
          <w:b/>
          <w:i/>
          <w:color w:val="000000"/>
          <w:sz w:val="20"/>
        </w:rPr>
        <w:t>Adverse litigation results could affect our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From time to time we may become involved in legal proceedings or be subject to claims arising in the ordinary course of our business. Litigation can be lengthy, expensive and disruptive to our operations, and can divert our management’s attention away from running our core business. The results of our litigation also cannot be predicted with certainty. Even a favorable judgment may be subject to appeals leading to protracted litigation, additional costs and the prospect that our desired outcome will be overturned. An adverse decision could result in monetary damages or injunctive relief that could affect our business, operating results or financial condition.</w:t>
      </w:r>
    </w:p>
    <w:p>
      <w:pPr>
        <w:pStyle w:val="TextBody"/>
        <w:bidi w:val="0"/>
        <w:jc w:val="left"/>
        <w:rPr>
          <w:rFonts w:ascii="Times New Roman" w:hAnsi="Times New Roman"/>
          <w:b/>
          <w:i/>
          <w:color w:val="000000"/>
          <w:sz w:val="20"/>
        </w:rPr>
      </w:pPr>
      <w:r>
        <w:rPr>
          <w:rFonts w:ascii="Times New Roman" w:hAnsi="Times New Roman"/>
          <w:b/>
          <w:i/>
          <w:color w:val="000000"/>
          <w:sz w:val="20"/>
        </w:rPr>
        <w:t>Our ability to raise capital in the future may be limited, and our failure to raise capital when needed could prevent us from growing.</w:t>
      </w:r>
    </w:p>
    <w:p>
      <w:pPr>
        <w:pStyle w:val="TextBody"/>
        <w:bidi w:val="0"/>
        <w:jc w:val="left"/>
        <w:rPr>
          <w:rFonts w:ascii="Times New Roman" w:hAnsi="Times New Roman"/>
          <w:color w:val="000000"/>
          <w:sz w:val="20"/>
        </w:rPr>
      </w:pPr>
      <w:r>
        <w:rPr>
          <w:rFonts w:ascii="Times New Roman" w:hAnsi="Times New Roman"/>
          <w:color w:val="000000"/>
          <w:sz w:val="20"/>
        </w:rPr>
        <w:t>Our business and operations may consume resources faster than we anticipate. In the future, we may need to raise additional funds to invest in future growth opportunities. Additional financing may not be available on favorable terms, if at all. In addition, recent volatility in capital markets and lower market prices for many securities may affect our ability to access new capital through sales of shares of our common stock or issuance of indebtedness, which may materially harm our liquidity, limit our ability to grow our business, pursue acquisitions or improve our operating infrastructure and restrict our ability to compete in our markets.</w:t>
      </w:r>
    </w:p>
    <w:p>
      <w:pPr>
        <w:pStyle w:val="TextBody"/>
        <w:bidi w:val="0"/>
        <w:jc w:val="left"/>
        <w:rPr>
          <w:rFonts w:ascii="Times New Roman" w:hAnsi="Times New Roman"/>
          <w:color w:val="000000"/>
          <w:sz w:val="20"/>
        </w:rPr>
      </w:pPr>
      <w:r>
        <w:rPr>
          <w:rFonts w:ascii="Times New Roman" w:hAnsi="Times New Roman"/>
          <w:color w:val="000000"/>
          <w:sz w:val="20"/>
        </w:rPr>
        <w:t xml:space="preserve">If adequate funds are not available on acceptable terms, we may be unable to invest in future growth opportunities, which could seriously harm our business and operating results. If we incur additional debt, including under the credit facility, the debt holders would have rights senior to common stockholders to make claims on our assets. Additionally, the credit facility restricts our operations, including our ability to pay dividends on our common stock. Furthermore, if we issue equity securities, stockholders will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experience dilution, and the new equity securities could have rights senior to those of our common stock. Any additional equity or equity-linked financings would be dilutive to our stockholders.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pStyle w:val="TextBody"/>
        <w:bidi w:val="0"/>
        <w:jc w:val="left"/>
        <w:rPr>
          <w:rFonts w:ascii="Times New Roman" w:hAnsi="Times New Roman"/>
          <w:b/>
          <w:i/>
          <w:color w:val="000000"/>
          <w:sz w:val="20"/>
        </w:rPr>
      </w:pPr>
      <w:r>
        <w:rPr>
          <w:rFonts w:ascii="Times New Roman" w:hAnsi="Times New Roman"/>
          <w:b/>
          <w:i/>
          <w:color w:val="000000"/>
          <w:sz w:val="20"/>
        </w:rPr>
        <w:t>Catastrophic events could disrupt our business and adversely affect our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We rely on our network infrastructure and enterprise applications, internal technology systems and website for our development, marketing, operations, support, hosted services and sales activities. In addition, some of our businesses rely on third-party hosted services, and we do not control the operation of third-party data center facilities serving our customers from around the world, which increases our vulnerability. A disruption, infiltration or failure of these systems or third-party hosted services in the event of a major earthquake, fire, flood, tsunami or other weather event, power loss, telecommunications failure, software or hardware malfunctions, pandemics, cyber-attack, war, terrorist attack or other catastrophic event that we do not adequately address, could cause system interruptions, reputational harm, loss of intellectual property, delays in our product development, lengthy interruptions in our services, breaches of data security and loss of critical data. Any of these events could prevent us from fulfilling our customer demands or could negatively impact a country or region in which we sell our products, which could in turn decrease that country’s or region’s demand for our products. A catastrophic event that results in the destruction or disruption of any of our data centers or our critical business or information technology systems could severely affect our ability to conduct normal business operations and, as a result, our future operating results could be adversely affected. The adverse effects of any such catastrophic event would be exacerbated if experienced at the same time as another unexpected and adverse event.</w:t>
      </w:r>
    </w:p>
    <w:p>
      <w:pPr>
        <w:pStyle w:val="TextBody"/>
        <w:bidi w:val="0"/>
        <w:jc w:val="left"/>
        <w:rPr>
          <w:rFonts w:ascii="Times New Roman" w:hAnsi="Times New Roman"/>
          <w:color w:val="000000"/>
          <w:sz w:val="20"/>
        </w:rPr>
      </w:pPr>
      <w:r>
        <w:rPr>
          <w:rFonts w:ascii="Times New Roman" w:hAnsi="Times New Roman"/>
          <w:color w:val="000000"/>
          <w:sz w:val="20"/>
        </w:rPr>
        <w:t xml:space="preserve">The occurrence of regional epidemics or a global pandemic may have an adverse effect on how we and our customers operate our businesses and our operating and financial results. Our operations may in the future be negatively affected by a range of external factors related to the pandemic that are not within our control, including the emergence and spread of more transmissible variants and the degree of transmissibility and severity thereof. The extent to which global pandemics impact our financial condition or results of operations will depend on factors, such as the duration and scope of the pandemic, as well as whether there is a material impact on the businesses or productivity of our customers, partners, employees, suppliers and other partners. To the extent that a pandemic harms our business and results of operations, many of the other risks described in this “Risk Factors” section may be heightened. </w:t>
      </w:r>
    </w:p>
    <w:p>
      <w:pPr>
        <w:pStyle w:val="TextBody"/>
        <w:bidi w:val="0"/>
        <w:jc w:val="left"/>
        <w:rPr>
          <w:rFonts w:ascii="Times New Roman" w:hAnsi="Times New Roman"/>
          <w:b/>
          <w:i/>
          <w:color w:val="000000"/>
          <w:sz w:val="20"/>
        </w:rPr>
      </w:pPr>
      <w:r>
        <w:rPr>
          <w:rFonts w:ascii="Times New Roman" w:hAnsi="Times New Roman"/>
          <w:b/>
          <w:i/>
          <w:color w:val="000000"/>
          <w:sz w:val="20"/>
        </w:rPr>
        <w:t>Climate-related risks, regulatory compliance and evolving stakeholder expectations may impact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While we seek to partner with organizations that mitigate their business risks associated with climate change, we recognize that there are inherent risks wherever business is conducted, including risks relating to the physical impact of climate change and to transitioning to a lower carbon economy. Any of our primary locations may be vulnerable to the adverse effects of climate change. For example, our offices globally may experience climate-related events at an increasing frequency, including drought, water scarcity, heat waves, cold waves, wildfires and resultant air quality impacts and power shutoffs associated with wildfire prevention. While this danger has a low-assessed risk of disrupting normal business operations, it has the potential to disrupt employees’ abilities to commute to work or to work from home and stay connected effectively. Furthermore, it is more difficult to mitigate the impact of these events on our employees to the extent they work from home. Climate-related events, including the increasing frequency of extreme weather events and their impact on the U.S.’s, Europe’s and other major region’s critical infrastructure, have the potential to disrupt our business, our third-party suppliers and/or the business of our customers, and may cause us to experience higher attrition of our employees, losses and additional costs to maintain or resume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physical and transition risks, regulatory developments, evolving market dynamics and stakeholder expectations regarding climate change may impact our business, financial condition and results of operations. We are working to align our reporting with recognized disclosure standards such as the Financial Stability Board’s Task Force on Climate-Related Financial Disclosures, the Sustainability Accounting Standards Board and the Global Reporting Initiative, and we regularly monitor and prepare for new disclosure requirements that may be applicable to us (for example, the International Financial Reporting Standards S1 and S2). We may also be subject to California’s recently enacted climate disclosure laws, which will require in-scope companies to report on greenhouse gas emissions and climate-related financial risks. The future of these California laws is uncertain given pending litigation, and the California Air Resources Board, which has been tasked with implementing the climate-disclosure laws, has not yet released implementing regulations. Collecting, measuring and reporting sustainability information and metrics to comply with applicable requirements can be resource-intensive and time-consuming, requiring new systems and processes. These efforts may also expose us to operational challenges, reputational scrutiny, and legal and other risks as expectations continue to evolve.</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Share repurchases of the Company’s common stock for the three months ended June 30, 2026 were as follows (in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58"/>
        <w:gridCol w:w="214"/>
        <w:gridCol w:w="1366"/>
        <w:gridCol w:w="146"/>
        <w:gridCol w:w="329"/>
        <w:gridCol w:w="1055"/>
        <w:gridCol w:w="146"/>
        <w:gridCol w:w="345"/>
        <w:gridCol w:w="2207"/>
        <w:gridCol w:w="146"/>
        <w:gridCol w:w="593"/>
        <w:gridCol w:w="2204"/>
        <w:gridCol w:w="196"/>
      </w:tblGrid>
      <w:tr>
        <w:trPr/>
        <w:tc>
          <w:tcPr>
            <w:tcW w:w="125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5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Average Price Paid per Share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Approximate Dollar Value of Shares that May Yet Be Purchased Under the Program </w:t>
            </w:r>
            <w:r>
              <w:rPr>
                <w:rFonts w:ascii="Times New Roman" w:hAnsi="Times New Roman"/>
                <w:b/>
                <w:color w:val="000000"/>
                <w:sz w:val="11"/>
              </w:rPr>
              <w:t>(2)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 to April 30, 2026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 to May 31, 2026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2026 to June 30, 2026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257,119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2,622,496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2,622,496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Average price paid per share includes costs associated with the repurchases. </w:t>
      </w:r>
    </w:p>
    <w:p>
      <w:pPr>
        <w:pStyle w:val="TextBody"/>
        <w:bidi w:val="0"/>
        <w:jc w:val="left"/>
        <w:rPr>
          <w:rFonts w:ascii="Times New Roman" w:hAnsi="Times New Roman"/>
          <w:sz w:val="20"/>
        </w:rPr>
      </w:pPr>
      <w:r>
        <w:rPr>
          <w:rFonts w:ascii="Times New Roman" w:hAnsi="Times New Roman"/>
          <w:color w:val="000000"/>
          <w:sz w:val="11"/>
        </w:rPr>
        <w:t>(2)</w:t>
      </w:r>
      <w:r>
        <w:rPr>
          <w:rFonts w:ascii="Times New Roman" w:hAnsi="Times New Roman"/>
          <w:color w:val="000000"/>
          <w:sz w:val="20"/>
        </w:rPr>
        <w:t xml:space="preserve"> In February 2026, the Company's Board of Directors authorized the February 2026 Share Repurchase Program for the repurchase of shares of the Company’s common stock, in an aggregate amount of up to $1 billion, over a period of 24 months. In August 2026, the Company's Board of Directors authorized the August 2026 Share Repurchase Program for the repurchase of shares of the Company’s common stock, in an aggregate amount of up to $1 billion, over a period of 24 months. Refer to Note 14 and Note 17 to the consolidated financial statements contained within this Quarterly Report on Form 10-Q for additional information related to our share repurchases. </w:t>
      </w:r>
    </w:p>
    <w:p>
      <w:pPr>
        <w:pStyle w:val="TextBody"/>
        <w:bidi w:val="0"/>
        <w:jc w:val="left"/>
        <w:rPr/>
      </w:pPr>
      <w:r>
        <w:rPr/>
        <w:t> </w:t>
      </w:r>
    </w:p>
    <w:p>
      <w:pPr>
        <w:pStyle w:val="TextBody"/>
        <w:bidi w:val="0"/>
        <w:jc w:val="left"/>
        <w:rPr>
          <w:rFonts w:ascii="Times New Roman" w:hAnsi="Times New Roman"/>
          <w:sz w:val="20"/>
        </w:rPr>
      </w:pPr>
      <w:bookmarkStart w:id="17" w:name="item_3_defaults_on_senior_securities"/>
      <w:bookmarkEnd w:id="17"/>
      <w:r>
        <w:rPr>
          <w:rFonts w:ascii="Times New Roman" w:hAnsi="Times New Roman"/>
          <w:b/>
          <w:color w:val="000000"/>
          <w:sz w:val="20"/>
        </w:rPr>
        <w:t>Item 3. Defaults 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Securities Trading Plans of Directors or Executive Officers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05"/>
        <w:gridCol w:w="146"/>
        <w:gridCol w:w="1776"/>
        <w:gridCol w:w="146"/>
        <w:gridCol w:w="2546"/>
        <w:gridCol w:w="146"/>
        <w:gridCol w:w="1396"/>
        <w:gridCol w:w="146"/>
        <w:gridCol w:w="1598"/>
      </w:tblGrid>
      <w:tr>
        <w:trPr/>
        <w:tc>
          <w:tcPr>
            <w:tcW w:w="23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2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Action Taken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Nature of 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Duration of 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Number of Securities</w:t>
            </w:r>
          </w:p>
        </w:tc>
      </w:tr>
      <w:tr>
        <w:trPr/>
        <w:tc>
          <w:tcPr>
            <w:tcW w:w="2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Dharmesh Shah (Co-Founder and Chief Technology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Termination (May 11, 2026)</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 plan intended to satisfy the affirmative defense conditions of Exchange Act Rule 10b5-1(c)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224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100,000 shares</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Trading arrangement was originally adopted February 13, 2026 and amended February 25,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exhibits listed below are filed or incorporated by reference into this Report.</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1"/>
        <w:gridCol w:w="5118"/>
        <w:gridCol w:w="1131"/>
        <w:gridCol w:w="586"/>
        <w:gridCol w:w="861"/>
        <w:gridCol w:w="736"/>
        <w:gridCol w:w="792"/>
      </w:tblGrid>
      <w:tr>
        <w:trPr/>
        <w:tc>
          <w:tcPr>
            <w:tcW w:w="981" w:type="dxa"/>
            <w:tcBorders/>
            <w:shd w:fill="FFFFFF" w:val="clear"/>
            <w:vAlign w:val="center"/>
          </w:tcPr>
          <w:p>
            <w:pPr>
              <w:pStyle w:val="TableContents"/>
              <w:bidi w:val="0"/>
              <w:spacing w:before="0" w:after="283"/>
              <w:jc w:val="left"/>
              <w:rPr>
                <w:sz w:val="4"/>
                <w:szCs w:val="4"/>
              </w:rPr>
            </w:pPr>
            <w:r>
              <w:rPr>
                <w:sz w:val="4"/>
                <w:szCs w:val="4"/>
              </w:rPr>
            </w:r>
          </w:p>
        </w:tc>
        <w:tc>
          <w:tcPr>
            <w:tcW w:w="5118"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861"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before="0" w:after="283"/>
              <w:jc w:val="left"/>
              <w:rPr>
                <w:sz w:val="4"/>
                <w:szCs w:val="4"/>
              </w:rPr>
            </w:pPr>
            <w:r>
              <w:rPr>
                <w:sz w:val="4"/>
                <w:szCs w:val="4"/>
              </w:rPr>
            </w:r>
          </w:p>
        </w:tc>
      </w:tr>
      <w:tr>
        <w:trPr/>
        <w:tc>
          <w:tcPr>
            <w:tcW w:w="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51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c>
          <w:tcPr>
            <w:tcW w:w="1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Provided Herewith</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Form</w:t>
            </w:r>
          </w:p>
        </w:tc>
        <w:tc>
          <w:tcPr>
            <w:tcW w:w="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 File no.</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Filing Date</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511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Eighth Amended and Restated Certificate of Incorporation dated June 4, 2025.</w:t>
              </w:r>
            </w:hyperlink>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6/10/2025</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511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Sixth Amended and Restated By-laws of HubSpot, Inc.</w:t>
              </w:r>
            </w:hyperlink>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6/10/2025</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511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Amendment No. 1 to Sixth Amended and Restated By-laws of HubSpot, Inc.</w:t>
              </w:r>
            </w:hyperlink>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3/11/2026</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511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Common Stock Certificate</w:t>
              </w:r>
            </w:hyperlink>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333-198333</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9/26/2014</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511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Amendment No. 1 to the HubSpot, Inc. 2024 Stock Option and Incentive Plan.</w:t>
              </w:r>
            </w:hyperlink>
          </w:p>
        </w:tc>
        <w:tc>
          <w:tcPr>
            <w:tcW w:w="11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6/16/2026</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5118" w:type="dxa"/>
            <w:tcBorders/>
            <w:tcMar>
              <w:top w:w="0" w:type="dxa"/>
              <w:left w:w="0" w:type="dxa"/>
              <w:bottom w:w="0" w:type="dxa"/>
              <w:right w:w="0" w:type="dxa"/>
            </w:tcMar>
            <w:vAlign w:val="center"/>
          </w:tcPr>
          <w:p>
            <w:pPr>
              <w:pStyle w:val="TableContents"/>
              <w:bidi w:val="0"/>
              <w:spacing w:before="0" w:after="283"/>
              <w:jc w:val="left"/>
              <w:rPr/>
            </w:pPr>
            <w:hyperlink w:anchor="hubs-ex10_2.htm">
              <w:r>
                <w:rPr>
                  <w:rStyle w:val="InternetLink"/>
                  <w:rFonts w:ascii="Times New Roman" w:hAnsi="Times New Roman"/>
                  <w:color w:val="0000FF"/>
                  <w:sz w:val="20"/>
                  <w:u w:val="single"/>
                </w:rPr>
                <w:t>Amended and Restated Cash Incentive Bonus Plan</w:t>
              </w:r>
            </w:hyperlink>
          </w:p>
        </w:tc>
        <w:tc>
          <w:tcPr>
            <w:tcW w:w="1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5118" w:type="dxa"/>
            <w:tcBorders/>
            <w:tcMar>
              <w:top w:w="0" w:type="dxa"/>
              <w:left w:w="0" w:type="dxa"/>
              <w:bottom w:w="0" w:type="dxa"/>
              <w:right w:w="0" w:type="dxa"/>
            </w:tcMar>
            <w:vAlign w:val="center"/>
          </w:tcPr>
          <w:p>
            <w:pPr>
              <w:pStyle w:val="TableContents"/>
              <w:bidi w:val="0"/>
              <w:spacing w:before="0" w:after="283"/>
              <w:jc w:val="left"/>
              <w:rPr/>
            </w:pPr>
            <w:hyperlink w:anchor="hubs-ex31_1.htm">
              <w:r>
                <w:rPr>
                  <w:rStyle w:val="InternetLink"/>
                  <w:rFonts w:ascii="Times New Roman" w:hAnsi="Times New Roman"/>
                  <w:color w:val="0000FF"/>
                  <w:sz w:val="20"/>
                  <w:u w:val="single"/>
                </w:rPr>
                <w:t>Certification of Chief Executive Officer Pursuant to Section 302 of the Sarbanes-Oxley Act of 2002</w:t>
              </w:r>
            </w:hyperlink>
          </w:p>
        </w:tc>
        <w:tc>
          <w:tcPr>
            <w:tcW w:w="1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5118" w:type="dxa"/>
            <w:tcBorders/>
            <w:tcMar>
              <w:top w:w="0" w:type="dxa"/>
              <w:left w:w="0" w:type="dxa"/>
              <w:bottom w:w="0" w:type="dxa"/>
              <w:right w:w="0" w:type="dxa"/>
            </w:tcMar>
            <w:vAlign w:val="center"/>
          </w:tcPr>
          <w:p>
            <w:pPr>
              <w:pStyle w:val="TableContents"/>
              <w:bidi w:val="0"/>
              <w:spacing w:before="0" w:after="283"/>
              <w:jc w:val="left"/>
              <w:rPr/>
            </w:pPr>
            <w:hyperlink w:anchor="hubs-ex31_2.htm">
              <w:r>
                <w:rPr>
                  <w:rStyle w:val="InternetLink"/>
                  <w:rFonts w:ascii="Times New Roman" w:hAnsi="Times New Roman"/>
                  <w:color w:val="0000FF"/>
                  <w:sz w:val="20"/>
                  <w:u w:val="single"/>
                </w:rPr>
                <w:t>Certification of Chief Financial Officer Pursuant to Section 302 of the Sarbanes-Oxley Act of 2002</w:t>
              </w:r>
            </w:hyperlink>
          </w:p>
        </w:tc>
        <w:tc>
          <w:tcPr>
            <w:tcW w:w="1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5118" w:type="dxa"/>
            <w:tcBorders/>
            <w:tcMar>
              <w:top w:w="0" w:type="dxa"/>
              <w:left w:w="0" w:type="dxa"/>
              <w:bottom w:w="0" w:type="dxa"/>
              <w:right w:w="0" w:type="dxa"/>
            </w:tcMar>
            <w:vAlign w:val="center"/>
          </w:tcPr>
          <w:p>
            <w:pPr>
              <w:pStyle w:val="TableContents"/>
              <w:bidi w:val="0"/>
              <w:spacing w:before="0" w:after="283"/>
              <w:jc w:val="left"/>
              <w:rPr/>
            </w:pPr>
            <w:hyperlink w:anchor="hubs-ex32_1.htm">
              <w:r>
                <w:rPr>
                  <w:rStyle w:val="InternetLink"/>
                  <w:rFonts w:ascii="Times New Roman" w:hAnsi="Times New Roman"/>
                  <w:color w:val="0000FF"/>
                  <w:sz w:val="20"/>
                  <w:u w:val="single"/>
                </w:rPr>
                <w:t>Certification of Chief Executive Officer and Chief Financial Officer Pursuant to Section 906 of the Sarbanes-Oxley Act of 2002</w:t>
              </w:r>
            </w:hyperlink>
          </w:p>
        </w:tc>
        <w:tc>
          <w:tcPr>
            <w:tcW w:w="1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51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51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51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c>
          <w:tcPr>
            <w:tcW w:w="1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a management contract or compensatory plan.</w:t>
      </w:r>
    </w:p>
    <w:p>
      <w:pPr>
        <w:pStyle w:val="TextBody"/>
        <w:bidi w:val="0"/>
        <w:jc w:val="left"/>
        <w:rPr>
          <w:rFonts w:ascii="Times New Roman" w:hAnsi="Times New Roman"/>
          <w:color w:val="000000"/>
          <w:sz w:val="20"/>
        </w:rPr>
      </w:pPr>
      <w:r>
        <w:rPr>
          <w:rFonts w:ascii="Times New Roman" w:hAnsi="Times New Roman"/>
          <w:color w:val="000000"/>
          <w:sz w:val="20"/>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4033" w:type="dxa"/>
        <w:jc w:val="left"/>
        <w:tblInd w:w="0" w:type="dxa"/>
        <w:tblLayout w:type="fixed"/>
        <w:tblCellMar>
          <w:top w:w="28" w:type="dxa"/>
          <w:left w:w="28" w:type="dxa"/>
          <w:bottom w:w="28" w:type="dxa"/>
          <w:right w:w="28" w:type="dxa"/>
        </w:tblCellMar>
      </w:tblPr>
      <w:tblGrid>
        <w:gridCol w:w="646"/>
        <w:gridCol w:w="146"/>
        <w:gridCol w:w="324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403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HUBSPOT,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Kate Bueker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jc w:val="left"/>
              <w:rPr>
                <w:rFonts w:ascii="Times New Roman" w:hAnsi="Times New Roman"/>
                <w:sz w:val="20"/>
              </w:rPr>
            </w:pPr>
            <w:r>
              <w:rPr>
                <w:rFonts w:ascii="Times New Roman" w:hAnsi="Times New Roman"/>
                <w:i/>
                <w:color w:val="000000"/>
                <w:sz w:val="20"/>
              </w:rPr>
              <w:t>(Principal Financial and Accounting</w:t>
            </w:r>
            <w:r>
              <w:rPr>
                <w:rFonts w:ascii="Times New Roman" w:hAnsi="Times New Roman"/>
                <w:color w:val="000000"/>
                <w:sz w:val="20"/>
              </w:rPr>
              <w:t xml:space="preserve">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Officer and Authorized Signatory)</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August 5,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2" w:name="hubs-ex10_2.htm"/>
      <w:bookmarkStart w:id="23" w:name="kshubsex10_2"/>
      <w:bookmarkEnd w:id="22"/>
      <w:bookmarkEnd w:id="23"/>
      <w:r>
        <w:rPr>
          <w:rFonts w:ascii="Times New Roman" w:hAnsi="Times New Roman"/>
          <w:b/>
          <w:color w:val="000000"/>
          <w:sz w:val="24"/>
        </w:rPr>
        <w:t>Exhibit 10.2</w:t>
      </w:r>
      <w:r>
        <w:br w:type="page"/>
      </w:r>
    </w:p>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HUBSPOT, INC.</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AMENDED AND RESTATED CASH INCENTIVE BONUS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color w:val="000000"/>
          <w:sz w:val="22"/>
          <w:u w:val="single"/>
        </w:rPr>
        <w:t>Purpose</w:t>
      </w:r>
      <w:r>
        <w:rPr>
          <w:rFonts w:ascii="Times New Roman" w:hAnsi="Times New Roman"/>
          <w:color w:val="000000"/>
          <w:sz w:val="22"/>
        </w:rPr>
        <w:t>. This Cash Incentive Bonus Plan (the “</w:t>
      </w:r>
      <w:r>
        <w:rPr>
          <w:rFonts w:ascii="Times New Roman" w:hAnsi="Times New Roman"/>
          <w:b/>
          <w:i/>
          <w:color w:val="000000"/>
          <w:sz w:val="22"/>
        </w:rPr>
        <w:t>Incentive Plan</w:t>
      </w:r>
      <w:r>
        <w:rPr>
          <w:color w:val="000000"/>
        </w:rPr>
        <w:t>”</w:t>
      </w:r>
      <w:r>
        <w:rPr>
          <w:rFonts w:ascii="Times New Roman" w:hAnsi="Times New Roman"/>
          <w:color w:val="000000"/>
          <w:sz w:val="22"/>
        </w:rPr>
        <w:t>) is intended to provide an incentive for superior work and to motivate eligible employees of HubSpot, Inc. and its subsidiaries (together, the “</w:t>
      </w:r>
      <w:r>
        <w:rPr>
          <w:rFonts w:ascii="Times New Roman" w:hAnsi="Times New Roman"/>
          <w:b/>
          <w:i/>
          <w:color w:val="000000"/>
          <w:sz w:val="22"/>
        </w:rPr>
        <w:t>Company</w:t>
      </w:r>
      <w:r>
        <w:rPr>
          <w:color w:val="000000"/>
        </w:rPr>
        <w:t>”</w:t>
      </w:r>
      <w:r>
        <w:rPr>
          <w:rFonts w:ascii="Times New Roman" w:hAnsi="Times New Roman"/>
          <w:color w:val="000000"/>
          <w:sz w:val="22"/>
        </w:rPr>
        <w:t>) toward even higher achievement and business results, to tie their goals and interests to those of the Company and its stockholders and to enable the Company to attract and retain highly qualified employees. The Incentive Plan is for the benefit of Covered Employees (as defined below). This Incentive Plan amends, restates and supersedes the Company’s Management Cash Incentive Bonus Plan last amended on April 23, 2026 (the “</w:t>
      </w:r>
      <w:r>
        <w:rPr>
          <w:rFonts w:ascii="Times New Roman" w:hAnsi="Times New Roman"/>
          <w:b/>
          <w:i/>
          <w:color w:val="000000"/>
          <w:sz w:val="22"/>
        </w:rPr>
        <w:t>Prior Plan</w:t>
      </w:r>
      <w:r>
        <w:rPr>
          <w:color w:val="000000"/>
        </w:rPr>
        <w:t>”</w:t>
      </w:r>
      <w:r>
        <w:rPr>
          <w:rFonts w:ascii="Times New Roman" w:hAnsi="Times New Roman"/>
          <w:color w:val="000000"/>
          <w:sz w:val="22"/>
        </w:rPr>
        <w:t xml:space="preserve">). References to the Prior Plan in any outstanding agreements between a Covered Employee and the Company shall be deemed to refer to this Incentive Plan, as applicable.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color w:val="000000"/>
          <w:sz w:val="22"/>
          <w:u w:val="single"/>
        </w:rPr>
        <w:t>Covered Employees</w:t>
      </w:r>
      <w:r>
        <w:rPr>
          <w:rFonts w:ascii="Times New Roman" w:hAnsi="Times New Roman"/>
          <w:color w:val="000000"/>
          <w:sz w:val="22"/>
        </w:rPr>
        <w:t>. From time to time, the Compensation Committee of the Board of Directors of the Company (the “</w:t>
      </w:r>
      <w:r>
        <w:rPr>
          <w:rFonts w:ascii="Times New Roman" w:hAnsi="Times New Roman"/>
          <w:b/>
          <w:i/>
          <w:color w:val="000000"/>
          <w:sz w:val="22"/>
        </w:rPr>
        <w:t>Compensation Committee</w:t>
      </w:r>
      <w:r>
        <w:rPr>
          <w:color w:val="000000"/>
        </w:rPr>
        <w:t>”</w:t>
      </w:r>
      <w:r>
        <w:rPr>
          <w:rFonts w:ascii="Times New Roman" w:hAnsi="Times New Roman"/>
          <w:color w:val="000000"/>
          <w:sz w:val="22"/>
        </w:rPr>
        <w:t>) may select certain employees at the Executive Vice President level or above (the “</w:t>
      </w:r>
      <w:r>
        <w:rPr>
          <w:rFonts w:ascii="Times New Roman" w:hAnsi="Times New Roman"/>
          <w:b/>
          <w:i/>
          <w:color w:val="000000"/>
          <w:sz w:val="22"/>
        </w:rPr>
        <w:t>Key Management Employees</w:t>
      </w:r>
      <w:r>
        <w:rPr>
          <w:color w:val="000000"/>
        </w:rPr>
        <w:t>”</w:t>
      </w:r>
      <w:r>
        <w:rPr>
          <w:rFonts w:ascii="Times New Roman" w:hAnsi="Times New Roman"/>
          <w:color w:val="000000"/>
          <w:sz w:val="22"/>
        </w:rPr>
        <w:t>) to be eligible to receive bonuses hereunder, and the Chief Executive Officer, Chief Financial Officer, and Chief People Officer (the “</w:t>
      </w:r>
      <w:r>
        <w:rPr>
          <w:rFonts w:ascii="Times New Roman" w:hAnsi="Times New Roman"/>
          <w:b/>
          <w:i/>
          <w:color w:val="000000"/>
          <w:sz w:val="22"/>
        </w:rPr>
        <w:t>Designated Officers</w:t>
      </w:r>
      <w:r>
        <w:rPr>
          <w:color w:val="000000"/>
        </w:rPr>
        <w:t>”</w:t>
      </w:r>
      <w:r>
        <w:rPr>
          <w:rFonts w:ascii="Times New Roman" w:hAnsi="Times New Roman"/>
          <w:color w:val="000000"/>
          <w:sz w:val="22"/>
        </w:rPr>
        <w:t>) may select certain other employees who are not at the Executive Vice President Level or above (the “</w:t>
      </w:r>
      <w:r>
        <w:rPr>
          <w:rFonts w:ascii="Times New Roman" w:hAnsi="Times New Roman"/>
          <w:b/>
          <w:i/>
          <w:color w:val="000000"/>
          <w:sz w:val="22"/>
        </w:rPr>
        <w:t>Non-Key Management Employees</w:t>
      </w:r>
      <w:r>
        <w:rPr>
          <w:color w:val="000000"/>
        </w:rPr>
        <w:t>”</w:t>
      </w:r>
      <w:r>
        <w:rPr>
          <w:rFonts w:ascii="Times New Roman" w:hAnsi="Times New Roman"/>
          <w:color w:val="000000"/>
          <w:sz w:val="22"/>
        </w:rPr>
        <w:t>) to be eligible to receive bonuses hereunder (such selected Key Management Employees and selected Non-Key Management Employees, the “</w:t>
      </w:r>
      <w:r>
        <w:rPr>
          <w:rFonts w:ascii="Times New Roman" w:hAnsi="Times New Roman"/>
          <w:b/>
          <w:i/>
          <w:color w:val="000000"/>
          <w:sz w:val="22"/>
        </w:rPr>
        <w:t>Covered Employees</w:t>
      </w:r>
      <w:r>
        <w:rPr>
          <w:color w:val="000000"/>
        </w:rPr>
        <w:t>”</w:t>
      </w:r>
      <w:r>
        <w:rPr>
          <w:rFonts w:ascii="Times New Roman" w:hAnsi="Times New Roman"/>
          <w:color w:val="000000"/>
          <w:sz w:val="22"/>
        </w:rPr>
        <w:t>); provided, however, that any employees selected to be eligible to receive bonuses hereunder who are “executive officers” as defined in 17 CFR 240.3b-7 shall be deemed “Key Management Employees” hereunder. Except as may otherwise be provided by an applicable agreement, participation in this Incentive Plan does not change the “at will” nature of a Covered Employee’s employment with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pPr>
      <w:r>
        <w:rPr>
          <w:rFonts w:ascii="Times New Roman" w:hAnsi="Times New Roman"/>
          <w:color w:val="000000"/>
          <w:sz w:val="22"/>
          <w:u w:val="single"/>
        </w:rPr>
        <w:t>Administration</w:t>
      </w:r>
      <w:r>
        <w:rPr>
          <w:rFonts w:ascii="Times New Roman" w:hAnsi="Times New Roman"/>
          <w:color w:val="000000"/>
          <w:sz w:val="22"/>
        </w:rPr>
        <w:t>. The Compensation Committee shall have the sole discretion and authority to administer and interpret the Incentive Plan and may delegate all or part of such discretion and authority to one or more directors, the Designated Officers and/or other officers of the Company, subject to compliance with applicable law and the Company’s governing documents. All decisions and interpretations of the Compensation Committee or its delegates, including the Designated Officers, as applicable, shall be final and binding on all persons, including the Company and the Covered Employees.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pPr>
      <w:r>
        <w:rPr>
          <w:rFonts w:ascii="Times New Roman" w:hAnsi="Times New Roman"/>
          <w:color w:val="000000"/>
          <w:sz w:val="22"/>
          <w:u w:val="single"/>
        </w:rPr>
        <w:t>Bonus Determinations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Corporate Performance Goals</w:t>
      </w:r>
      <w:r>
        <w:rPr>
          <w:rFonts w:ascii="Times New Roman" w:hAnsi="Times New Roman"/>
          <w:color w:val="000000"/>
          <w:sz w:val="22"/>
        </w:rPr>
        <w:t>. A Covered Employee may, in the Compensation Committee’s sole discretion, receive a bonus payment under the Incentive Plan based upon the attainment of one or more performance objectives that are established by the Compensation Committee and relate to financial and operational metrics with respect to the Company or any of its subsidiaries (the “</w:t>
      </w:r>
      <w:r>
        <w:rPr>
          <w:rFonts w:ascii="Times New Roman" w:hAnsi="Times New Roman"/>
          <w:b/>
          <w:i/>
          <w:color w:val="000000"/>
          <w:sz w:val="22"/>
        </w:rPr>
        <w:t>Corporate Performance Goals</w:t>
      </w:r>
      <w:r>
        <w:rPr>
          <w:color w:val="000000"/>
        </w:rPr>
        <w:t>”</w:t>
      </w:r>
      <w:r>
        <w:rPr>
          <w:rFonts w:ascii="Times New Roman" w:hAnsi="Times New Roman"/>
          <w:color w:val="000000"/>
          <w:sz w:val="22"/>
        </w:rPr>
        <w:t xml:space="preserve">), including the following: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the Company’s common stock; economic value-added; acquisitions or strategic transactions; operating income (loss); return on capital, assets, equity, or investment; stockholder returns; return on sales; gross or net profit levels; productivity; expense efficiency; margins; operating efficiency; customer satisfaction; working capital; earnings (loss) per share of the Company’s common stock; bookings, new bookings or renewals; sales or market shares; number of customers, number of new customers or customer references; operating income, net annual recurring revenue, and/or any other performance goal selected by the Compensation Committee, any of which may be (A) measured in absolute terms or compared to any incremental increase, (B) measured in terms of growth, (C) compared to another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company or companies or to results of a peer group, (D) measured against the market as a whole and/or as compared to applicable market indices and/or (E) measured on a pre-tax or post-tax basis (if applicable). Further, any Corporate Performance Goals may be used to measure the performance of the Company as a whole or a business unit or other segment of the Company, or one or more product lines or specific markets. The Corporate Performance Goals may differ from Covered Employee to Covered Employee.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Calculation of Corporate Performance Goals</w:t>
      </w:r>
      <w:r>
        <w:rPr>
          <w:rFonts w:ascii="Times New Roman" w:hAnsi="Times New Roman"/>
          <w:color w:val="000000"/>
          <w:sz w:val="22"/>
        </w:rPr>
        <w:t>. At the beginning of each applicable performance period, the Compensation Committee will determine whether any significant element(s) will be included in or excluded from the calculation of any Corporate Performance Goal with respect to any Covered Employee. In all other respects, Corporate Performance Goals will be calculated in accordance with the Company’s financial statements, generally accepted accounting principles, or under a methodology established by the Compensation Committee at the beginning of the performance period and which is consistently applied with respect to a Corporate Performance Goal in the relevant performance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Target; Minimum; Maximum</w:t>
      </w:r>
      <w:r>
        <w:rPr>
          <w:rFonts w:ascii="Times New Roman" w:hAnsi="Times New Roman"/>
          <w:color w:val="000000"/>
          <w:sz w:val="22"/>
        </w:rPr>
        <w:t>. Each Corporate Performance Goal shall have a “target” (100 percent attainment of the Corporate Performance Goal) and may also have a “minimum” hurdle and/or a “maximum” amount.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Bonus Requirements; Individual Goals</w:t>
      </w:r>
      <w:r>
        <w:rPr>
          <w:rFonts w:ascii="Times New Roman" w:hAnsi="Times New Roman"/>
          <w:color w:val="000000"/>
          <w:sz w:val="22"/>
        </w:rPr>
        <w:t>. Except as otherwise set forth in this Section 4(d): (i) any bonuses paid to Covered Employees under the Incentive Plan shall be based on one or more performance targets relating to the Corporate Performance Goals, based upon the information available to the Compensation Committee at the time of determination, (ii) bonus formulas for Covered Employees shall be adopted in each performance period by the Compensation Committee and communicated to each Covered Employee at the beginning of each performance period and (iii) no bonuses shall be paid to Covered Employees unless and until the Compensation Committee (in its sole discretion) makes a determination with respect to the attainment of the applicable performance metrics. Notwithstanding the foregoing, the Compensation Committee may adjust bonuses payable under the Incentive Plan based on achievement of one or more individual performance objectives or pay bonuses (including, without limitation, discretionary bonuses) to each Covered Employee that is a Key Management Employee under the Incentive Plan based on individual performance goals and/or upon such other terms and conditions as the Compensation Committee may in its discretion determine. The Designated Officers may adjust bonuses payable under the Incentive Plan based on achievement of one or more individual performance objectives or pay bonuses (including, without limitation, discretionary bonuses) to each Covered Employees that is a Non-Key Management Employee under the Incentive Plan based on individual performance goals and/or upon such other terms and conditions as the Designated Officers may in their discretion determine.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Individual Target Bonuses</w:t>
      </w:r>
      <w:r>
        <w:rPr>
          <w:rFonts w:ascii="Times New Roman" w:hAnsi="Times New Roman"/>
          <w:color w:val="000000"/>
          <w:sz w:val="22"/>
        </w:rPr>
        <w:t>. The Compensation Committee shall establish a target bonus opportunity for each Covered Employee that is a Key Management Employee for each performance period. For each Covered Employee that is a Key Management Employee, the Compensation Committee shall have the authority to apportion the target award so that a portion of the target award shall be tied to attainment of Corporate Performance Goals and a portion of the target award shall be tied to attainment of individual performance objectives. The Designated Officers shall establish a target bonus opportunity for each Covered Employee that is a Non-Key Management Employee for each performance period. For each Covered Employee that is a Non-Key Management Employee, the Designated Officers shall have the authority to apportion the target award so that a portion of the target award shall be tied to attainment of Corporate Performance Goals and a portion of the target award shall be tied to attainment of individual performance objectives.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Employment Requirement</w:t>
      </w:r>
      <w:r>
        <w:rPr>
          <w:rFonts w:ascii="Times New Roman" w:hAnsi="Times New Roman"/>
          <w:color w:val="000000"/>
          <w:sz w:val="22"/>
        </w:rPr>
        <w:t xml:space="preserve">. Subject to any additional terms contained in a written agreement between the Covered Employee and the Company, no bonus shall be earned by a Covered Employee with respect to a performance period until the bonus payment date for such performance period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any bonus shall be conditioned upon the Covered Employee’s employment by the Company through such bonus payment date. If a Covered Employee was not employed for an entire performance period, the Compensation Committee (or the Designated Officers with respect to Covered Employees who are Non-Key Management Employees) may prorate the bonus based on the number of days employed during such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pPr>
      <w:r>
        <w:rPr>
          <w:rFonts w:ascii="Times New Roman" w:hAnsi="Times New Roman"/>
          <w:color w:val="000000"/>
          <w:sz w:val="22"/>
          <w:u w:val="single"/>
        </w:rPr>
        <w:t>Timing of Payment</w:t>
      </w:r>
      <w:r>
        <w:rPr>
          <w:rFonts w:ascii="Times New Roman" w:hAnsi="Times New Roman"/>
          <w:color w:val="000000"/>
          <w:sz w:val="22"/>
        </w:rPr>
        <w:t>. Corporate Performance Goals will be measured at the end of each performance period after the Company’s financial reports with respect to such period have been published. Any bonus for a performance period shall be paid as soon as reasonably practicable after achievement of the applicable performance metrics for such period has been determined.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both"/>
        <w:rPr/>
      </w:pPr>
      <w:r>
        <w:rPr>
          <w:rFonts w:ascii="Times New Roman" w:hAnsi="Times New Roman"/>
          <w:color w:val="000000"/>
          <w:sz w:val="22"/>
          <w:u w:val="single"/>
        </w:rPr>
        <w:t>Recoupment</w:t>
      </w:r>
      <w:r>
        <w:rPr>
          <w:rFonts w:ascii="Times New Roman" w:hAnsi="Times New Roman"/>
          <w:color w:val="000000"/>
          <w:sz w:val="22"/>
        </w:rPr>
        <w:t>. Notwithstanding anything to the contrary in the Incentive Plan, all amounts payable pursuant to the Incentive Plan are subject to recoupment under the Company’s Policy for Recoupment of Incentive Compensation (the “</w:t>
      </w:r>
      <w:r>
        <w:rPr>
          <w:rFonts w:ascii="Times New Roman" w:hAnsi="Times New Roman"/>
          <w:b/>
          <w:i/>
          <w:color w:val="000000"/>
          <w:sz w:val="22"/>
        </w:rPr>
        <w:t>Recoupment Policy</w:t>
      </w:r>
      <w:r>
        <w:rPr>
          <w:color w:val="000000"/>
        </w:rPr>
        <w:t xml:space="preserve">” </w:t>
      </w:r>
      <w:r>
        <w:rPr>
          <w:rFonts w:ascii="Times New Roman" w:hAnsi="Times New Roman"/>
          <w:color w:val="000000"/>
          <w:sz w:val="22"/>
        </w:rPr>
        <w:t>applicable to Executive Officers (as defined in the Recoupment Policy) or as otherwise may be required or permitted under applicable law. For the avoidance of doubt, any action by the Company to recover compensation under the Recoupment Policy or pursuant to applicable law shall not be deemed to constitute (i) an event giving rise to a right to resign for “good reason”, if applicable, or serve as a basis for a claim of constructive termination under any benefits or compensation arrangement applicable to a Covered Employee or (ii) a breach of a contract or other arrangement to which a Covered Employee is a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both"/>
        <w:rPr/>
      </w:pPr>
      <w:r>
        <w:rPr>
          <w:rFonts w:ascii="Times New Roman" w:hAnsi="Times New Roman"/>
          <w:color w:val="000000"/>
          <w:sz w:val="22"/>
          <w:u w:val="single"/>
        </w:rPr>
        <w:t>Section 409A</w:t>
      </w:r>
      <w:r>
        <w:rPr>
          <w:rFonts w:ascii="Times New Roman" w:hAnsi="Times New Roman"/>
          <w:color w:val="000000"/>
          <w:sz w:val="22"/>
        </w:rPr>
        <w:t>. The provisions regarding all payments to be made hereunder shall be interpreted in such a manner that all such payments either exempt from the requirements of Section 409A of the Internal Revenue Code of 1986, as amended (“</w:t>
      </w:r>
      <w:r>
        <w:rPr>
          <w:rFonts w:ascii="Times New Roman" w:hAnsi="Times New Roman"/>
          <w:b/>
          <w:i/>
          <w:color w:val="000000"/>
          <w:sz w:val="22"/>
        </w:rPr>
        <w:t>Section 409A</w:t>
      </w:r>
      <w:r>
        <w:rPr>
          <w:color w:val="000000"/>
        </w:rPr>
        <w:t>”</w:t>
      </w:r>
      <w:r>
        <w:rPr>
          <w:rFonts w:ascii="Times New Roman" w:hAnsi="Times New Roman"/>
          <w:color w:val="000000"/>
          <w:sz w:val="22"/>
        </w:rPr>
        <w:t>) or comply with Section 409A. To the extent that any amounts payable hereunder are determined to constitute “nonqualified deferred compensation” within the meaning of Section 409A, such amounts shall be subject to such additional rules and requirements as specified by the Compensation Committee from time to time in order to comply with Section 409A. The Company makes no representation or warranty and shall have no liability to any Covered Employee or any other person if any payments under any provisions of this Incentive Plan are determined to constitute deferred compensation under Section 409A that are subject to the 20% tax under Section 409A.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w:t>
      </w:r>
    </w:p>
    <w:p>
      <w:pPr>
        <w:pStyle w:val="TextBody"/>
        <w:bidi w:val="0"/>
        <w:spacing w:before="0" w:after="240"/>
        <w:jc w:val="both"/>
        <w:rPr/>
      </w:pPr>
      <w:r>
        <w:rPr>
          <w:rFonts w:ascii="Times New Roman" w:hAnsi="Times New Roman"/>
          <w:color w:val="000000"/>
          <w:sz w:val="22"/>
          <w:u w:val="single"/>
        </w:rPr>
        <w:t>Amendment and Termination</w:t>
      </w:r>
      <w:r>
        <w:rPr>
          <w:rFonts w:ascii="Times New Roman" w:hAnsi="Times New Roman"/>
          <w:color w:val="000000"/>
          <w:sz w:val="22"/>
        </w:rPr>
        <w:t>. The Company reserves the right to amend or terminate the Incentive Plan at any time in its sole discretion.</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Date approved: June 15, 2026</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bookmarkStart w:id="24" w:name="hubs-ex31_1.htm"/>
      <w:bookmarkStart w:id="25" w:name="kshubsex31_1"/>
      <w:bookmarkEnd w:id="24"/>
      <w:bookmarkEnd w:id="25"/>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Yamini Rangan,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HubSpot,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020" w:type="dxa"/>
        <w:jc w:val="left"/>
        <w:tblInd w:w="0" w:type="dxa"/>
        <w:tblLayout w:type="fixed"/>
        <w:tblCellMar>
          <w:top w:w="28" w:type="dxa"/>
          <w:left w:w="28" w:type="dxa"/>
          <w:bottom w:w="28" w:type="dxa"/>
          <w:right w:w="28" w:type="dxa"/>
        </w:tblCellMar>
      </w:tblPr>
      <w:tblGrid>
        <w:gridCol w:w="1846"/>
        <w:gridCol w:w="146"/>
        <w:gridCol w:w="406"/>
        <w:gridCol w:w="146"/>
        <w:gridCol w:w="247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Yamini Rangan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Yamini Rangan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hubs-ex31_2.htm"/>
      <w:bookmarkStart w:id="27" w:name="kshubsex31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Kate Bueker,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HubSpot,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960" w:type="dxa"/>
        <w:jc w:val="left"/>
        <w:tblInd w:w="0" w:type="dxa"/>
        <w:tblLayout w:type="fixed"/>
        <w:tblCellMar>
          <w:top w:w="28" w:type="dxa"/>
          <w:left w:w="28" w:type="dxa"/>
          <w:bottom w:w="28" w:type="dxa"/>
          <w:right w:w="28" w:type="dxa"/>
        </w:tblCellMar>
      </w:tblPr>
      <w:tblGrid>
        <w:gridCol w:w="1846"/>
        <w:gridCol w:w="146"/>
        <w:gridCol w:w="406"/>
        <w:gridCol w:w="14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Kate Bueker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hubs-ex32_1.htm"/>
      <w:bookmarkStart w:id="29" w:name="kshubsex32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 AND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Yamini Rangan, certify, pursuant to 18 U.S.C. Section 1350, as adopted pursuant to Section 906 of the Sarbanes-Oxley Act of 2002, that, to my knowledge, the Quarterly Report on Form 10-Q of HubSpot, Inc. for the period ended June 30, 2026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tbl>
      <w:tblPr>
        <w:tblW w:w="5020" w:type="dxa"/>
        <w:jc w:val="left"/>
        <w:tblInd w:w="0" w:type="dxa"/>
        <w:tblLayout w:type="fixed"/>
        <w:tblCellMar>
          <w:top w:w="28" w:type="dxa"/>
          <w:left w:w="28" w:type="dxa"/>
          <w:bottom w:w="28" w:type="dxa"/>
          <w:right w:w="28" w:type="dxa"/>
        </w:tblCellMar>
      </w:tblPr>
      <w:tblGrid>
        <w:gridCol w:w="1846"/>
        <w:gridCol w:w="146"/>
        <w:gridCol w:w="406"/>
        <w:gridCol w:w="146"/>
        <w:gridCol w:w="247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Yamini Rangan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Yamini Rangan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 Kate Bueker, certify, pursuant to 18 U.S.C. Section 1350, as adopted pursuant to Section 906 of the Sarbanes-Oxley Act of 2002, that, to my knowledge, the Quarterly Report on Form 10-Q of HubSpot, Inc. for the period ended June 30, 2026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tbl>
      <w:tblPr>
        <w:tblW w:w="4960" w:type="dxa"/>
        <w:jc w:val="left"/>
        <w:tblInd w:w="0" w:type="dxa"/>
        <w:tblLayout w:type="fixed"/>
        <w:tblCellMar>
          <w:top w:w="28" w:type="dxa"/>
          <w:left w:w="28" w:type="dxa"/>
          <w:bottom w:w="28" w:type="dxa"/>
          <w:right w:w="28" w:type="dxa"/>
        </w:tblCellMar>
      </w:tblPr>
      <w:tblGrid>
        <w:gridCol w:w="1846"/>
        <w:gridCol w:w="146"/>
        <w:gridCol w:w="406"/>
        <w:gridCol w:w="14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Kate Bueker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04655/000095017025084424/hubs-ex3_1.htm" TargetMode="External"/><Relationship Id="rId3" Type="http://schemas.openxmlformats.org/officeDocument/2006/relationships/hyperlink" Target="https://www.sec.gov/Archives/edgar/data/1404655/000095017025084424/hubs-ex3_2.htm" TargetMode="External"/><Relationship Id="rId4" Type="http://schemas.openxmlformats.org/officeDocument/2006/relationships/hyperlink" Target="https://www.sec.gov/Archives/edgar/data/1404655/000119312526102426/hubs-ex3_1.htm" TargetMode="External"/><Relationship Id="rId5" Type="http://schemas.openxmlformats.org/officeDocument/2006/relationships/hyperlink" Target="https://www.sec.gov/Archives/edgar/data/1404655/000119312514353746/d697256dex41.htm" TargetMode="External"/><Relationship Id="rId6" Type="http://schemas.openxmlformats.org/officeDocument/2006/relationships/hyperlink" Target="https://www.sec.gov/Archives/edgar/data/1404655/000119312526272643/hubs-ex10_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47489</Words>
  <Characters>263879</Characters>
  <CharactersWithSpaces>312576</CharactersWithSpaces>
  <Paragraphs>8416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