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40630.htm"/>
      <w:bookmarkStart w:id="1" w:name="kshubs20240630"/>
      <w:bookmarkEnd w:id="0"/>
      <w:bookmarkEnd w:id="1"/>
      <w:r>
        <w:rPr/>
        <w:t>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FOR THE QUARTERLY PERIOD ENDED June 30, 2024</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4"/>
        </w:rPr>
      </w:pPr>
      <w:r>
        <w:rPr>
          <w:rFonts w:ascii="Times New Roman" w:hAnsi="Times New Roman"/>
          <w:b/>
          <w:color w:val="000000"/>
          <w:sz w:val="44"/>
        </w:rPr>
        <w:t>HubSpot,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tbl>
      <w:tblPr>
        <w:tblW w:w="4116" w:type="dxa"/>
        <w:jc w:val="left"/>
        <w:tblInd w:w="0" w:type="dxa"/>
        <w:tblLayout w:type="fixed"/>
        <w:tblCellMar>
          <w:top w:w="28" w:type="dxa"/>
          <w:left w:w="28" w:type="dxa"/>
          <w:bottom w:w="28" w:type="dxa"/>
          <w:right w:w="28" w:type="dxa"/>
        </w:tblCellMar>
      </w:tblPr>
      <w:tblGrid>
        <w:gridCol w:w="2446"/>
        <w:gridCol w:w="109"/>
        <w:gridCol w:w="156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2446"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Two Canal Park</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9"/>
              </w:rPr>
              <w:t>Cambridge, Massachusetts</w:t>
            </w:r>
            <w:r>
              <w:rPr>
                <w:rFonts w:ascii="Times New Roman" w:hAnsi="Times New Roman"/>
                <w:color w:val="000000"/>
                <w:sz w:val="20"/>
              </w:rPr>
              <w:t xml:space="preserve"> </w:t>
            </w:r>
            <w:r>
              <w:rPr>
                <w:rFonts w:ascii="Times New Roman" w:hAnsi="Times New Roman"/>
                <w:b/>
                <w:color w:val="000000"/>
                <w:sz w:val="19"/>
              </w:rPr>
              <w:t>02141</w:t>
            </w:r>
          </w:p>
        </w:tc>
      </w:tr>
      <w:tr>
        <w:trPr/>
        <w:tc>
          <w:tcPr>
            <w:tcW w:w="348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9"/>
              </w:rPr>
              <w:t>(Address of principal executive offices)</w:t>
            </w:r>
          </w:p>
        </w:tc>
      </w:tr>
    </w:tbl>
    <w:p>
      <w:pPr>
        <w:pStyle w:val="TextBody"/>
        <w:bidi w:val="0"/>
        <w:spacing w:before="100" w:after="283"/>
        <w:jc w:val="center"/>
        <w:rPr>
          <w:rFonts w:ascii="Times New Roman" w:hAnsi="Times New Roman"/>
          <w:b/>
          <w:color w:val="000000"/>
          <w:sz w:val="18"/>
        </w:rPr>
      </w:pPr>
      <w:r>
        <w:rPr>
          <w:rFonts w:ascii="Times New Roman" w:hAnsi="Times New Roman"/>
          <w:b/>
          <w:color w:val="000000"/>
          <w:sz w:val="18"/>
        </w:rPr>
        <w:t>(888) 482-7768</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436"/>
        <w:gridCol w:w="146"/>
        <w:gridCol w:w="1561"/>
        <w:gridCol w:w="146"/>
        <w:gridCol w:w="34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HUBS</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Stock Exchange</w:t>
            </w:r>
          </w:p>
        </w:tc>
      </w:tr>
    </w:tbl>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There were 51,348,838</w:t>
      </w:r>
      <w:r>
        <w:rPr>
          <w:rFonts w:ascii="Times New Roman" w:hAnsi="Times New Roman"/>
          <w:color w:val="FF0000"/>
          <w:sz w:val="20"/>
        </w:rPr>
        <w:t xml:space="preserve"> </w:t>
      </w:r>
      <w:r>
        <w:rPr>
          <w:rFonts w:ascii="Times New Roman" w:hAnsi="Times New Roman"/>
          <w:color w:val="000000"/>
          <w:sz w:val="18"/>
        </w:rPr>
        <w:t>shares of the registrant’s Common Stock issued and outstanding as of August 2, 2024.</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6"/>
        <w:gridCol w:w="391"/>
        <w:gridCol w:w="8477"/>
        <w:gridCol w:w="361"/>
      </w:tblGrid>
      <w:tr>
        <w:trPr/>
        <w:tc>
          <w:tcPr>
            <w:tcW w:w="9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center"/>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_financial_statements">
              <w:r>
                <w:rPr>
                  <w:rStyle w:val="InternetLink"/>
                  <w:rFonts w:ascii="Times New Roman" w:hAnsi="Times New Roman"/>
                  <w:color w:val="0000FF"/>
                  <w:sz w:val="20"/>
                  <w:u w:val="single"/>
                </w:rPr>
                <w:t>Unaudited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balance_sheets">
              <w:r>
                <w:rPr>
                  <w:rStyle w:val="InternetLink"/>
                  <w:rFonts w:ascii="Times New Roman" w:hAnsi="Times New Roman"/>
                  <w:color w:val="0000FF"/>
                  <w:sz w:val="20"/>
                  <w:u w:val="single"/>
                </w:rPr>
                <w:t>Unaudited Consolidated Balance Sheets as of June 30, 2024 and December 31,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operat">
              <w:r>
                <w:rPr>
                  <w:rStyle w:val="InternetLink"/>
                  <w:rFonts w:ascii="Times New Roman" w:hAnsi="Times New Roman"/>
                  <w:color w:val="0000FF"/>
                  <w:sz w:val="20"/>
                  <w:u w:val="single"/>
                </w:rPr>
                <w:t>Unaudited Consolidated Statements of Operations for the Three and Six Months Ended June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compre">
              <w:r>
                <w:rPr>
                  <w:rStyle w:val="InternetLink"/>
                  <w:rFonts w:ascii="Times New Roman" w:hAnsi="Times New Roman"/>
                  <w:color w:val="0000FF"/>
                  <w:sz w:val="20"/>
                  <w:u w:val="single"/>
                </w:rPr>
                <w:t>Unaudited Consolidated Statements of Comprehensive Loss for the Three and Six Months Ended June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ted_consolidated_se">
              <w:r>
                <w:rPr>
                  <w:rStyle w:val="InternetLink"/>
                  <w:rFonts w:ascii="Times New Roman" w:hAnsi="Times New Roman"/>
                  <w:color w:val="0000FF"/>
                  <w:sz w:val="20"/>
                  <w:u w:val="single"/>
                </w:rPr>
                <w:t>Unaudited Consolidated Statement of Stockholders’ Equity for the Three and Six Months Ended June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unaudited_consolidated_statements_cash_f">
              <w:r>
                <w:rPr>
                  <w:rStyle w:val="InternetLink"/>
                  <w:rFonts w:ascii="Times New Roman" w:hAnsi="Times New Roman"/>
                  <w:color w:val="0000FF"/>
                  <w:sz w:val="20"/>
                  <w:u w:val="single"/>
                </w:rPr>
                <w:t>Unaudited Consolidated Statements of Cash Flows for the Six Months Ended June 30, 2024 and 2023</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rFonts w:ascii="Times New Roman" w:hAnsi="Times New Roman"/>
                <w:color w:val="0000FF"/>
                <w:sz w:val="20"/>
                <w:u w:val="single"/>
              </w:rPr>
            </w:pPr>
            <w:r>
              <w:rPr>
                <w:rFonts w:ascii="Times New Roman" w:hAnsi="Times New Roman"/>
                <w:color w:val="0000FF"/>
                <w:sz w:val="20"/>
                <w:u w:val="single"/>
              </w:rPr>
              <w:t>Notes to Unaudited Consolidated Financial Statements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4_controls_procedures">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on_senior_securities">
              <w:r>
                <w:rPr>
                  <w:rStyle w:val="InternetLink"/>
                  <w:rFonts w:ascii="Times New Roman" w:hAnsi="Times New Roman"/>
                  <w:color w:val="0000FF"/>
                  <w:sz w:val="20"/>
                  <w:u w:val="single"/>
                </w:rPr>
                <w:t>Default Upon Senior Securities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CFO PURSUANT TO SECTION 302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THE CEO AND CFO PURSUANT TO SECTION 906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and operational performance, including our expectations regarding our revenue, cost of revenue, gross margin and operating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expectations regarding the potential impact of geo-political conflicts, inflationary pressures, foreign currency movement, macroeconomic stability, and catastrophic events, such as the COVID-19 pandemic, on our business, the broader economy, our workforce and operations, the markets in which we and our partners and customers operate, and our ability to forecast future financial performance;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artificial intelligence and machine learning, customer service and support, data center infrastructure and service capabilities, and expectations relating to such investments;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artificial intelligence and machine learning;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brand and inbound marketing, selling and servicing thought leadership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this Quarterly Report on Form 10-Q, the terms “HubSpot,” “we,” “us,” and “our” refer to HubSpot, Inc. and its subsidiaries, unless the context indicates otherwise.</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evolving industry standards and changing customer needs or requirements, our customer platform may become less competitive.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current economic downturn may lead to decreased demand for our products and services and otherwise harm our business and results of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 history of losses and may not achieve profitability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4" w:name="unaudited_consolidated_balance_sheets"/>
      <w:bookmarkEnd w:id="4"/>
      <w:r>
        <w:rPr>
          <w:rFonts w:ascii="Times New Roman" w:hAnsi="Times New Roman"/>
          <w:b/>
          <w:color w:val="000000"/>
          <w:sz w:val="20"/>
        </w:rPr>
        <w:t>Unaudited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334" w:type="dxa"/>
        <w:jc w:val="left"/>
        <w:tblInd w:w="0" w:type="dxa"/>
        <w:tblLayout w:type="fixed"/>
        <w:tblCellMar>
          <w:top w:w="28" w:type="dxa"/>
          <w:left w:w="28" w:type="dxa"/>
          <w:bottom w:w="28" w:type="dxa"/>
          <w:right w:w="28" w:type="dxa"/>
        </w:tblCellMar>
      </w:tblPr>
      <w:tblGrid>
        <w:gridCol w:w="6201"/>
        <w:gridCol w:w="146"/>
        <w:gridCol w:w="211"/>
        <w:gridCol w:w="931"/>
        <w:gridCol w:w="166"/>
        <w:gridCol w:w="146"/>
        <w:gridCol w:w="211"/>
        <w:gridCol w:w="931"/>
        <w:gridCol w:w="391"/>
      </w:tblGrid>
      <w:tr>
        <w:trPr/>
        <w:tc>
          <w:tcPr>
            <w:tcW w:w="6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6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387,987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1,000,245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 net of allowance for doubtful accounts of $4,903</w:t>
              <w:br/>
              <w:t>    at June 30, 2024 and $5,516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99,326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1,871,540</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325,703</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103,331</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106,229</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251,071</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122,194</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75,247</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42,316</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78,169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942,008</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296,561</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w:t>
            </w:r>
          </w:p>
        </w:tc>
        <w:tc>
          <w:tcPr>
            <w:tcW w:w="391" w:type="dxa"/>
            <w:tcBorders/>
            <w:shd w:fill="CFF0FC"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36,459</w:t>
            </w:r>
          </w:p>
        </w:tc>
        <w:tc>
          <w:tcPr>
            <w:tcW w:w="391" w:type="dxa"/>
            <w:tcBorders/>
            <w:shd w:fill="FFFFFF" w:val="cle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2,136,908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5" w:name="unaudited_consolidated_statements_operat"/>
      <w:bookmarkEnd w:id="5"/>
      <w:r>
        <w:rPr>
          <w:rFonts w:ascii="Times New Roman" w:hAnsi="Times New Roman"/>
          <w:b/>
          <w:color w:val="000000"/>
          <w:sz w:val="20"/>
        </w:rPr>
        <w:t>Unaudited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3738"/>
        <w:gridCol w:w="244"/>
        <w:gridCol w:w="904"/>
        <w:gridCol w:w="191"/>
        <w:gridCol w:w="168"/>
        <w:gridCol w:w="244"/>
        <w:gridCol w:w="973"/>
        <w:gridCol w:w="166"/>
        <w:gridCol w:w="146"/>
        <w:gridCol w:w="214"/>
        <w:gridCol w:w="946"/>
        <w:gridCol w:w="168"/>
        <w:gridCol w:w="148"/>
        <w:gridCol w:w="214"/>
        <w:gridCol w:w="946"/>
        <w:gridCol w:w="795"/>
      </w:tblGrid>
      <w:tr>
        <w:trPr/>
        <w:tc>
          <w:tcPr>
            <w:tcW w:w="37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3738" w:type="dxa"/>
            <w:tcBorders/>
            <w:shd w:fill="FFFFFF" w:val="clear"/>
            <w:vAlign w:val="center"/>
          </w:tcPr>
          <w:p>
            <w:pPr>
              <w:pStyle w:val="TableContents"/>
              <w:bidi w:val="0"/>
              <w:spacing w:before="0" w:after="283"/>
              <w:jc w:val="left"/>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8" w:type="dxa"/>
            <w:tcBorders/>
            <w:shd w:fill="FFFFFF" w:val="cle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148"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2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0"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160" w:type="dxa"/>
            <w:gridSpan w:val="2"/>
            <w:tcBorders/>
            <w:shd w:fill="CFF0FC" w:val="clear"/>
            <w:vAlign w:val="center"/>
          </w:tcPr>
          <w:p>
            <w:pPr>
              <w:pStyle w:val="TableContents"/>
              <w:bidi w:val="0"/>
              <w:spacing w:before="0" w:after="283"/>
              <w:jc w:val="right"/>
              <w:rPr/>
            </w:pPr>
            <w:r>
              <w:rPr/>
              <w:t> </w:t>
            </w:r>
          </w:p>
        </w:tc>
        <w:tc>
          <w:tcPr>
            <w:tcW w:w="795" w:type="dxa"/>
            <w:tcBorders/>
            <w:shd w:fill="CFF0FC" w:val="clear"/>
            <w:vAlign w:val="center"/>
          </w:tcPr>
          <w:p>
            <w:pPr>
              <w:pStyle w:val="TableContents"/>
              <w:bidi w:val="0"/>
              <w:spacing w:before="0" w:after="283"/>
              <w:ind w:left="0" w:right="0" w:firstLine="200"/>
              <w:jc w:val="right"/>
              <w:rPr/>
            </w:pPr>
            <w:r>
              <w:rPr/>
              <w:t> </w:t>
            </w:r>
          </w:p>
        </w:tc>
      </w:tr>
      <w:tr>
        <w:trPr/>
        <w:tc>
          <w:tcPr>
            <w:tcW w:w="37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623,763</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1,227,559</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1,007,421</w:t>
            </w:r>
          </w:p>
        </w:tc>
        <w:tc>
          <w:tcPr>
            <w:tcW w:w="795" w:type="dxa"/>
            <w:tcBorders/>
            <w:shd w:fill="FFFFFF" w:val="clear"/>
            <w:vAlign w:val="center"/>
          </w:tcPr>
          <w:p>
            <w:pPr>
              <w:pStyle w:val="TableContents"/>
              <w:bidi w:val="0"/>
              <w:spacing w:before="0" w:after="283"/>
              <w:ind w:left="0" w:right="0" w:firstLine="200"/>
              <w:jc w:val="left"/>
              <w:rPr/>
            </w:pPr>
            <w:r>
              <w:rPr/>
              <w:t> </w:t>
            </w:r>
          </w:p>
        </w:tc>
      </w:tr>
      <w:tr>
        <w:trPr/>
        <w:tc>
          <w:tcPr>
            <w:tcW w:w="37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3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revenue</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1,254,644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1,030,758</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148"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2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0"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160" w:type="dxa"/>
            <w:gridSpan w:val="2"/>
            <w:tcBorders/>
            <w:shd w:fill="CFF0FC" w:val="clear"/>
            <w:vAlign w:val="center"/>
          </w:tcPr>
          <w:p>
            <w:pPr>
              <w:pStyle w:val="TableContents"/>
              <w:bidi w:val="0"/>
              <w:spacing w:before="0" w:after="283"/>
              <w:jc w:val="right"/>
              <w:rPr/>
            </w:pPr>
            <w:r>
              <w:rPr/>
              <w:t> </w:t>
            </w:r>
          </w:p>
        </w:tc>
        <w:tc>
          <w:tcPr>
            <w:tcW w:w="795" w:type="dxa"/>
            <w:tcBorders/>
            <w:shd w:fill="CFF0FC" w:val="clear"/>
            <w:vAlign w:val="center"/>
          </w:tcPr>
          <w:p>
            <w:pPr>
              <w:pStyle w:val="TableContents"/>
              <w:bidi w:val="0"/>
              <w:spacing w:before="0" w:after="283"/>
              <w:ind w:left="0" w:right="0" w:firstLine="200"/>
              <w:jc w:val="right"/>
              <w:rPr/>
            </w:pPr>
            <w:r>
              <w:rPr/>
              <w:t> </w:t>
            </w:r>
          </w:p>
        </w:tc>
      </w:tr>
      <w:tr>
        <w:trPr/>
        <w:tc>
          <w:tcPr>
            <w:tcW w:w="37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2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81,618</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162,342</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138,116</w:t>
            </w:r>
          </w:p>
        </w:tc>
        <w:tc>
          <w:tcPr>
            <w:tcW w:w="795" w:type="dxa"/>
            <w:tcBorders/>
            <w:shd w:fill="FFFFFF" w:val="clear"/>
            <w:vAlign w:val="center"/>
          </w:tcPr>
          <w:p>
            <w:pPr>
              <w:pStyle w:val="TableContents"/>
              <w:bidi w:val="0"/>
              <w:spacing w:before="0" w:after="283"/>
              <w:ind w:left="0" w:right="0" w:firstLine="200"/>
              <w:jc w:val="left"/>
              <w:rPr/>
            </w:pPr>
            <w:r>
              <w:rPr/>
              <w:t> </w:t>
            </w:r>
          </w:p>
        </w:tc>
      </w:tr>
      <w:tr>
        <w:trPr/>
        <w:tc>
          <w:tcPr>
            <w:tcW w:w="37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27,169</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3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165,285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1,064,040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865,473</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48"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2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60"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1160" w:type="dxa"/>
            <w:gridSpan w:val="2"/>
            <w:tcBorders/>
            <w:shd w:fill="FFFFFF" w:val="clear"/>
            <w:vAlign w:val="center"/>
          </w:tcPr>
          <w:p>
            <w:pPr>
              <w:pStyle w:val="TableContents"/>
              <w:bidi w:val="0"/>
              <w:spacing w:before="0" w:after="283"/>
              <w:jc w:val="right"/>
              <w:rPr/>
            </w:pPr>
            <w:r>
              <w:rPr/>
              <w:t> </w:t>
            </w:r>
          </w:p>
        </w:tc>
        <w:tc>
          <w:tcPr>
            <w:tcW w:w="795" w:type="dxa"/>
            <w:tcBorders/>
            <w:shd w:fill="FFFFFF" w:val="clear"/>
            <w:vAlign w:val="center"/>
          </w:tcPr>
          <w:p>
            <w:pPr>
              <w:pStyle w:val="TableContents"/>
              <w:bidi w:val="0"/>
              <w:spacing w:before="0" w:after="283"/>
              <w:ind w:left="0" w:right="0" w:firstLine="200"/>
              <w:jc w:val="right"/>
              <w:rPr/>
            </w:pPr>
            <w:r>
              <w:rPr/>
              <w:t> </w:t>
            </w:r>
          </w:p>
        </w:tc>
      </w:tr>
      <w:tr>
        <w:trPr/>
        <w:tc>
          <w:tcPr>
            <w:tcW w:w="37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44"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198,180</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373,817</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297,639</w:t>
            </w:r>
          </w:p>
        </w:tc>
        <w:tc>
          <w:tcPr>
            <w:tcW w:w="795" w:type="dxa"/>
            <w:tcBorders/>
            <w:shd w:fill="CFF0FC" w:val="clear"/>
            <w:vAlign w:val="center"/>
          </w:tcPr>
          <w:p>
            <w:pPr>
              <w:pStyle w:val="TableContents"/>
              <w:bidi w:val="0"/>
              <w:spacing w:before="0" w:after="283"/>
              <w:ind w:left="0" w:right="0" w:firstLine="200"/>
              <w:jc w:val="left"/>
              <w:rPr/>
            </w:pPr>
            <w:r>
              <w:rPr/>
              <w:t> </w:t>
            </w:r>
          </w:p>
        </w:tc>
      </w:tr>
      <w:tr>
        <w:trPr/>
        <w:tc>
          <w:tcPr>
            <w:tcW w:w="37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2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293,794</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594,081</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515,971</w:t>
            </w:r>
          </w:p>
        </w:tc>
        <w:tc>
          <w:tcPr>
            <w:tcW w:w="795" w:type="dxa"/>
            <w:tcBorders/>
            <w:shd w:fill="FFFFFF" w:val="clear"/>
            <w:vAlign w:val="center"/>
          </w:tcPr>
          <w:p>
            <w:pPr>
              <w:pStyle w:val="TableContents"/>
              <w:bidi w:val="0"/>
              <w:spacing w:before="0" w:after="283"/>
              <w:ind w:left="0" w:right="0" w:firstLine="200"/>
              <w:jc w:val="left"/>
              <w:rPr/>
            </w:pPr>
            <w:r>
              <w:rPr/>
              <w:t> </w:t>
            </w:r>
          </w:p>
        </w:tc>
      </w:tr>
      <w:tr>
        <w:trPr/>
        <w:tc>
          <w:tcPr>
            <w:tcW w:w="37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44"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72,597</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141,452</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118,630</w:t>
            </w:r>
          </w:p>
        </w:tc>
        <w:tc>
          <w:tcPr>
            <w:tcW w:w="795" w:type="dxa"/>
            <w:tcBorders/>
            <w:shd w:fill="CFF0FC" w:val="clear"/>
            <w:vAlign w:val="center"/>
          </w:tcPr>
          <w:p>
            <w:pPr>
              <w:pStyle w:val="TableContents"/>
              <w:bidi w:val="0"/>
              <w:spacing w:before="0" w:after="283"/>
              <w:ind w:left="0" w:right="0" w:firstLine="200"/>
              <w:jc w:val="left"/>
              <w:rPr/>
            </w:pPr>
            <w:r>
              <w:rPr/>
              <w:t> </w:t>
            </w:r>
          </w:p>
        </w:tc>
      </w:tr>
      <w:tr>
        <w:trPr/>
        <w:tc>
          <w:tcPr>
            <w:tcW w:w="37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92,450</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1,111,209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1,024,690</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(159,217</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148"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2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60"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160" w:type="dxa"/>
            <w:gridSpan w:val="2"/>
            <w:tcBorders/>
            <w:shd w:fill="CFF0FC" w:val="clear"/>
            <w:vAlign w:val="center"/>
          </w:tcPr>
          <w:p>
            <w:pPr>
              <w:pStyle w:val="TableContents"/>
              <w:bidi w:val="0"/>
              <w:spacing w:before="0" w:after="283"/>
              <w:jc w:val="right"/>
              <w:rPr/>
            </w:pPr>
            <w:r>
              <w:rPr/>
              <w:t> </w:t>
            </w:r>
          </w:p>
        </w:tc>
        <w:tc>
          <w:tcPr>
            <w:tcW w:w="795" w:type="dxa"/>
            <w:tcBorders/>
            <w:shd w:fill="CFF0FC" w:val="clear"/>
            <w:vAlign w:val="center"/>
          </w:tcPr>
          <w:p>
            <w:pPr>
              <w:pStyle w:val="TableContents"/>
              <w:bidi w:val="0"/>
              <w:spacing w:before="0" w:after="283"/>
              <w:ind w:left="0" w:right="0" w:firstLine="200"/>
              <w:jc w:val="right"/>
              <w:rPr/>
            </w:pPr>
            <w:r>
              <w:rPr/>
              <w:t> </w:t>
            </w:r>
          </w:p>
        </w:tc>
      </w:tr>
      <w:tr>
        <w:trPr/>
        <w:tc>
          <w:tcPr>
            <w:tcW w:w="37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39,097</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24,013</w:t>
            </w:r>
          </w:p>
        </w:tc>
        <w:tc>
          <w:tcPr>
            <w:tcW w:w="795" w:type="dxa"/>
            <w:tcBorders/>
            <w:shd w:fill="FFFFFF" w:val="clear"/>
            <w:vAlign w:val="center"/>
          </w:tcPr>
          <w:p>
            <w:pPr>
              <w:pStyle w:val="TableContents"/>
              <w:bidi w:val="0"/>
              <w:spacing w:before="0" w:after="283"/>
              <w:ind w:left="0" w:right="0" w:firstLine="200"/>
              <w:jc w:val="left"/>
              <w:rPr/>
            </w:pPr>
            <w:r>
              <w:rPr/>
              <w:t> </w:t>
            </w:r>
          </w:p>
        </w:tc>
      </w:tr>
      <w:tr>
        <w:trPr/>
        <w:tc>
          <w:tcPr>
            <w:tcW w:w="37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244"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79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21,681</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2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(137,536</w:t>
            </w:r>
          </w:p>
        </w:tc>
        <w:tc>
          <w:tcPr>
            <w:tcW w:w="79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(148,523</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7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computing </w:t>
              <w:br/>
              <w:t>   basic and diluted net loss per share:</w:t>
            </w:r>
          </w:p>
        </w:tc>
        <w:tc>
          <w:tcPr>
            <w:tcW w:w="2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51,005</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50,847</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49,550</w:t>
            </w:r>
          </w:p>
        </w:tc>
        <w:tc>
          <w:tcPr>
            <w:tcW w:w="79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6" w:name="unaudited_consolidated_statements_compre"/>
      <w:bookmarkEnd w:id="6"/>
      <w:r>
        <w:rPr>
          <w:rFonts w:ascii="Times New Roman" w:hAnsi="Times New Roman"/>
          <w:b/>
          <w:color w:val="000000"/>
          <w:sz w:val="20"/>
        </w:rPr>
        <w:t>Unaudited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215"/>
        <w:gridCol w:w="248"/>
        <w:gridCol w:w="865"/>
        <w:gridCol w:w="194"/>
        <w:gridCol w:w="171"/>
        <w:gridCol w:w="248"/>
        <w:gridCol w:w="989"/>
        <w:gridCol w:w="166"/>
        <w:gridCol w:w="146"/>
        <w:gridCol w:w="234"/>
        <w:gridCol w:w="818"/>
        <w:gridCol w:w="184"/>
        <w:gridCol w:w="161"/>
        <w:gridCol w:w="234"/>
        <w:gridCol w:w="935"/>
        <w:gridCol w:w="397"/>
      </w:tblGrid>
      <w:tr>
        <w:trPr/>
        <w:tc>
          <w:tcPr>
            <w:tcW w:w="42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215" w:type="dxa"/>
            <w:tcBorders/>
            <w:shd w:fill="FFFFFF" w:val="clear"/>
            <w:vAlign w:val="center"/>
          </w:tcPr>
          <w:p>
            <w:pPr>
              <w:pStyle w:val="TableContents"/>
              <w:bidi w:val="0"/>
              <w:spacing w:before="0" w:after="283"/>
              <w:jc w:val="left"/>
              <w:rPr/>
            </w:pPr>
            <w:r>
              <w:rPr/>
              <w:t> </w:t>
            </w:r>
          </w:p>
        </w:tc>
        <w:tc>
          <w:tcPr>
            <w:tcW w:w="2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5" w:type="dxa"/>
            <w:tcBorders/>
            <w:shd w:fill="FFFFFF" w:val="cle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(14,435</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(148,523</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113"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169"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ind w:left="0" w:right="0" w:firstLine="200"/>
              <w:jc w:val="right"/>
              <w:rPr/>
            </w:pPr>
            <w:r>
              <w:rPr/>
              <w:t> </w:t>
            </w:r>
          </w:p>
        </w:tc>
      </w:tr>
      <w:tr>
        <w:trPr/>
        <w:tc>
          <w:tcPr>
            <w:tcW w:w="42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48"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42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unrealized loss on investments, net of income</w:t>
              <w:br/>
              <w:t>   taxes of $0 for the three and six months ended</w:t>
              <w:br/>
              <w:t>   June 30, 2024 and 2023</w:t>
            </w:r>
          </w:p>
        </w:tc>
        <w:tc>
          <w:tcPr>
            <w:tcW w:w="24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397" w:type="dxa"/>
            <w:tcBorders/>
            <w:shd w:fill="FFFFFF" w:val="clear"/>
            <w:vAlign w:val="center"/>
          </w:tcPr>
          <w:p>
            <w:pPr>
              <w:pStyle w:val="TableContents"/>
              <w:bidi w:val="0"/>
              <w:spacing w:before="0" w:after="283"/>
              <w:ind w:left="0" w:right="0" w:firstLine="200"/>
              <w:jc w:val="left"/>
              <w:rPr/>
            </w:pPr>
            <w:r>
              <w:rPr/>
              <w:t> </w:t>
            </w:r>
          </w:p>
        </w:tc>
      </w:tr>
      <w:tr>
        <w:trPr/>
        <w:tc>
          <w:tcPr>
            <w:tcW w:w="42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Changes in unrealized loss on cash flow hedges, net of </w:t>
              <w:br/>
              <w:t xml:space="preserve">   income taxes of $63 for the three and six months </w:t>
              <w:br/>
              <w:t xml:space="preserve">   ended June 30, 2024, and $0 for the three and six months </w:t>
              <w:br/>
              <w:t>   ended June 30, 2023</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7" w:name="unaudted_consolidated_se"/>
      <w:bookmarkEnd w:id="7"/>
      <w:r>
        <w:rPr>
          <w:rFonts w:ascii="Times New Roman" w:hAnsi="Times New Roman"/>
          <w:b/>
          <w:color w:val="000000"/>
          <w:sz w:val="20"/>
        </w:rPr>
        <w:t>Unaudited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63"/>
        <w:gridCol w:w="146"/>
        <w:gridCol w:w="601"/>
        <w:gridCol w:w="166"/>
        <w:gridCol w:w="146"/>
        <w:gridCol w:w="196"/>
        <w:gridCol w:w="346"/>
        <w:gridCol w:w="146"/>
        <w:gridCol w:w="146"/>
        <w:gridCol w:w="165"/>
        <w:gridCol w:w="384"/>
        <w:gridCol w:w="169"/>
        <w:gridCol w:w="149"/>
        <w:gridCol w:w="200"/>
        <w:gridCol w:w="353"/>
        <w:gridCol w:w="146"/>
        <w:gridCol w:w="146"/>
        <w:gridCol w:w="196"/>
        <w:gridCol w:w="826"/>
        <w:gridCol w:w="166"/>
        <w:gridCol w:w="146"/>
        <w:gridCol w:w="280"/>
        <w:gridCol w:w="816"/>
        <w:gridCol w:w="166"/>
        <w:gridCol w:w="146"/>
        <w:gridCol w:w="196"/>
        <w:gridCol w:w="751"/>
        <w:gridCol w:w="166"/>
        <w:gridCol w:w="146"/>
        <w:gridCol w:w="196"/>
        <w:gridCol w:w="826"/>
        <w:gridCol w:w="214"/>
      </w:tblGrid>
      <w:tr>
        <w:trPr/>
        <w:tc>
          <w:tcPr>
            <w:tcW w:w="1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63" w:type="dxa"/>
            <w:tcBorders/>
            <w:shd w:fill="FFFFFF" w:val="cle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1363"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(804,437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1,334,348</w:t>
            </w:r>
          </w:p>
        </w:tc>
        <w:tc>
          <w:tcPr>
            <w:tcW w:w="214" w:type="dxa"/>
            <w:tcBorders/>
            <w:shd w:fill="CFF0FC" w:val="clear"/>
            <w:vAlign w:val="center"/>
          </w:tcPr>
          <w:p>
            <w:pPr>
              <w:pStyle w:val="TableContents"/>
              <w:bidi w:val="0"/>
              <w:spacing w:before="0" w:after="283"/>
              <w:jc w:val="left"/>
              <w:rPr/>
            </w:pPr>
            <w:r>
              <w:rPr/>
              <w:t> </w:t>
            </w:r>
          </w:p>
        </w:tc>
      </w:tr>
      <w:tr>
        <w:trPr/>
        <w:tc>
          <w:tcPr>
            <w:tcW w:w="136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6,514</w:t>
            </w:r>
          </w:p>
        </w:tc>
        <w:tc>
          <w:tcPr>
            <w:tcW w:w="214" w:type="dxa"/>
            <w:tcBorders/>
            <w:shd w:fill="FFFFFF" w:val="clear"/>
            <w:vAlign w:val="center"/>
          </w:tcPr>
          <w:p>
            <w:pPr>
              <w:pStyle w:val="TableContents"/>
              <w:bidi w:val="0"/>
              <w:spacing w:before="0" w:after="283"/>
              <w:jc w:val="left"/>
              <w:rPr/>
            </w:pPr>
            <w:r>
              <w:rPr/>
              <w:t> </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(8,791</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115,919</w:t>
            </w:r>
          </w:p>
        </w:tc>
        <w:tc>
          <w:tcPr>
            <w:tcW w:w="214" w:type="dxa"/>
            <w:tcBorders/>
            <w:shd w:fill="FFFFFF" w:val="clear"/>
            <w:vAlign w:val="center"/>
          </w:tcPr>
          <w:p>
            <w:pPr>
              <w:pStyle w:val="TableContents"/>
              <w:bidi w:val="0"/>
              <w:spacing w:before="0" w:after="283"/>
              <w:jc w:val="left"/>
              <w:rPr/>
            </w:pPr>
            <w:r>
              <w:rPr/>
              <w:t> </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loss, net </w:t>
              <w:br/>
              <w: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1,449,117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38,074</w:t>
            </w:r>
          </w:p>
        </w:tc>
        <w:tc>
          <w:tcPr>
            <w:tcW w:w="214" w:type="dxa"/>
            <w:tcBorders/>
            <w:shd w:fill="FFFFFF" w:val="clear"/>
            <w:vAlign w:val="center"/>
          </w:tcPr>
          <w:p>
            <w:pPr>
              <w:pStyle w:val="TableContents"/>
              <w:bidi w:val="0"/>
              <w:spacing w:before="0" w:after="283"/>
              <w:jc w:val="left"/>
              <w:rPr/>
            </w:pPr>
            <w:r>
              <w:rPr/>
              <w:t> </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134,685</w:t>
            </w:r>
          </w:p>
        </w:tc>
        <w:tc>
          <w:tcPr>
            <w:tcW w:w="214" w:type="dxa"/>
            <w:tcBorders/>
            <w:shd w:fill="FFFFFF" w:val="clear"/>
            <w:vAlign w:val="center"/>
          </w:tcPr>
          <w:p>
            <w:pPr>
              <w:pStyle w:val="TableContents"/>
              <w:bidi w:val="0"/>
              <w:spacing w:before="0" w:after="283"/>
              <w:jc w:val="left"/>
              <w:rPr/>
            </w:pPr>
            <w:r>
              <w:rPr/>
              <w:t> </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loss, net </w:t>
              <w:br/>
              <w: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2,418,608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1,600,899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78"/>
        <w:gridCol w:w="146"/>
        <w:gridCol w:w="601"/>
        <w:gridCol w:w="166"/>
        <w:gridCol w:w="146"/>
        <w:gridCol w:w="196"/>
        <w:gridCol w:w="346"/>
        <w:gridCol w:w="146"/>
        <w:gridCol w:w="146"/>
        <w:gridCol w:w="165"/>
        <w:gridCol w:w="385"/>
        <w:gridCol w:w="149"/>
        <w:gridCol w:w="149"/>
        <w:gridCol w:w="201"/>
        <w:gridCol w:w="354"/>
        <w:gridCol w:w="146"/>
        <w:gridCol w:w="146"/>
        <w:gridCol w:w="196"/>
        <w:gridCol w:w="826"/>
        <w:gridCol w:w="166"/>
        <w:gridCol w:w="146"/>
        <w:gridCol w:w="250"/>
        <w:gridCol w:w="846"/>
        <w:gridCol w:w="166"/>
        <w:gridCol w:w="146"/>
        <w:gridCol w:w="196"/>
        <w:gridCol w:w="751"/>
        <w:gridCol w:w="166"/>
        <w:gridCol w:w="146"/>
        <w:gridCol w:w="196"/>
        <w:gridCol w:w="826"/>
        <w:gridCol w:w="216"/>
      </w:tblGrid>
      <w:tr>
        <w:trPr/>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78" w:type="dxa"/>
            <w:tcBorders/>
            <w:shd w:fill="FFFFFF" w:val="clear"/>
            <w:vAlign w:val="center"/>
          </w:tcPr>
          <w:p>
            <w:pPr>
              <w:pStyle w:val="TableContents"/>
              <w:bidi w:val="0"/>
              <w:spacing w:before="0" w:after="283"/>
              <w:jc w:val="righ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r>
      <w:tr>
        <w:trPr/>
        <w:tc>
          <w:tcPr>
            <w:tcW w:w="1378"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5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1,647,446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(639,927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994,678</w:t>
            </w:r>
          </w:p>
        </w:tc>
        <w:tc>
          <w:tcPr>
            <w:tcW w:w="216" w:type="dxa"/>
            <w:tcBorders/>
            <w:shd w:fill="CFF0FC" w:val="clear"/>
            <w:vAlign w:val="center"/>
          </w:tcPr>
          <w:p>
            <w:pPr>
              <w:pStyle w:val="TableContents"/>
              <w:bidi w:val="0"/>
              <w:spacing w:before="0" w:after="283"/>
              <w:jc w:val="left"/>
              <w:rPr/>
            </w:pPr>
            <w:r>
              <w:rPr/>
              <w:t> </w:t>
            </w:r>
          </w:p>
        </w:tc>
      </w:tr>
      <w:tr>
        <w:trPr/>
        <w:tc>
          <w:tcPr>
            <w:tcW w:w="13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216" w:type="dxa"/>
            <w:tcBorders/>
            <w:shd w:fill="FFFFFF" w:val="clear"/>
            <w:vAlign w:val="center"/>
          </w:tcPr>
          <w:p>
            <w:pPr>
              <w:pStyle w:val="TableContents"/>
              <w:bidi w:val="0"/>
              <w:spacing w:before="0" w:after="283"/>
              <w:jc w:val="left"/>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5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87,305</w:t>
            </w:r>
          </w:p>
        </w:tc>
        <w:tc>
          <w:tcPr>
            <w:tcW w:w="216" w:type="dxa"/>
            <w:tcBorders/>
            <w:shd w:fill="FFFFFF" w:val="clear"/>
            <w:vAlign w:val="center"/>
          </w:tcPr>
          <w:p>
            <w:pPr>
              <w:pStyle w:val="TableContents"/>
              <w:bidi w:val="0"/>
              <w:spacing w:before="0" w:after="283"/>
              <w:jc w:val="left"/>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income, net </w:t>
              <w:br/>
              <w: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5,134</w:t>
            </w:r>
          </w:p>
        </w:tc>
        <w:tc>
          <w:tcPr>
            <w:tcW w:w="216" w:type="dxa"/>
            <w:tcBorders/>
            <w:shd w:fill="CFF0FC" w:val="clear"/>
            <w:vAlign w:val="center"/>
          </w:tcPr>
          <w:p>
            <w:pPr>
              <w:pStyle w:val="TableContents"/>
              <w:bidi w:val="0"/>
              <w:spacing w:before="0" w:after="283"/>
              <w:jc w:val="left"/>
              <w:rPr/>
            </w:pPr>
            <w:r>
              <w:rPr/>
              <w:t> </w:t>
            </w:r>
          </w:p>
        </w:tc>
      </w:tr>
      <w:tr>
        <w:trPr/>
        <w:tc>
          <w:tcPr>
            <w:tcW w:w="13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(36,720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1,050,395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under </w:t>
              <w:br/>
              <w:t>  stock plans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22,783</w:t>
            </w:r>
          </w:p>
        </w:tc>
        <w:tc>
          <w:tcPr>
            <w:tcW w:w="216" w:type="dxa"/>
            <w:tcBorders/>
            <w:shd w:fill="FFFFFF" w:val="clear"/>
            <w:vAlign w:val="center"/>
          </w:tcPr>
          <w:p>
            <w:pPr>
              <w:pStyle w:val="TableContents"/>
              <w:bidi w:val="0"/>
              <w:spacing w:before="0" w:after="283"/>
              <w:jc w:val="left"/>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taxes paid</w:t>
              <w:br/>
              <w:t>  in cash</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(2,904</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135,782</w:t>
            </w:r>
          </w:p>
        </w:tc>
        <w:tc>
          <w:tcPr>
            <w:tcW w:w="216" w:type="dxa"/>
            <w:tcBorders/>
            <w:shd w:fill="FFFFFF" w:val="clear"/>
            <w:vAlign w:val="center"/>
          </w:tcPr>
          <w:p>
            <w:pPr>
              <w:pStyle w:val="TableContents"/>
              <w:bidi w:val="0"/>
              <w:spacing w:before="0" w:after="283"/>
              <w:jc w:val="left"/>
              <w:rPr/>
            </w:pPr>
            <w:r>
              <w:rPr/>
              <w:t> </w:t>
            </w:r>
          </w:p>
        </w:tc>
      </w:tr>
      <w:tr>
        <w:trPr/>
        <w:tc>
          <w:tcPr>
            <w:tcW w:w="13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Other comprehensive loss, net </w:t>
              <w:br/>
              <w:t>   of tax</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(111,803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1,890,409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1,093,624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8" w:name="unaudited_consolidated_statements_cash_f"/>
      <w:bookmarkEnd w:id="8"/>
      <w:r>
        <w:rPr>
          <w:rFonts w:ascii="Times New Roman" w:hAnsi="Times New Roman"/>
          <w:b/>
          <w:color w:val="000000"/>
          <w:sz w:val="20"/>
        </w:rPr>
        <w:t>Unaudited Consolidated Statements of Cash Flows</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431"/>
        <w:gridCol w:w="146"/>
        <w:gridCol w:w="229"/>
        <w:gridCol w:w="918"/>
        <w:gridCol w:w="180"/>
        <w:gridCol w:w="159"/>
        <w:gridCol w:w="229"/>
        <w:gridCol w:w="918"/>
        <w:gridCol w:w="995"/>
      </w:tblGrid>
      <w:tr>
        <w:trPr/>
        <w:tc>
          <w:tcPr>
            <w:tcW w:w="6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6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995" w:type="dxa"/>
            <w:tcBorders/>
            <w:shd w:fill="CFF0FC" w:val="clear"/>
            <w:vAlign w:val="center"/>
          </w:tcPr>
          <w:p>
            <w:pPr>
              <w:pStyle w:val="TableContents"/>
              <w:bidi w:val="0"/>
              <w:spacing w:before="0" w:after="283"/>
              <w:ind w:left="0" w:right="0" w:firstLine="200"/>
              <w:jc w:val="right"/>
              <w:rPr/>
            </w:pPr>
            <w:r>
              <w:rPr/>
              <w:t> </w:t>
            </w:r>
          </w:p>
        </w:tc>
      </w:tr>
      <w:tr>
        <w:trPr/>
        <w:tc>
          <w:tcPr>
            <w:tcW w:w="6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(8,501</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(148,523</w:t>
            </w:r>
          </w:p>
        </w:tc>
        <w:tc>
          <w:tcPr>
            <w:tcW w:w="995"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Adjustments to reconcile net loss to net cash and cash equivalents provided</w:t>
              <w:br/>
              <w:t>   by operating activities, net of acquisitions</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995" w:type="dxa"/>
            <w:tcBorders/>
            <w:shd w:fill="CFF0FC" w:val="clear"/>
            <w:vAlign w:val="center"/>
          </w:tcPr>
          <w:p>
            <w:pPr>
              <w:pStyle w:val="TableContents"/>
              <w:bidi w:val="0"/>
              <w:spacing w:before="0" w:after="283"/>
              <w:ind w:left="0" w:right="0" w:firstLine="400"/>
              <w:jc w:val="right"/>
              <w:rPr/>
            </w:pPr>
            <w:r>
              <w:rPr/>
              <w:t> </w:t>
            </w:r>
          </w:p>
        </w:tc>
      </w:tr>
      <w:tr>
        <w:trPr/>
        <w:tc>
          <w:tcPr>
            <w:tcW w:w="64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43,438</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32,999</w:t>
            </w:r>
          </w:p>
        </w:tc>
        <w:tc>
          <w:tcPr>
            <w:tcW w:w="995" w:type="dxa"/>
            <w:tcBorders/>
            <w:shd w:fill="FFFFFF" w:val="clear"/>
            <w:vAlign w:val="center"/>
          </w:tcPr>
          <w:p>
            <w:pPr>
              <w:pStyle w:val="TableContents"/>
              <w:bidi w:val="0"/>
              <w:spacing w:before="0" w:after="283"/>
              <w:ind w:left="0" w:right="0" w:firstLine="400"/>
              <w:jc w:val="left"/>
              <w:rPr/>
            </w:pPr>
            <w:r>
              <w:rPr/>
              <w:t> </w:t>
            </w:r>
          </w:p>
        </w:tc>
      </w:tr>
      <w:tr>
        <w:trPr/>
        <w:tc>
          <w:tcPr>
            <w:tcW w:w="64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240,116</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211,038</w:t>
            </w:r>
          </w:p>
        </w:tc>
        <w:tc>
          <w:tcPr>
            <w:tcW w:w="995" w:type="dxa"/>
            <w:tcBorders/>
            <w:shd w:fill="CFF0FC" w:val="clear"/>
            <w:vAlign w:val="center"/>
          </w:tcPr>
          <w:p>
            <w:pPr>
              <w:pStyle w:val="TableContents"/>
              <w:bidi w:val="0"/>
              <w:spacing w:before="0" w:after="283"/>
              <w:ind w:left="0" w:right="0" w:firstLine="400"/>
              <w:jc w:val="left"/>
              <w:rPr/>
            </w:pPr>
            <w:r>
              <w:rPr/>
              <w:t> </w:t>
            </w:r>
          </w:p>
        </w:tc>
      </w:tr>
      <w:tr>
        <w:trPr/>
        <w:tc>
          <w:tcPr>
            <w:tcW w:w="64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Restructuring charges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64,938</w:t>
            </w:r>
          </w:p>
        </w:tc>
        <w:tc>
          <w:tcPr>
            <w:tcW w:w="995" w:type="dxa"/>
            <w:tcBorders/>
            <w:shd w:fill="FFFFFF" w:val="clear"/>
            <w:vAlign w:val="center"/>
          </w:tcPr>
          <w:p>
            <w:pPr>
              <w:pStyle w:val="TableContents"/>
              <w:bidi w:val="0"/>
              <w:spacing w:before="0" w:after="283"/>
              <w:ind w:left="0" w:right="0" w:firstLine="400"/>
              <w:jc w:val="left"/>
              <w:rPr/>
            </w:pPr>
            <w:r>
              <w:rPr/>
              <w:t> </w:t>
            </w:r>
          </w:p>
        </w:tc>
      </w:tr>
      <w:tr>
        <w:trPr/>
        <w:tc>
          <w:tcPr>
            <w:tcW w:w="64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Gain on strategic investments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(18,456</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color w:val="000000"/>
              </w:rPr>
            </w:pPr>
            <w:r>
              <w:rPr>
                <w:color w:val="000000"/>
              </w:rPr>
              <w:t>—</w:t>
            </w:r>
          </w:p>
        </w:tc>
        <w:tc>
          <w:tcPr>
            <w:tcW w:w="995" w:type="dxa"/>
            <w:tcBorders/>
            <w:shd w:fill="CFF0FC" w:val="clear"/>
            <w:vAlign w:val="center"/>
          </w:tcPr>
          <w:p>
            <w:pPr>
              <w:pStyle w:val="TableContents"/>
              <w:bidi w:val="0"/>
              <w:spacing w:before="0" w:after="283"/>
              <w:ind w:left="0" w:right="0" w:firstLine="400"/>
              <w:jc w:val="left"/>
              <w:rPr/>
            </w:pPr>
            <w:r>
              <w:rPr/>
              <w:t> </w:t>
            </w:r>
          </w:p>
        </w:tc>
      </w:tr>
      <w:tr>
        <w:trPr/>
        <w:tc>
          <w:tcPr>
            <w:tcW w:w="64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Impairment of strategic investments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4,094</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995" w:type="dxa"/>
            <w:tcBorders/>
            <w:shd w:fill="FFFFFF" w:val="clear"/>
            <w:vAlign w:val="center"/>
          </w:tcPr>
          <w:p>
            <w:pPr>
              <w:pStyle w:val="TableContents"/>
              <w:bidi w:val="0"/>
              <w:spacing w:before="0" w:after="283"/>
              <w:ind w:left="0" w:right="0" w:firstLine="400"/>
              <w:jc w:val="left"/>
              <w:rPr/>
            </w:pPr>
            <w:r>
              <w:rPr/>
              <w:t> </w:t>
            </w:r>
          </w:p>
        </w:tc>
      </w:tr>
      <w:tr>
        <w:trPr/>
        <w:tc>
          <w:tcPr>
            <w:tcW w:w="64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(Benefit from) provision for deferred income taxes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4,802</w:t>
            </w:r>
          </w:p>
        </w:tc>
        <w:tc>
          <w:tcPr>
            <w:tcW w:w="995" w:type="dxa"/>
            <w:tcBorders/>
            <w:shd w:fill="CFF0FC" w:val="clear"/>
            <w:vAlign w:val="center"/>
          </w:tcPr>
          <w:p>
            <w:pPr>
              <w:pStyle w:val="TableContents"/>
              <w:bidi w:val="0"/>
              <w:spacing w:before="0" w:after="283"/>
              <w:ind w:left="0" w:right="0" w:firstLine="400"/>
              <w:jc w:val="left"/>
              <w:rPr/>
            </w:pPr>
            <w:r>
              <w:rPr/>
              <w:t> </w:t>
            </w:r>
          </w:p>
        </w:tc>
      </w:tr>
      <w:tr>
        <w:trPr/>
        <w:tc>
          <w:tcPr>
            <w:tcW w:w="64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Amortization of debt discount and issuance costs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1,002</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980</w:t>
            </w:r>
          </w:p>
        </w:tc>
        <w:tc>
          <w:tcPr>
            <w:tcW w:w="995" w:type="dxa"/>
            <w:tcBorders/>
            <w:shd w:fill="FFFFFF" w:val="clear"/>
            <w:vAlign w:val="center"/>
          </w:tcPr>
          <w:p>
            <w:pPr>
              <w:pStyle w:val="TableContents"/>
              <w:bidi w:val="0"/>
              <w:spacing w:before="0" w:after="283"/>
              <w:ind w:left="0" w:right="0" w:firstLine="400"/>
              <w:jc w:val="left"/>
              <w:rPr/>
            </w:pPr>
            <w:r>
              <w:rPr/>
              <w:t> </w:t>
            </w:r>
          </w:p>
        </w:tc>
      </w:tr>
      <w:tr>
        <w:trPr/>
        <w:tc>
          <w:tcPr>
            <w:tcW w:w="64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Accretion of bond discount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(23,080</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(18,777</w:t>
            </w:r>
          </w:p>
        </w:tc>
        <w:tc>
          <w:tcPr>
            <w:tcW w:w="995" w:type="dxa"/>
            <w:tcBorders/>
            <w:shd w:fill="CFF0FC"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Unrealized currency translation</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(948</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w:t>
            </w:r>
          </w:p>
        </w:tc>
        <w:tc>
          <w:tcPr>
            <w:tcW w:w="995" w:type="dxa"/>
            <w:tcBorders/>
            <w:shd w:fill="FFFFFF"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995" w:type="dxa"/>
            <w:tcBorders/>
            <w:shd w:fill="CFF0FC" w:val="clear"/>
            <w:vAlign w:val="center"/>
          </w:tcPr>
          <w:p>
            <w:pPr>
              <w:pStyle w:val="TableContents"/>
              <w:bidi w:val="0"/>
              <w:spacing w:before="0" w:after="283"/>
              <w:ind w:left="0" w:right="0" w:firstLine="600"/>
              <w:jc w:val="right"/>
              <w:rPr/>
            </w:pPr>
            <w:r>
              <w:rPr/>
              <w:t> </w:t>
            </w:r>
          </w:p>
        </w:tc>
      </w:tr>
      <w:tr>
        <w:trPr/>
        <w:tc>
          <w:tcPr>
            <w:tcW w:w="64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18,422</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21,626</w:t>
            </w:r>
          </w:p>
        </w:tc>
        <w:tc>
          <w:tcPr>
            <w:tcW w:w="995" w:type="dxa"/>
            <w:tcBorders/>
            <w:shd w:fill="FFFFFF" w:val="clear"/>
            <w:vAlign w:val="center"/>
          </w:tcPr>
          <w:p>
            <w:pPr>
              <w:pStyle w:val="TableContents"/>
              <w:bidi w:val="0"/>
              <w:spacing w:before="0" w:after="283"/>
              <w:ind w:left="0" w:right="0" w:firstLine="600"/>
              <w:jc w:val="left"/>
              <w:rPr/>
            </w:pPr>
            <w:r>
              <w:rPr/>
              <w:t> </w:t>
            </w:r>
          </w:p>
        </w:tc>
      </w:tr>
      <w:tr>
        <w:trPr/>
        <w:tc>
          <w:tcPr>
            <w:tcW w:w="64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(27,228</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(47,445</w:t>
            </w:r>
          </w:p>
        </w:tc>
        <w:tc>
          <w:tcPr>
            <w:tcW w:w="995" w:type="dxa"/>
            <w:tcBorders/>
            <w:shd w:fill="CFF0FC"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Deferred commission expense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(40,084</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(37,034</w:t>
            </w:r>
          </w:p>
        </w:tc>
        <w:tc>
          <w:tcPr>
            <w:tcW w:w="995" w:type="dxa"/>
            <w:tcBorders/>
            <w:shd w:fill="FFFFFF"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Right-of-use assets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20,384</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20,972</w:t>
            </w:r>
          </w:p>
        </w:tc>
        <w:tc>
          <w:tcPr>
            <w:tcW w:w="995" w:type="dxa"/>
            <w:tcBorders/>
            <w:shd w:fill="CFF0FC" w:val="clear"/>
            <w:vAlign w:val="center"/>
          </w:tcPr>
          <w:p>
            <w:pPr>
              <w:pStyle w:val="TableContents"/>
              <w:bidi w:val="0"/>
              <w:spacing w:before="0" w:after="283"/>
              <w:ind w:left="0" w:right="0" w:firstLine="600"/>
              <w:jc w:val="left"/>
              <w:rPr/>
            </w:pPr>
            <w:r>
              <w:rPr/>
              <w:t> </w:t>
            </w:r>
          </w:p>
        </w:tc>
      </w:tr>
      <w:tr>
        <w:trPr/>
        <w:tc>
          <w:tcPr>
            <w:tcW w:w="64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(17,814</w:t>
            </w:r>
          </w:p>
        </w:tc>
        <w:tc>
          <w:tcPr>
            <w:tcW w:w="995" w:type="dxa"/>
            <w:tcBorders/>
            <w:shd w:fill="FFFFFF"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15,049</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46,527</w:t>
            </w:r>
          </w:p>
        </w:tc>
        <w:tc>
          <w:tcPr>
            <w:tcW w:w="995" w:type="dxa"/>
            <w:tcBorders/>
            <w:shd w:fill="CFF0FC" w:val="clear"/>
            <w:vAlign w:val="center"/>
          </w:tcPr>
          <w:p>
            <w:pPr>
              <w:pStyle w:val="TableContents"/>
              <w:bidi w:val="0"/>
              <w:spacing w:before="0" w:after="283"/>
              <w:ind w:left="0" w:right="0" w:firstLine="600"/>
              <w:jc w:val="left"/>
              <w:rPr/>
            </w:pPr>
            <w:r>
              <w:rPr/>
              <w:t> </w:t>
            </w:r>
          </w:p>
        </w:tc>
      </w:tr>
      <w:tr>
        <w:trPr/>
        <w:tc>
          <w:tcPr>
            <w:tcW w:w="643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(23,153</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(17,985</w:t>
            </w:r>
          </w:p>
        </w:tc>
        <w:tc>
          <w:tcPr>
            <w:tcW w:w="995" w:type="dxa"/>
            <w:tcBorders/>
            <w:shd w:fill="FFFFFF" w:val="cle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44,291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41,431</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3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9"/>
              </w:rPr>
            </w:pPr>
            <w:r>
              <w:rPr>
                <w:rFonts w:ascii="Times New Roman" w:hAnsi="Times New Roman"/>
                <w:color w:val="000000"/>
                <w:sz w:val="19"/>
              </w:rPr>
              <w:t>Net cash and cash equivalents provided by operating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244,916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157,613</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995" w:type="dxa"/>
            <w:tcBorders/>
            <w:shd w:fill="CFF0FC" w:val="clear"/>
            <w:vAlign w:val="center"/>
          </w:tcPr>
          <w:p>
            <w:pPr>
              <w:pStyle w:val="TableContents"/>
              <w:bidi w:val="0"/>
              <w:spacing w:before="0" w:after="283"/>
              <w:ind w:left="0" w:right="0" w:firstLine="200"/>
              <w:jc w:val="right"/>
              <w:rPr/>
            </w:pPr>
            <w:r>
              <w:rPr/>
              <w:t> </w:t>
            </w:r>
          </w:p>
        </w:tc>
      </w:tr>
      <w:tr>
        <w:trPr/>
        <w:tc>
          <w:tcPr>
            <w:tcW w:w="6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(651,717</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(731,363</w:t>
            </w:r>
          </w:p>
        </w:tc>
        <w:tc>
          <w:tcPr>
            <w:tcW w:w="995"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Maturities of investments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849,595</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729,834</w:t>
            </w:r>
          </w:p>
        </w:tc>
        <w:tc>
          <w:tcPr>
            <w:tcW w:w="995" w:type="dxa"/>
            <w:tcBorders/>
            <w:shd w:fill="CFF0FC" w:val="clear"/>
            <w:vAlign w:val="center"/>
          </w:tcPr>
          <w:p>
            <w:pPr>
              <w:pStyle w:val="TableContents"/>
              <w:bidi w:val="0"/>
              <w:spacing w:before="0" w:after="283"/>
              <w:ind w:left="0" w:right="0" w:firstLine="200"/>
              <w:jc w:val="left"/>
              <w:rPr/>
            </w:pPr>
            <w:r>
              <w:rPr/>
              <w:t> </w:t>
            </w:r>
          </w:p>
        </w:tc>
      </w:tr>
      <w:tr>
        <w:trPr/>
        <w:tc>
          <w:tcPr>
            <w:tcW w:w="6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(14,082</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(14,189</w:t>
            </w:r>
          </w:p>
        </w:tc>
        <w:tc>
          <w:tcPr>
            <w:tcW w:w="995"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strategic investments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(3,627</w:t>
            </w:r>
          </w:p>
        </w:tc>
        <w:tc>
          <w:tcPr>
            <w:tcW w:w="18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(6,000</w:t>
            </w:r>
          </w:p>
        </w:tc>
        <w:tc>
          <w:tcPr>
            <w:tcW w:w="995" w:type="dxa"/>
            <w:tcBorders/>
            <w:shd w:fill="CFF0FC"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Capitalization of software development costs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(43,075</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(31,595</w:t>
            </w:r>
          </w:p>
        </w:tc>
        <w:tc>
          <w:tcPr>
            <w:tcW w:w="995"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from net working capital settlement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3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9"/>
              </w:rPr>
            </w:pPr>
            <w:r>
              <w:rPr>
                <w:rFonts w:ascii="Times New Roman" w:hAnsi="Times New Roman"/>
                <w:color w:val="000000"/>
                <w:sz w:val="19"/>
              </w:rPr>
              <w:t>Net cash and cash equivalents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139,027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(53,313</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995" w:type="dxa"/>
            <w:tcBorders/>
            <w:shd w:fill="CFF0FC" w:val="clear"/>
            <w:vAlign w:val="center"/>
          </w:tcPr>
          <w:p>
            <w:pPr>
              <w:pStyle w:val="TableContents"/>
              <w:bidi w:val="0"/>
              <w:spacing w:before="0" w:after="283"/>
              <w:ind w:left="0" w:right="0" w:firstLine="200"/>
              <w:jc w:val="right"/>
              <w:rPr/>
            </w:pPr>
            <w:r>
              <w:rPr/>
              <w:t> </w:t>
            </w:r>
          </w:p>
        </w:tc>
      </w:tr>
      <w:tr>
        <w:trPr/>
        <w:tc>
          <w:tcPr>
            <w:tcW w:w="6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Employee taxes paid related to the net share settlement of stock-based awards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(13,484</w:t>
            </w:r>
          </w:p>
        </w:tc>
        <w:tc>
          <w:tcPr>
            <w:tcW w:w="180"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(4,102</w:t>
            </w:r>
          </w:p>
        </w:tc>
        <w:tc>
          <w:tcPr>
            <w:tcW w:w="995" w:type="dxa"/>
            <w:tcBorders/>
            <w:shd w:fill="FFFFFF" w:val="cle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Proceeds related to the issuance of common stock under stock plans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45,244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24,550</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3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9"/>
              </w:rPr>
            </w:pPr>
            <w:r>
              <w:rPr>
                <w:rFonts w:ascii="Times New Roman" w:hAnsi="Times New Roman"/>
                <w:color w:val="000000"/>
                <w:sz w:val="19"/>
              </w:rPr>
              <w:t>Net cash and cash equivalents provided by financing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31,760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20,448</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 changes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(5,815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9"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1,448</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409,888</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126,196</w:t>
            </w:r>
          </w:p>
        </w:tc>
        <w:tc>
          <w:tcPr>
            <w:tcW w:w="995" w:type="dxa"/>
            <w:tcBorders/>
            <w:shd w:fill="FFFFFF" w:val="clear"/>
            <w:vAlign w:val="center"/>
          </w:tcPr>
          <w:p>
            <w:pPr>
              <w:pStyle w:val="TableContents"/>
              <w:bidi w:val="0"/>
              <w:spacing w:before="0" w:after="283"/>
              <w:jc w:val="left"/>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392,040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334,175</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801,928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460,371</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cash flow disclosure:</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995" w:type="dxa"/>
            <w:tcBorders/>
            <w:shd w:fill="CFF0FC" w:val="clear"/>
            <w:vAlign w:val="center"/>
          </w:tcPr>
          <w:p>
            <w:pPr>
              <w:pStyle w:val="TableContents"/>
              <w:bidi w:val="0"/>
              <w:spacing w:before="0" w:after="283"/>
              <w:jc w:val="right"/>
              <w:rPr/>
            </w:pPr>
            <w:r>
              <w:rPr/>
              <w:t> </w:t>
            </w:r>
          </w:p>
        </w:tc>
      </w:tr>
      <w:tr>
        <w:trPr/>
        <w:tc>
          <w:tcPr>
            <w:tcW w:w="64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7,165</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9,467</w:t>
            </w:r>
          </w:p>
        </w:tc>
        <w:tc>
          <w:tcPr>
            <w:tcW w:w="995" w:type="dxa"/>
            <w:tcBorders/>
            <w:shd w:fill="FFFFFF" w:val="clear"/>
            <w:vAlign w:val="center"/>
          </w:tcPr>
          <w:p>
            <w:pPr>
              <w:pStyle w:val="TableContents"/>
              <w:bidi w:val="0"/>
              <w:spacing w:before="0" w:after="283"/>
              <w:jc w:val="left"/>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861</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861</w:t>
            </w:r>
          </w:p>
        </w:tc>
        <w:tc>
          <w:tcPr>
            <w:tcW w:w="995" w:type="dxa"/>
            <w:tcBorders/>
            <w:shd w:fill="CFF0FC" w:val="clear"/>
            <w:vAlign w:val="center"/>
          </w:tcPr>
          <w:p>
            <w:pPr>
              <w:pStyle w:val="TableContents"/>
              <w:bidi w:val="0"/>
              <w:spacing w:before="0" w:after="283"/>
              <w:jc w:val="left"/>
              <w:rPr/>
            </w:pPr>
            <w:r>
              <w:rPr/>
              <w:t> </w:t>
            </w:r>
          </w:p>
        </w:tc>
      </w:tr>
      <w:tr>
        <w:trPr/>
        <w:tc>
          <w:tcPr>
            <w:tcW w:w="64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assets obtained in exchange for operating lease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503</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4,674</w:t>
            </w:r>
          </w:p>
        </w:tc>
        <w:tc>
          <w:tcPr>
            <w:tcW w:w="995" w:type="dxa"/>
            <w:tcBorders/>
            <w:shd w:fill="FFFFFF" w:val="clear"/>
            <w:vAlign w:val="center"/>
          </w:tcPr>
          <w:p>
            <w:pPr>
              <w:pStyle w:val="TableContents"/>
              <w:bidi w:val="0"/>
              <w:spacing w:before="0" w:after="283"/>
              <w:jc w:val="left"/>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Right-of-use asset reductions related to operating lease terminations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CFF0FC" w:val="clear"/>
            <w:vAlign w:val="center"/>
          </w:tcPr>
          <w:p>
            <w:pPr>
              <w:pStyle w:val="TableContents"/>
              <w:bidi w:val="0"/>
              <w:spacing w:before="0" w:after="283"/>
              <w:jc w:val="right"/>
              <w:rPr>
                <w:color w:val="000000"/>
              </w:rPr>
            </w:pPr>
            <w:r>
              <w:rPr>
                <w:color w:val="000000"/>
              </w:rPr>
              <w:t>—</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(1,217</w:t>
            </w:r>
          </w:p>
        </w:tc>
        <w:tc>
          <w:tcPr>
            <w:tcW w:w="99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47" w:type="dxa"/>
            <w:gridSpan w:val="2"/>
            <w:tcBorders/>
            <w:shd w:fill="FFFFFF" w:val="clear"/>
            <w:vAlign w:val="center"/>
          </w:tcPr>
          <w:p>
            <w:pPr>
              <w:pStyle w:val="TableContents"/>
              <w:bidi w:val="0"/>
              <w:spacing w:before="0" w:after="283"/>
              <w:jc w:val="right"/>
              <w:rPr/>
            </w:pPr>
            <w:r>
              <w:rPr/>
              <w:t> </w:t>
            </w:r>
          </w:p>
        </w:tc>
        <w:tc>
          <w:tcPr>
            <w:tcW w:w="995" w:type="dxa"/>
            <w:tcBorders/>
            <w:shd w:fill="FFFFFF" w:val="clear"/>
            <w:vAlign w:val="center"/>
          </w:tcPr>
          <w:p>
            <w:pPr>
              <w:pStyle w:val="TableContents"/>
              <w:bidi w:val="0"/>
              <w:spacing w:before="0" w:after="283"/>
              <w:jc w:val="right"/>
              <w:rPr/>
            </w:pPr>
            <w:r>
              <w:rPr/>
              <w:t> </w:t>
            </w:r>
          </w:p>
        </w:tc>
      </w:tr>
      <w:tr>
        <w:trPr/>
        <w:tc>
          <w:tcPr>
            <w:tcW w:w="64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Capital expenditures incurred but not yet paid</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2,008</w:t>
            </w:r>
          </w:p>
        </w:tc>
        <w:tc>
          <w:tcPr>
            <w:tcW w:w="180"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9,628</w:t>
            </w:r>
          </w:p>
        </w:tc>
        <w:tc>
          <w:tcPr>
            <w:tcW w:w="995" w:type="dxa"/>
            <w:tcBorders/>
            <w:shd w:fill="CFF0FC" w:val="clear"/>
            <w:vAlign w:val="center"/>
          </w:tcPr>
          <w:p>
            <w:pPr>
              <w:pStyle w:val="TableContents"/>
              <w:bidi w:val="0"/>
              <w:spacing w:before="0" w:after="283"/>
              <w:jc w:val="left"/>
              <w:rPr/>
            </w:pPr>
            <w:r>
              <w:rPr/>
              <w:t> </w:t>
            </w:r>
          </w:p>
        </w:tc>
      </w:tr>
      <w:tr>
        <w:trPr/>
        <w:tc>
          <w:tcPr>
            <w:tcW w:w="64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Asset retirement obligations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18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(466</w:t>
            </w:r>
          </w:p>
        </w:tc>
        <w:tc>
          <w:tcPr>
            <w:tcW w:w="99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47" w:type="dxa"/>
            <w:gridSpan w:val="2"/>
            <w:tcBorders/>
            <w:shd w:fill="CFF0FC" w:val="clear"/>
            <w:vAlign w:val="center"/>
          </w:tcPr>
          <w:p>
            <w:pPr>
              <w:pStyle w:val="TableContents"/>
              <w:bidi w:val="0"/>
              <w:spacing w:before="0" w:after="283"/>
              <w:jc w:val="right"/>
              <w:rPr/>
            </w:pPr>
            <w:r>
              <w:rPr/>
              <w:t> </w:t>
            </w:r>
          </w:p>
        </w:tc>
        <w:tc>
          <w:tcPr>
            <w:tcW w:w="995" w:type="dxa"/>
            <w:tcBorders/>
            <w:shd w:fill="CFF0FC" w:val="cle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9" w:name="notes"/>
      <w:bookmarkEnd w:id="9"/>
      <w:r>
        <w:rPr>
          <w:rFonts w:ascii="Times New Roman" w:hAnsi="Times New Roman"/>
          <w:b/>
          <w:color w:val="000000"/>
          <w:sz w:val="20"/>
        </w:rPr>
        <w:t>Notes to Unaudited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HubSpot, Inc. (the “Company”) provides a customer platform that helps businesses connect and grow better. The Company delivers seamless connection for customer-facing teams with a unified platform that includes three layers: AI-powered engagement hubs, a Smart customer relationship management product (“CRM”), and a connected ecosystem supporting the customer platform with a marketplace of integrations, templates, and expert partners, a community network, and an academy of educational content.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engagement hubs include Marketing Hub, Sales Hub, Service Hub, Operations Hub, Content Hub and Commerce Hub, as well as other tools and integrations that enable companies to attract, engage, and delight customers throughout the customer experience.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accompanying unaudited consolidated </w:t>
      </w:r>
      <w:r>
        <w:rPr>
          <w:rFonts w:ascii="Times New Roman" w:hAnsi="Times New Roman"/>
          <w:color w:val="212529"/>
          <w:sz w:val="20"/>
        </w:rPr>
        <w:t xml:space="preserve">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Times New Roman" w:hAnsi="Times New Roman"/>
          <w:color w:val="000000"/>
          <w:sz w:val="20"/>
        </w:rPr>
        <w:t xml:space="preserve">December 31, 2023, and these consolidated financial statements include all adjustments, consisting only of normal recurring adjustments, necessary for a fair statement of the results of the interim periods presented. All intercompany balances and transactions have been eliminated in consolidation.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operations for the interim periods presented are not necessarily indicative of the results to be expected for any subsequent quarter or for the entire year ending December 31, 2024.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interim financial statements should be read in conjunction with the audited consolidated financial statements and related notes contained in the Company’s Annual Report on Form 10-K filed with the SEC on February 14, 2024. Other than the addition of the accounting policy related to derivatives as described in Note 6, there have been no changes in the Company’s significant accounting policies from those that were disclosed in the Company’s Annual Report on Form 10-K that have had a material impact on our consolidated financial statements and related notes.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Recent accounting standards not included below are not expected to have a material impact on our consolidated financial position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guidance enhancing the disclosures of reportable segment information, primarily about significant segment expenses. The new standard will be effective for the Company for the annual periods beginning January 1, 2024, and for interim periods beginning January 1, 2025, with early adoption permitted. Upon adoption, the guidance should be applied retrospectively to all prior periods presented in the financial statements. The adoption of this standard only impacts disclosures and is not expected to have a material impact on the Company's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will be effective for the Company on January 1, 2025, with early adoption permitted. The adoption of this standard only impacts disclosures and is not expected to have a material impact on the Company's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Revision of Previously Issued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financial close process for the first quarter of 2024, the Company identified an error related to the calculation of contractual credits in one of its third-party vendor agreements which impacted the Company's previously issued financial statements beginning with the quarter ended December 31, 2021. The error impacted subsequent annual and quarterly reporting periods through December 31, 2023. The Company assessed the materiality of the error, in consideration of both quantitative and qualitative factors, and concluded that it is not material to any previously presented interim or annual financial statements. The Company revised its financial statements for the periods impacted. In connection with the revisions, the Company also corrected a previously identified immaterial error related to the recording of certain deferred tax balances.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Changes to the interim consolidated statements of operations for the three and six months ended June 30, 2023, as a result of the error, were as follows (in thousands, except per share data):</w:t>
      </w:r>
    </w:p>
    <w:p>
      <w:pPr>
        <w:pStyle w:val="TextBody"/>
        <w:bidi w:val="0"/>
        <w:spacing w:before="200" w:after="283"/>
        <w:jc w:val="left"/>
        <w:rPr/>
      </w:pPr>
      <w:r>
        <w:rPr/>
        <w:t> </w:t>
      </w:r>
    </w:p>
    <w:tbl>
      <w:tblPr>
        <w:tblW w:w="9640" w:type="dxa"/>
        <w:jc w:val="left"/>
        <w:tblInd w:w="0" w:type="dxa"/>
        <w:tblLayout w:type="fixed"/>
        <w:tblCellMar>
          <w:top w:w="28" w:type="dxa"/>
          <w:left w:w="28" w:type="dxa"/>
          <w:bottom w:w="28" w:type="dxa"/>
          <w:right w:w="28" w:type="dxa"/>
        </w:tblCellMar>
      </w:tblPr>
      <w:tblGrid>
        <w:gridCol w:w="4786"/>
        <w:gridCol w:w="146"/>
        <w:gridCol w:w="364"/>
        <w:gridCol w:w="1451"/>
        <w:gridCol w:w="166"/>
        <w:gridCol w:w="146"/>
        <w:gridCol w:w="252"/>
        <w:gridCol w:w="754"/>
        <w:gridCol w:w="166"/>
        <w:gridCol w:w="146"/>
        <w:gridCol w:w="211"/>
        <w:gridCol w:w="84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Statements of Operations and Comprehensive Loss</w:t>
            </w:r>
          </w:p>
        </w:tc>
        <w:tc>
          <w:tcPr>
            <w:tcW w:w="146" w:type="dxa"/>
            <w:tcBorders/>
            <w:shd w:fill="FFFFFF" w:val="clear"/>
            <w:vAlign w:val="center"/>
          </w:tcPr>
          <w:p>
            <w:pPr>
              <w:pStyle w:val="TableContents"/>
              <w:bidi w:val="0"/>
              <w:spacing w:before="0" w:after="283"/>
              <w:jc w:val="left"/>
              <w:rPr/>
            </w:pPr>
            <w:r>
              <w:rPr/>
              <w:t> </w:t>
            </w:r>
          </w:p>
        </w:tc>
        <w:tc>
          <w:tcPr>
            <w:tcW w:w="44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7"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revenues - Subscription</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(2,330</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71,494</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cost of revenues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(2,330</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84,956</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Gross profit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441,852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444,182</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from operations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(118,499</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(116,169</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before income tax expense</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(105,564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(103,234</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expense</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(13,382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(8,569</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(118,946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(111,803</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(119,575</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(112,432</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Previously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7"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revenues - Subscription</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138,116</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cost of revenues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169,332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(4,047</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165,285</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Gross profit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861,426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865,473</w:t>
            </w:r>
          </w:p>
        </w:tc>
        <w:tc>
          <w:tcPr>
            <w:tcW w:w="2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from operations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(163,264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(159,217</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before income tax expense</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(141,583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(137,536</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expense</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(15,645</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(10,987</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(157,228</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(148,523</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loss</w:t>
            </w:r>
          </w:p>
        </w:tc>
        <w:tc>
          <w:tcPr>
            <w:tcW w:w="146"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(152,723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(144,018</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5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5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Revenues</w:t>
      </w:r>
    </w:p>
    <w:p>
      <w:pPr>
        <w:pStyle w:val="TextBody"/>
        <w:bidi w:val="0"/>
        <w:spacing w:before="240" w:after="283"/>
        <w:jc w:val="both"/>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14)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Revenue and Deferred Commission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six months ended June 30, 2024 increased by $34.8 million resulting from $672.0 million of additional invoicing and was offset by revenue recognized of $637.2 million during the same period. $375.2 million of revenue was recognized during the three months ended June 30, 2024 that was included in deferred revenue at the beginning of the period. $520.9 million of revenue was recognized during the six months ended June 30, 2024 that was included in deferred revenue at the beginning of the period. As of June 30, 2024, approximately $867.2 million of revenue is expected to be recognized from remaining performance obligations for contracts with original performance obligations that exceed one year. The Company expects to recognize revenue on approximately 90% of these remaining performance obligations over the next 24 months, with the balance recognized thereafter.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contract liabilities of $6.3 million and $4.5 million were included in accrued expenses and other current liabilities on the consolidated balance sheet as of June 30, 2024 and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sales and Solutions Partner commissions paid for new subscription contracts, are deferred and amortized on a straight-line basis over a period of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commission expense during the three months ended June 30, 2024 increased by $22.2 million as a result of deferring incremental costs of obtaining a contract of $55.1 million and was offset by amortization of $32.9 million during the same period. Deferred commission expense during the six months ended June 30, 2024 increased by $36.7 million as a result of deferring incremental costs of obtaining a contract of $101.7 million and was offset by amortization of $65.0 million during the same period.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9) are considered to be potential common stock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net loss per share is as follows:</w:t>
      </w:r>
    </w:p>
    <w:tbl>
      <w:tblPr>
        <w:tblW w:w="9916" w:type="dxa"/>
        <w:jc w:val="left"/>
        <w:tblInd w:w="0" w:type="dxa"/>
        <w:tblLayout w:type="fixed"/>
        <w:tblCellMar>
          <w:top w:w="28" w:type="dxa"/>
          <w:left w:w="28" w:type="dxa"/>
          <w:bottom w:w="28" w:type="dxa"/>
          <w:right w:w="28" w:type="dxa"/>
        </w:tblCellMar>
      </w:tblPr>
      <w:tblGrid>
        <w:gridCol w:w="4831"/>
        <w:gridCol w:w="211"/>
        <w:gridCol w:w="736"/>
        <w:gridCol w:w="166"/>
        <w:gridCol w:w="146"/>
        <w:gridCol w:w="211"/>
        <w:gridCol w:w="841"/>
        <w:gridCol w:w="166"/>
        <w:gridCol w:w="146"/>
        <w:gridCol w:w="211"/>
        <w:gridCol w:w="676"/>
        <w:gridCol w:w="166"/>
        <w:gridCol w:w="146"/>
        <w:gridCol w:w="211"/>
        <w:gridCol w:w="841"/>
        <w:gridCol w:w="211"/>
      </w:tblGrid>
      <w:tr>
        <w:trPr/>
        <w:tc>
          <w:tcPr>
            <w:tcW w:w="4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(148,523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Weighted-average common shares outstanding — basic</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49,550</w:t>
            </w:r>
          </w:p>
        </w:tc>
        <w:tc>
          <w:tcPr>
            <w:tcW w:w="21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Dilutive effect of share equivalents resulting from </w:t>
              <w:br/>
              <w:t xml:space="preserve">   stock options, RSUs, ESPP, PSUs, and the </w:t>
              <w:br/>
              <w:t>   Conversion Options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Weighted-average common shares, outstanding —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49,550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incurred net losses for each period presented, diluted net loss per share is the same as basic net loss per share. All of the Company’s outstanding stock options, RSUs, PSUs, and shares issuable under the ESPP, as well as the Conversion Options were excluded in the calculation of diluted net loss per share as the effect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contains all potentially dilutive common stock equivalents. </w:t>
      </w:r>
    </w:p>
    <w:tbl>
      <w:tblPr>
        <w:tblW w:w="5229" w:type="dxa"/>
        <w:jc w:val="left"/>
        <w:tblInd w:w="0" w:type="dxa"/>
        <w:tblLayout w:type="fixed"/>
        <w:tblCellMar>
          <w:top w:w="28" w:type="dxa"/>
          <w:left w:w="28" w:type="dxa"/>
          <w:bottom w:w="28" w:type="dxa"/>
          <w:right w:w="28" w:type="dxa"/>
        </w:tblCellMar>
      </w:tblPr>
      <w:tblGrid>
        <w:gridCol w:w="3166"/>
        <w:gridCol w:w="146"/>
        <w:gridCol w:w="146"/>
        <w:gridCol w:w="571"/>
        <w:gridCol w:w="146"/>
        <w:gridCol w:w="146"/>
        <w:gridCol w:w="146"/>
        <w:gridCol w:w="57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Option of the 2025 Notes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June 30, 2024 and December 31, 2023:</w:t>
        <w:br/>
        <w:t> </w:t>
      </w:r>
    </w:p>
    <w:tbl>
      <w:tblPr>
        <w:tblW w:w="9297" w:type="dxa"/>
        <w:jc w:val="left"/>
        <w:tblInd w:w="0" w:type="dxa"/>
        <w:tblLayout w:type="fixed"/>
        <w:tblCellMar>
          <w:top w:w="28" w:type="dxa"/>
          <w:left w:w="28" w:type="dxa"/>
          <w:bottom w:w="28" w:type="dxa"/>
          <w:right w:w="28" w:type="dxa"/>
        </w:tblCellMar>
      </w:tblPr>
      <w:tblGrid>
        <w:gridCol w:w="3826"/>
        <w:gridCol w:w="146"/>
        <w:gridCol w:w="211"/>
        <w:gridCol w:w="676"/>
        <w:gridCol w:w="146"/>
        <w:gridCol w:w="146"/>
        <w:gridCol w:w="211"/>
        <w:gridCol w:w="931"/>
        <w:gridCol w:w="146"/>
        <w:gridCol w:w="146"/>
        <w:gridCol w:w="211"/>
        <w:gridCol w:w="676"/>
        <w:gridCol w:w="146"/>
        <w:gridCol w:w="146"/>
        <w:gridCol w:w="211"/>
        <w:gridCol w:w="931"/>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243,346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1,157,787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31,625</w:t>
            </w:r>
          </w:p>
        </w:tc>
        <w:tc>
          <w:tcPr>
            <w:tcW w:w="3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8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8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612" w:type="dxa"/>
        <w:jc w:val="left"/>
        <w:tblInd w:w="0" w:type="dxa"/>
        <w:tblLayout w:type="fixed"/>
        <w:tblCellMar>
          <w:top w:w="28" w:type="dxa"/>
          <w:left w:w="28" w:type="dxa"/>
          <w:bottom w:w="28" w:type="dxa"/>
          <w:right w:w="28" w:type="dxa"/>
        </w:tblCellMar>
      </w:tblPr>
      <w:tblGrid>
        <w:gridCol w:w="3141"/>
        <w:gridCol w:w="146"/>
        <w:gridCol w:w="211"/>
        <w:gridCol w:w="676"/>
        <w:gridCol w:w="146"/>
        <w:gridCol w:w="146"/>
        <w:gridCol w:w="211"/>
        <w:gridCol w:w="931"/>
        <w:gridCol w:w="146"/>
        <w:gridCol w:w="146"/>
        <w:gridCol w:w="211"/>
        <w:gridCol w:w="676"/>
        <w:gridCol w:w="146"/>
        <w:gridCol w:w="146"/>
        <w:gridCol w:w="211"/>
        <w:gridCol w:w="931"/>
        <w:gridCol w:w="3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3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w:t>
            </w:r>
          </w:p>
        </w:tc>
        <w:tc>
          <w:tcPr>
            <w:tcW w:w="391" w:type="dxa"/>
            <w:tcBorders/>
            <w:shd w:fill="CFF0FC" w:val="cle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1,371,646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30, 2024 and December 31, 2023,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investments measured at fair value on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non-recurring basis are classified as Level 3 as their fair value measurements may include a combination of observable and unobservable inputs.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the fair value of the 2025 Notes was $963.9 million. The fair value was determined based on the quoted price of the 2025 Notes in an inactive market on the last trading day of the reporting period and has been classified as Level 2 within the fair value hierarchy.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on our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$40.7 million of strategic investments without readily determinable fair values at June 30, 2024 and $41.1 million of strategic investments without readily determinable fair values at December 31, 2023. These investments are included in other assets on the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three months ended June 30, 2024, the Company adjusted the fair value of its strategic investments and recognized a gain of $2.1 million and also recorded an impairment of the carrying value of its strategic investments of $0.5 million, resulting in a net gain of $1.6 million. In six months ended June 30, 2024, the Company adjusted the fair value of its strategic investments and recognized a gain of $18.5 million and also recorded an impairment of the carrying value of its strategic investments of $4.1 million, resulting in a net gain of $14.4 million, which is reported in the consolidated statements of operations as other income.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summarize the composition of our short- and long-term investments at June 30, 2024 and December 31, 2023. </w:t>
        <w:b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335"/>
        <w:gridCol w:w="551"/>
        <w:gridCol w:w="146"/>
        <w:gridCol w:w="146"/>
        <w:gridCol w:w="222"/>
        <w:gridCol w:w="664"/>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21,612</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243,346</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132,948</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vAlign w:val="center"/>
          </w:tcPr>
          <w:p>
            <w:pPr>
              <w:pStyle w:val="TableContents"/>
              <w:bidi w:val="0"/>
              <w:spacing w:before="0" w:after="283"/>
              <w:ind w:left="20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1,147,822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39"/>
        <w:gridCol w:w="647"/>
        <w:gridCol w:w="146"/>
        <w:gridCol w:w="146"/>
        <w:gridCol w:w="222"/>
        <w:gridCol w:w="664"/>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49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11,513</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237,406</w:t>
            </w:r>
          </w:p>
        </w:tc>
        <w:tc>
          <w:tcPr>
            <w:tcW w:w="3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122,758</w:t>
            </w:r>
          </w:p>
        </w:tc>
        <w:tc>
          <w:tcPr>
            <w:tcW w:w="3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vAlign w:val="center"/>
          </w:tcPr>
          <w:p>
            <w:pPr>
              <w:pStyle w:val="TableContents"/>
              <w:bidi w:val="0"/>
              <w:spacing w:before="0" w:after="283"/>
              <w:ind w:left="20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all of our securities for which the amortized cost basis was greater than the fair value at June 30, 2024, the Company has concluded that there is no plan to sell the security nor is it more likely than not that the Company would be required to sell the security before its anticipated recovery. The Company further assesses whether the decline in fair value below amortized cost is due to credit or non-credit related factors by considering the extent to which fair value is less than amortized cost, credit ratings, the financial health of the industry and sector of the issuer, the overall risk profile of the securities, overall macroeconomic conditions, and more. As of June 30, 2024, no allowance for credit losses in investments was recorded.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Maturities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at June 30, 2024 and December 31, 2023 are as follows:</w:t>
      </w:r>
    </w:p>
    <w:tbl>
      <w:tblPr>
        <w:tblW w:w="8682" w:type="dxa"/>
        <w:jc w:val="left"/>
        <w:tblInd w:w="0" w:type="dxa"/>
        <w:tblLayout w:type="fixed"/>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1,000,245</w:t>
            </w:r>
          </w:p>
        </w:tc>
        <w:tc>
          <w:tcPr>
            <w:tcW w:w="3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 year through 2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1,325,948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consolidated balance sheets that sum to the total of the same such amounts shown in the statement of cash flows for the three months ended June 30, 2024 and 2023.</w:t>
      </w:r>
    </w:p>
    <w:p>
      <w:pPr>
        <w:pStyle w:val="TextBody"/>
        <w:bidi w:val="0"/>
        <w:jc w:val="left"/>
        <w:rPr/>
      </w:pPr>
      <w:r>
        <w:rPr/>
        <w:t> </w:t>
      </w:r>
    </w:p>
    <w:tbl>
      <w:tblPr>
        <w:tblW w:w="8862" w:type="dxa"/>
        <w:jc w:val="left"/>
        <w:tblInd w:w="0" w:type="dxa"/>
        <w:tblLayout w:type="fixed"/>
        <w:tblCellMar>
          <w:top w:w="28" w:type="dxa"/>
          <w:left w:w="28" w:type="dxa"/>
          <w:bottom w:w="28" w:type="dxa"/>
          <w:right w:w="28" w:type="dxa"/>
        </w:tblCellMar>
      </w:tblPr>
      <w:tblGrid>
        <w:gridCol w:w="4091"/>
        <w:gridCol w:w="146"/>
        <w:gridCol w:w="239"/>
        <w:gridCol w:w="886"/>
        <w:gridCol w:w="146"/>
        <w:gridCol w:w="146"/>
        <w:gridCol w:w="239"/>
        <w:gridCol w:w="886"/>
        <w:gridCol w:w="146"/>
        <w:gridCol w:w="146"/>
        <w:gridCol w:w="319"/>
        <w:gridCol w:w="1181"/>
        <w:gridCol w:w="291"/>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4"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4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387,987</w:t>
            </w:r>
          </w:p>
        </w:tc>
        <w:tc>
          <w:tcPr>
            <w:tcW w:w="291" w:type="dxa"/>
            <w:tcBorders/>
            <w:shd w:fill="CFF0FC" w:val="clear"/>
            <w:vAlign w:val="center"/>
          </w:tcPr>
          <w:p>
            <w:pPr>
              <w:pStyle w:val="TableContents"/>
              <w:bidi w:val="0"/>
              <w:spacing w:before="0" w:after="283"/>
              <w:jc w:val="left"/>
              <w:rPr/>
            </w:pPr>
            <w:r>
              <w:rPr/>
              <w:t> </w:t>
            </w:r>
          </w:p>
        </w:tc>
      </w:tr>
      <w:tr>
        <w:trPr/>
        <w:tc>
          <w:tcPr>
            <w:tcW w:w="4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other assets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Derivatives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12 months or less. Hedge effectiveness is assessed at inception and at each reporting period utilizing statistical regression analysis. The derivatives are subject to master netting arrangements and are disclosed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June 30, 2024, the Company had designated cash flow hedge forward contracts with notional amounts equivalent to $27.4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June 30, 2024 and December 31, 2023:</w:t>
        <w:br/>
        <w:t> </w:t>
      </w:r>
    </w:p>
    <w:tbl>
      <w:tblPr>
        <w:tblW w:w="8266" w:type="dxa"/>
        <w:jc w:val="left"/>
        <w:tblInd w:w="0" w:type="dxa"/>
        <w:tblLayout w:type="fixed"/>
        <w:tblCellMar>
          <w:top w:w="28" w:type="dxa"/>
          <w:left w:w="28" w:type="dxa"/>
          <w:bottom w:w="28" w:type="dxa"/>
          <w:right w:w="28" w:type="dxa"/>
        </w:tblCellMar>
      </w:tblPr>
      <w:tblGrid>
        <w:gridCol w:w="3826"/>
        <w:gridCol w:w="146"/>
        <w:gridCol w:w="516"/>
        <w:gridCol w:w="1029"/>
        <w:gridCol w:w="146"/>
        <w:gridCol w:w="146"/>
        <w:gridCol w:w="725"/>
        <w:gridCol w:w="1195"/>
        <w:gridCol w:w="146"/>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4"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flow hedges</w:t>
            </w:r>
          </w:p>
        </w:tc>
        <w:tc>
          <w:tcPr>
            <w:tcW w:w="146" w:type="dxa"/>
            <w:tcBorders/>
            <w:shd w:fill="FFFFFF" w:val="cle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CFF0FC" w:val="cle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activity of foreign currency forward contracts designated as hedging instruments and the impact of these derivatives on AOCI:</w:t>
        <w:br/>
        <w:t> </w:t>
      </w:r>
    </w:p>
    <w:tbl>
      <w:tblPr>
        <w:tblW w:w="8252" w:type="dxa"/>
        <w:jc w:val="left"/>
        <w:tblInd w:w="0" w:type="dxa"/>
        <w:tblLayout w:type="fixed"/>
        <w:tblCellMar>
          <w:top w:w="28" w:type="dxa"/>
          <w:left w:w="28" w:type="dxa"/>
          <w:bottom w:w="28" w:type="dxa"/>
          <w:right w:w="28" w:type="dxa"/>
        </w:tblCellMar>
      </w:tblPr>
      <w:tblGrid>
        <w:gridCol w:w="5646"/>
        <w:gridCol w:w="146"/>
        <w:gridCol w:w="291"/>
        <w:gridCol w:w="580"/>
        <w:gridCol w:w="229"/>
        <w:gridCol w:w="201"/>
        <w:gridCol w:w="291"/>
        <w:gridCol w:w="477"/>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center"/>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564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Beginning balance</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0" w:type="dxa"/>
            <w:tcBorders/>
            <w:shd w:fill="FFFFFF" w:val="clear"/>
            <w:vAlign w:val="center"/>
          </w:tcPr>
          <w:p>
            <w:pPr>
              <w:pStyle w:val="TableContents"/>
              <w:bidi w:val="0"/>
              <w:spacing w:before="0" w:after="283"/>
              <w:jc w:val="right"/>
              <w:rPr>
                <w:color w:val="000000"/>
              </w:rPr>
            </w:pPr>
            <w:r>
              <w:rPr>
                <w:color w:val="000000"/>
              </w:rPr>
              <w:t>—</w:t>
            </w:r>
          </w:p>
        </w:tc>
        <w:tc>
          <w:tcPr>
            <w:tcW w:w="229"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64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Net losses recognized in other comprehensive income, net of tax</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501</w:t>
            </w:r>
          </w:p>
        </w:tc>
        <w:tc>
          <w:tcPr>
            <w:tcW w:w="229"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64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9"/>
              </w:rPr>
              <w:t>Net losses reclassified from AOCI to earnings</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01"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Ending balance</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 of hedges on the consolidated statements of operations was as follows: </w:t>
      </w:r>
    </w:p>
    <w:p>
      <w:pPr>
        <w:pStyle w:val="TextBody"/>
        <w:bidi w:val="0"/>
        <w:jc w:val="left"/>
        <w:rPr/>
      </w:pPr>
      <w:r>
        <w:rPr/>
        <w:t> </w:t>
      </w:r>
    </w:p>
    <w:tbl>
      <w:tblPr>
        <w:tblW w:w="9948" w:type="dxa"/>
        <w:jc w:val="left"/>
        <w:tblInd w:w="0" w:type="dxa"/>
        <w:tblLayout w:type="fixed"/>
        <w:tblCellMar>
          <w:top w:w="28" w:type="dxa"/>
          <w:left w:w="28" w:type="dxa"/>
          <w:bottom w:w="28" w:type="dxa"/>
          <w:right w:w="28" w:type="dxa"/>
        </w:tblCellMar>
      </w:tblPr>
      <w:tblGrid>
        <w:gridCol w:w="4786"/>
        <w:gridCol w:w="146"/>
        <w:gridCol w:w="328"/>
        <w:gridCol w:w="585"/>
        <w:gridCol w:w="258"/>
        <w:gridCol w:w="227"/>
        <w:gridCol w:w="328"/>
        <w:gridCol w:w="538"/>
        <w:gridCol w:w="146"/>
        <w:gridCol w:w="146"/>
        <w:gridCol w:w="300"/>
        <w:gridCol w:w="534"/>
        <w:gridCol w:w="236"/>
        <w:gridCol w:w="207"/>
        <w:gridCol w:w="300"/>
        <w:gridCol w:w="492"/>
        <w:gridCol w:w="3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25" w:type="dxa"/>
            <w:gridSpan w:val="14"/>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CFF0FC" w:val="cle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Losses reclassified from AOCI related to cash flow hedges</w:t>
            </w:r>
          </w:p>
        </w:tc>
        <w:tc>
          <w:tcPr>
            <w:tcW w:w="146" w:type="dxa"/>
            <w:tcBorders/>
            <w:shd w:fill="FFFFFF" w:val="clear"/>
            <w:vAlign w:val="center"/>
          </w:tcPr>
          <w:p>
            <w:pPr>
              <w:pStyle w:val="TableContents"/>
              <w:bidi w:val="0"/>
              <w:spacing w:before="0" w:after="283"/>
              <w:jc w:val="left"/>
              <w:rPr/>
            </w:pPr>
            <w:r>
              <w:rPr/>
              <w:t> </w:t>
            </w:r>
          </w:p>
        </w:tc>
        <w:tc>
          <w:tcPr>
            <w:tcW w:w="913" w:type="dxa"/>
            <w:gridSpan w:val="2"/>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right"/>
              <w:rPr/>
            </w:pPr>
            <w:r>
              <w:rPr/>
              <w:t> </w:t>
            </w:r>
          </w:p>
        </w:tc>
        <w:tc>
          <w:tcPr>
            <w:tcW w:w="86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7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Revenue</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8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25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27"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34"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2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207" w:type="dxa"/>
            <w:tcBorders/>
            <w:shd w:fill="FFFFFF"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92"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2024, the Company estimates the net amount of unrealized gain (losses) before tax on the foreign currency contracts expected to be reclassified into revenue over the next 12 months is approximately $0.1 million. </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consists of the following:</w:t>
        <w:br/>
        <w:t> </w:t>
      </w:r>
    </w:p>
    <w:tbl>
      <w:tblPr>
        <w:tblW w:w="7275" w:type="dxa"/>
        <w:jc w:val="left"/>
        <w:tblInd w:w="0" w:type="dxa"/>
        <w:tblLayout w:type="fixed"/>
        <w:tblCellMar>
          <w:top w:w="28" w:type="dxa"/>
          <w:left w:w="28" w:type="dxa"/>
          <w:bottom w:w="28" w:type="dxa"/>
          <w:right w:w="28" w:type="dxa"/>
        </w:tblCellMar>
      </w:tblPr>
      <w:tblGrid>
        <w:gridCol w:w="3781"/>
        <w:gridCol w:w="146"/>
        <w:gridCol w:w="225"/>
        <w:gridCol w:w="900"/>
        <w:gridCol w:w="166"/>
        <w:gridCol w:w="146"/>
        <w:gridCol w:w="301"/>
        <w:gridCol w:w="1199"/>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16,395</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50,018</w:t>
            </w:r>
          </w:p>
        </w:tc>
        <w:tc>
          <w:tcPr>
            <w:tcW w:w="41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112,714</w:t>
            </w:r>
          </w:p>
        </w:tc>
        <w:tc>
          <w:tcPr>
            <w:tcW w:w="41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48,894</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248,687</w:t>
            </w:r>
          </w:p>
        </w:tc>
        <w:tc>
          <w:tcPr>
            <w:tcW w:w="4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and amortization expense on property and equipment was $7.0 million for the three months ended June 30, 2024, $14.1 million for the six months ended June 30, 2024, $6.7 million for the three months ended June 30, 2023, and $14.1 million for the six months ended June 30,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part of the Restructuring Plan (defined in Note 15), the Company disposed of $0.5 million of fixed assets, net, in the three months ended June 30, 2023 and $1.3 million in the six months ended June 30, 2023. The Company also recorded accelerated depreciation expense for fixed assets in connection with the lease abandonments as part of the Restructuring Plan. See Note 15 for more information.</w:t>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Capitalized Software Development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exclusive of those recorded within property and equipment, consisted of the following: </w:t>
        <w:br/>
        <w:t> </w:t>
      </w:r>
    </w:p>
    <w:tbl>
      <w:tblPr>
        <w:tblW w:w="7385" w:type="dxa"/>
        <w:jc w:val="left"/>
        <w:tblInd w:w="0" w:type="dxa"/>
        <w:tblLayout w:type="fixed"/>
        <w:tblCellMar>
          <w:top w:w="28" w:type="dxa"/>
          <w:left w:w="28" w:type="dxa"/>
          <w:bottom w:w="28" w:type="dxa"/>
          <w:right w:w="28" w:type="dxa"/>
        </w:tblCellMar>
      </w:tblPr>
      <w:tblGrid>
        <w:gridCol w:w="3891"/>
        <w:gridCol w:w="146"/>
        <w:gridCol w:w="225"/>
        <w:gridCol w:w="900"/>
        <w:gridCol w:w="166"/>
        <w:gridCol w:w="146"/>
        <w:gridCol w:w="301"/>
        <w:gridCol w:w="1199"/>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257,052</w:t>
            </w:r>
          </w:p>
        </w:tc>
        <w:tc>
          <w:tcPr>
            <w:tcW w:w="411" w:type="dxa"/>
            <w:tcBorders/>
            <w:shd w:fill="CFF0FC" w:val="clear"/>
            <w:vAlign w:val="center"/>
          </w:tcPr>
          <w:p>
            <w:pPr>
              <w:pStyle w:val="TableContents"/>
              <w:bidi w:val="0"/>
              <w:spacing w:before="0" w:after="283"/>
              <w:jc w:val="left"/>
              <w:rPr/>
            </w:pPr>
            <w:r>
              <w:rPr/>
              <w:t> </w:t>
            </w:r>
          </w:p>
        </w:tc>
      </w:tr>
      <w:tr>
        <w:trPr/>
        <w:tc>
          <w:tcPr>
            <w:tcW w:w="3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capitalized software development costs are associated with software developed for the Company's customer platform. Capitalized software development costs recorded within property and equipment are associated with software developed for Company use.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Amortization of capitalized software development costs, exclusive of costs recorded within property and equipment, was $17.8 million for the three months ended June 30, 2024, $33.8 million for the six months ended June 30, 2024, $10.7 million for the three months ended June 30, 2023, and $20.5 million for the six months ended June 30, 2023. </w:t>
      </w:r>
    </w:p>
    <w:p>
      <w:pPr>
        <w:pStyle w:val="TextBody"/>
        <w:bidi w:val="0"/>
        <w:spacing w:before="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Convertible Senior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2025 Convertible Senior Notes and Capped Call Options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2025 Notes are classified as short-term debt and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June 30, 2024 was equal to or greater than 130% of the applicable conversion price on each applicable trading day, the 2025 Notes are convertible at the option of the holders thereof during the calendar quarter ending June 30, 2024. As of August 2, 2024, the Company has not received any conversion notices.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net carrying amount of the liability component of the 2025 Notes is as follows:</w:t>
        <w:br/>
        <w:t> </w:t>
      </w:r>
    </w:p>
    <w:tbl>
      <w:tblPr>
        <w:tblW w:w="6690" w:type="dxa"/>
        <w:jc w:val="left"/>
        <w:tblInd w:w="0" w:type="dxa"/>
        <w:tblLayout w:type="fixed"/>
        <w:tblCellMar>
          <w:top w:w="28" w:type="dxa"/>
          <w:left w:w="28" w:type="dxa"/>
          <w:bottom w:w="28" w:type="dxa"/>
          <w:right w:w="28" w:type="dxa"/>
        </w:tblCellMar>
      </w:tblPr>
      <w:tblGrid>
        <w:gridCol w:w="2356"/>
        <w:gridCol w:w="146"/>
        <w:gridCol w:w="328"/>
        <w:gridCol w:w="1217"/>
        <w:gridCol w:w="166"/>
        <w:gridCol w:w="146"/>
        <w:gridCol w:w="408"/>
        <w:gridCol w:w="1512"/>
        <w:gridCol w:w="4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459,076</w:t>
            </w:r>
          </w:p>
        </w:tc>
        <w:tc>
          <w:tcPr>
            <w:tcW w:w="4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issuance costs</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related to the 2025 Notes is as follows:</w:t>
        <w:br/>
        <w:t> </w:t>
      </w:r>
    </w:p>
    <w:tbl>
      <w:tblPr>
        <w:tblW w:w="7757" w:type="dxa"/>
        <w:jc w:val="left"/>
        <w:tblInd w:w="0" w:type="dxa"/>
        <w:tblLayout w:type="fixed"/>
        <w:tblCellMar>
          <w:top w:w="28" w:type="dxa"/>
          <w:left w:w="28" w:type="dxa"/>
          <w:bottom w:w="28" w:type="dxa"/>
          <w:right w:w="28" w:type="dxa"/>
        </w:tblCellMar>
      </w:tblPr>
      <w:tblGrid>
        <w:gridCol w:w="2596"/>
        <w:gridCol w:w="146"/>
        <w:gridCol w:w="307"/>
        <w:gridCol w:w="613"/>
        <w:gridCol w:w="212"/>
        <w:gridCol w:w="212"/>
        <w:gridCol w:w="307"/>
        <w:gridCol w:w="613"/>
        <w:gridCol w:w="146"/>
        <w:gridCol w:w="146"/>
        <w:gridCol w:w="235"/>
        <w:gridCol w:w="637"/>
        <w:gridCol w:w="162"/>
        <w:gridCol w:w="162"/>
        <w:gridCol w:w="235"/>
        <w:gridCol w:w="63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righ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2" w:type="dxa"/>
            <w:tcBorders/>
            <w:shd w:fill="CFF0FC"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issuance costs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righ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righ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is recorded in stockholders’ equity as a reduction in additional paid-in capital and the Capped Call Options are not accounted for as separate derivative financial instruments.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$77.2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Included in the table below are various operating lease commitments for leases that have not yet commenced of approximately $4.1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June 30, 2024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28,258</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56,432</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51,816</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46,866</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34,134</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non-cancelable vendor commitments as of June 30, 2024 are as follows:</w:t>
        <w:br/>
        <w:t> </w:t>
      </w:r>
    </w:p>
    <w:tbl>
      <w:tblPr>
        <w:tblW w:w="3343" w:type="dxa"/>
        <w:jc w:val="left"/>
        <w:tblInd w:w="0" w:type="dxa"/>
        <w:tblLayout w:type="fixed"/>
        <w:tblCellMar>
          <w:top w:w="28" w:type="dxa"/>
          <w:left w:w="28" w:type="dxa"/>
          <w:bottom w:w="28" w:type="dxa"/>
          <w:right w:w="28" w:type="dxa"/>
        </w:tblCellMar>
      </w:tblPr>
      <w:tblGrid>
        <w:gridCol w:w="1681"/>
        <w:gridCol w:w="146"/>
        <w:gridCol w:w="239"/>
        <w:gridCol w:w="88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123,037</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237,793</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236,789</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187,846</w:t>
            </w:r>
          </w:p>
        </w:tc>
        <w:tc>
          <w:tcPr>
            <w:tcW w:w="3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office facilities under non-cancelable operating leases that expire at various dates through February 2035. During the six months ended June 30, 2024, the Company modified various leases of office spaces globally. The Company recorded a reduction in right-of-use assets of $7.3 million and an increase in lease liabilities of $0.5 million for these leases during the period upon the lease modification.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and cash payments related to operating lease liabilities for the three and six months ended June 30, 2024 and 2023 are as follows:</w:t>
        <w:br/>
        <w:t> </w:t>
      </w:r>
    </w:p>
    <w:tbl>
      <w:tblPr>
        <w:tblW w:w="7047" w:type="dxa"/>
        <w:jc w:val="left"/>
        <w:tblInd w:w="0" w:type="dxa"/>
        <w:tblLayout w:type="fixed"/>
        <w:tblCellMar>
          <w:top w:w="28" w:type="dxa"/>
          <w:left w:w="28" w:type="dxa"/>
          <w:bottom w:w="28" w:type="dxa"/>
          <w:right w:w="28" w:type="dxa"/>
        </w:tblCellMar>
      </w:tblPr>
      <w:tblGrid>
        <w:gridCol w:w="2086"/>
        <w:gridCol w:w="146"/>
        <w:gridCol w:w="231"/>
        <w:gridCol w:w="741"/>
        <w:gridCol w:w="160"/>
        <w:gridCol w:w="160"/>
        <w:gridCol w:w="231"/>
        <w:gridCol w:w="741"/>
        <w:gridCol w:w="146"/>
        <w:gridCol w:w="146"/>
        <w:gridCol w:w="211"/>
        <w:gridCol w:w="677"/>
        <w:gridCol w:w="146"/>
        <w:gridCol w:w="146"/>
        <w:gridCol w:w="211"/>
        <w:gridCol w:w="677"/>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22,910</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31,127</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subleases some of its unused spaces to third parties. Operating sublease income generated under all operating lease agreements for the three and six months ended June 30, 2024 and 2023 are as follows: </w:t>
        <w:br/>
        <w:t> </w:t>
      </w:r>
    </w:p>
    <w:tbl>
      <w:tblPr>
        <w:tblW w:w="72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Changes in Accumulated Other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changes in accumulated other comprehensive loss, which is reported as a component of stockholders’ equity, for the six months ended June 30, 2024 and 2023.</w:t>
      </w:r>
    </w:p>
    <w:tbl>
      <w:tblPr>
        <w:tblW w:w="10205" w:type="dxa"/>
        <w:jc w:val="left"/>
        <w:tblInd w:w="0" w:type="dxa"/>
        <w:tblLayout w:type="fixed"/>
        <w:tblCellMar>
          <w:top w:w="28" w:type="dxa"/>
          <w:left w:w="28" w:type="dxa"/>
          <w:bottom w:w="28" w:type="dxa"/>
          <w:right w:w="28" w:type="dxa"/>
        </w:tblCellMar>
      </w:tblPr>
      <w:tblGrid>
        <w:gridCol w:w="3662"/>
        <w:gridCol w:w="146"/>
        <w:gridCol w:w="572"/>
        <w:gridCol w:w="1712"/>
        <w:gridCol w:w="166"/>
        <w:gridCol w:w="146"/>
        <w:gridCol w:w="240"/>
        <w:gridCol w:w="721"/>
        <w:gridCol w:w="166"/>
        <w:gridCol w:w="146"/>
        <w:gridCol w:w="278"/>
        <w:gridCol w:w="683"/>
        <w:gridCol w:w="166"/>
        <w:gridCol w:w="146"/>
        <w:gridCol w:w="211"/>
        <w:gridCol w:w="631"/>
        <w:gridCol w:w="413"/>
      </w:tblGrid>
      <w:tr>
        <w:trPr/>
        <w:tc>
          <w:tcPr>
            <w:tcW w:w="3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Loss on</w:t>
              <w:br/>
              <w:t xml:space="preserve">Derivate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2024</w:t>
            </w:r>
          </w:p>
        </w:tc>
        <w:tc>
          <w:tcPr>
            <w:tcW w:w="146"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36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 before reclassifications</w:t>
            </w:r>
          </w:p>
        </w:tc>
        <w:tc>
          <w:tcPr>
            <w:tcW w:w="146"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other </w:t>
              <w:br/>
              <w:t>  comprehensive income, net of tax</w:t>
            </w:r>
          </w:p>
        </w:tc>
        <w:tc>
          <w:tcPr>
            <w:tcW w:w="146" w:type="dxa"/>
            <w:tcBorders/>
            <w:shd w:fill="CFF0FC" w:val="cle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June 30, 2024</w:t>
            </w:r>
          </w:p>
        </w:tc>
        <w:tc>
          <w:tcPr>
            <w:tcW w:w="146" w:type="dxa"/>
            <w:tcBorders/>
            <w:shd w:fill="FFFFFF" w:val="clear"/>
            <w:vAlign w:val="center"/>
          </w:tcPr>
          <w:p>
            <w:pPr>
              <w:pStyle w:val="TableContents"/>
              <w:bidi w:val="0"/>
              <w:spacing w:before="0" w:after="283"/>
              <w:jc w:val="left"/>
              <w:rPr/>
            </w:pPr>
            <w:r>
              <w:rPr/>
              <w:t> </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624"/>
        <w:gridCol w:w="146"/>
        <w:gridCol w:w="560"/>
        <w:gridCol w:w="1677"/>
        <w:gridCol w:w="166"/>
        <w:gridCol w:w="146"/>
        <w:gridCol w:w="240"/>
        <w:gridCol w:w="721"/>
        <w:gridCol w:w="166"/>
        <w:gridCol w:w="146"/>
        <w:gridCol w:w="347"/>
        <w:gridCol w:w="614"/>
        <w:gridCol w:w="146"/>
        <w:gridCol w:w="146"/>
        <w:gridCol w:w="211"/>
        <w:gridCol w:w="736"/>
        <w:gridCol w:w="413"/>
      </w:tblGrid>
      <w:tr>
        <w:trPr/>
        <w:tc>
          <w:tcPr>
            <w:tcW w:w="3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6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Loss on</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Loss on</w:t>
              <w:br/>
              <w:t xml:space="preserve">Derivate </w:t>
              <w:br/>
              <w:t>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at January 1, 2023</w:t>
            </w:r>
          </w:p>
        </w:tc>
        <w:tc>
          <w:tcPr>
            <w:tcW w:w="146"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gain before reclassifications</w:t>
            </w:r>
          </w:p>
        </w:tc>
        <w:tc>
          <w:tcPr>
            <w:tcW w:w="146"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7"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6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Amounts reclassified from accumulated other </w:t>
              <w:br/>
              <w:t>  comprehensive income, net of tax</w:t>
            </w:r>
          </w:p>
        </w:tc>
        <w:tc>
          <w:tcPr>
            <w:tcW w:w="146" w:type="dxa"/>
            <w:tcBorders/>
            <w:shd w:fill="CFF0FC" w:val="cle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at June 30, 2023</w:t>
            </w:r>
          </w:p>
        </w:tc>
        <w:tc>
          <w:tcPr>
            <w:tcW w:w="146" w:type="dxa"/>
            <w:tcBorders/>
            <w:shd w:fill="FFFFFF" w:val="cle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two tables show stock-based compensation expense by award type and where the stock-based compensation expense is recorded in the Company’s consolidated statements of operations:</w:t>
      </w:r>
    </w:p>
    <w:tbl>
      <w:tblPr>
        <w:tblW w:w="9032" w:type="dxa"/>
        <w:jc w:val="left"/>
        <w:tblInd w:w="0" w:type="dxa"/>
        <w:tblLayout w:type="fixed"/>
        <w:tblCellMar>
          <w:top w:w="28" w:type="dxa"/>
          <w:left w:w="28" w:type="dxa"/>
          <w:bottom w:w="28" w:type="dxa"/>
          <w:right w:w="28" w:type="dxa"/>
        </w:tblCellMar>
      </w:tblPr>
      <w:tblGrid>
        <w:gridCol w:w="3651"/>
        <w:gridCol w:w="146"/>
        <w:gridCol w:w="211"/>
        <w:gridCol w:w="781"/>
        <w:gridCol w:w="146"/>
        <w:gridCol w:w="146"/>
        <w:gridCol w:w="211"/>
        <w:gridCol w:w="781"/>
        <w:gridCol w:w="146"/>
        <w:gridCol w:w="146"/>
        <w:gridCol w:w="211"/>
        <w:gridCol w:w="78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190,937</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Effect of stock-based compensation expense on income by line item: </w:t>
        <w:br/>
        <w:t> </w:t>
      </w:r>
    </w:p>
    <w:tbl>
      <w:tblPr>
        <w:tblW w:w="9357" w:type="dxa"/>
        <w:jc w:val="left"/>
        <w:tblInd w:w="0" w:type="dxa"/>
        <w:tblLayout w:type="fixed"/>
        <w:tblCellMar>
          <w:top w:w="28" w:type="dxa"/>
          <w:left w:w="28" w:type="dxa"/>
          <w:bottom w:w="28" w:type="dxa"/>
          <w:right w:w="28" w:type="dxa"/>
        </w:tblCellMar>
      </w:tblPr>
      <w:tblGrid>
        <w:gridCol w:w="3976"/>
        <w:gridCol w:w="146"/>
        <w:gridCol w:w="211"/>
        <w:gridCol w:w="781"/>
        <w:gridCol w:w="146"/>
        <w:gridCol w:w="146"/>
        <w:gridCol w:w="211"/>
        <w:gridCol w:w="781"/>
        <w:gridCol w:w="146"/>
        <w:gridCol w:w="146"/>
        <w:gridCol w:w="211"/>
        <w:gridCol w:w="781"/>
        <w:gridCol w:w="146"/>
        <w:gridCol w:w="146"/>
        <w:gridCol w:w="211"/>
        <w:gridCol w:w="781"/>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subscription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6,259</w:t>
            </w:r>
          </w:p>
        </w:tc>
        <w:tc>
          <w:tcPr>
            <w:tcW w:w="3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professional services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97,384</w:t>
            </w:r>
          </w:p>
        </w:tc>
        <w:tc>
          <w:tcPr>
            <w:tcW w:w="39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68,794</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Capitalized software development costs excluded from stock-based compensation expense is $10.2 million for the three months ended June 30, 2024, $19.0 million for the six months ended June 30, 2024, $9.4 million for the three months ended June 30, 2023, and $14.0 million for the six months ended June 30, 2023. Also excluded in the six months ended June 30, 2023 is $1.0 million of stock-based compensation expense incurred in connection with the Restructuring Plan. See Note 15 for more details.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Segment Information and Geographic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Revenues by geographical region:</w:t>
      </w:r>
    </w:p>
    <w:tbl>
      <w:tblPr>
        <w:tblW w:w="10205" w:type="dxa"/>
        <w:jc w:val="left"/>
        <w:tblInd w:w="0" w:type="dxa"/>
        <w:tblLayout w:type="fixed"/>
        <w:tblCellMar>
          <w:top w:w="28" w:type="dxa"/>
          <w:left w:w="28" w:type="dxa"/>
          <w:bottom w:w="28" w:type="dxa"/>
          <w:right w:w="28" w:type="dxa"/>
        </w:tblCellMar>
      </w:tblPr>
      <w:tblGrid>
        <w:gridCol w:w="4149"/>
        <w:gridCol w:w="146"/>
        <w:gridCol w:w="211"/>
        <w:gridCol w:w="781"/>
        <w:gridCol w:w="271"/>
        <w:gridCol w:w="146"/>
        <w:gridCol w:w="211"/>
        <w:gridCol w:w="781"/>
        <w:gridCol w:w="271"/>
        <w:gridCol w:w="146"/>
        <w:gridCol w:w="211"/>
        <w:gridCol w:w="931"/>
        <w:gridCol w:w="271"/>
        <w:gridCol w:w="146"/>
        <w:gridCol w:w="211"/>
        <w:gridCol w:w="931"/>
        <w:gridCol w:w="391"/>
      </w:tblGrid>
      <w:tr>
        <w:trPr/>
        <w:tc>
          <w:tcPr>
            <w:tcW w:w="4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629,650</w:t>
            </w:r>
          </w:p>
        </w:tc>
        <w:tc>
          <w:tcPr>
            <w:tcW w:w="391" w:type="dxa"/>
            <w:tcBorders/>
            <w:shd w:fill="FFFFFF" w:val="clear"/>
            <w:vAlign w:val="center"/>
          </w:tcPr>
          <w:p>
            <w:pPr>
              <w:pStyle w:val="TableContents"/>
              <w:bidi w:val="0"/>
              <w:spacing w:before="0" w:after="283"/>
              <w:jc w:val="left"/>
              <w:rPr/>
            </w:pPr>
            <w:r>
              <w:rPr/>
              <w:t> </w:t>
            </w:r>
          </w:p>
        </w:tc>
      </w:tr>
      <w:tr>
        <w:trPr/>
        <w:tc>
          <w:tcPr>
            <w:tcW w:w="4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162,741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392,795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313,580</w:t>
            </w:r>
          </w:p>
        </w:tc>
        <w:tc>
          <w:tcPr>
            <w:tcW w:w="391" w:type="dxa"/>
            <w:tcBorders/>
            <w:shd w:fill="CFF0FC" w:val="clear"/>
            <w:vAlign w:val="center"/>
          </w:tcPr>
          <w:p>
            <w:pPr>
              <w:pStyle w:val="TableContents"/>
              <w:bidi w:val="0"/>
              <w:spacing w:before="0" w:after="283"/>
              <w:jc w:val="left"/>
              <w:rPr/>
            </w:pPr>
            <w:r>
              <w:rPr/>
              <w:t> </w:t>
            </w:r>
          </w:p>
        </w:tc>
      </w:tr>
      <w:tr>
        <w:trPr/>
        <w:tc>
          <w:tcPr>
            <w:tcW w:w="4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 generated outside of the Americas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derived from customers outside the United States (international) was approximately 47% of total revenue in the three and six months ended June 30, 2024, 47% of total revenue in the three months ended June 30, 2023 and 46% of total revenue in the six months ended June 30,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long-lived assets by geographical region:</w:t>
        <w:br/>
        <w:t> </w:t>
      </w:r>
    </w:p>
    <w:tbl>
      <w:tblPr>
        <w:tblW w:w="9400" w:type="dxa"/>
        <w:jc w:val="left"/>
        <w:tblInd w:w="0" w:type="dxa"/>
        <w:tblLayout w:type="fixed"/>
        <w:tblCellMar>
          <w:top w:w="28" w:type="dxa"/>
          <w:left w:w="28" w:type="dxa"/>
          <w:bottom w:w="28" w:type="dxa"/>
          <w:right w:w="28" w:type="dxa"/>
        </w:tblCellMar>
      </w:tblPr>
      <w:tblGrid>
        <w:gridCol w:w="4981"/>
        <w:gridCol w:w="146"/>
        <w:gridCol w:w="328"/>
        <w:gridCol w:w="1217"/>
        <w:gridCol w:w="271"/>
        <w:gridCol w:w="146"/>
        <w:gridCol w:w="408"/>
        <w:gridCol w:w="1512"/>
        <w:gridCol w:w="3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226,822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235,141</w:t>
            </w:r>
          </w:p>
        </w:tc>
        <w:tc>
          <w:tcPr>
            <w:tcW w:w="3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112,176</w:t>
            </w:r>
          </w:p>
        </w:tc>
        <w:tc>
          <w:tcPr>
            <w:tcW w:w="391" w:type="dxa"/>
            <w:tcBorders/>
            <w:shd w:fill="FFFFFF" w:val="cle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long-lived assets held outside of the Americas</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Restructuring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incurred restructuring charges of $1.1 million in the three months ended June 30, 2024 and $1.9 million in the six months ended June 30, 2024 consisting of variable facilities related costs on unused space. In the six months ended June 30, 2023, the Company terminated and abandoned various leases of office spaces globally. The Company recorded a reduction in right-of-use assets of $44.6 million and an increase in lease liabilities of $6.3 million for these leases during the period upon the lease terminations or abandonments. In the three months ended June 30, 2023, the Company incurred $63.8 million of restructuring charges in connection with these leases. In the six months ended June 30, 2023, the Company incurred $92.5 million of restructuring charges, composed of $65.6 million related to facilities and $26.9 million for severance, employee related benefits, and other costs, including $1.0 million of stock-based compensation expense. The charges are recorded to the restructuring line item within the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variable facilities related costs for vacated properties will continue to be recorded to restructuring charges. As of June 30, 2024, the Company did not have any remaining liabilities accrued related to the Restructuring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2023 filed with the SEC on February 14, 2024.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educational content.</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Our engagement hubs include Marketing Hub, Sales Hub, Service Hub, Operations Hub, Content Hub and Commerce Hub, as well as other tools and integrations that enable companies to attract, engage, and delight customers throughout the customer experience.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 xml:space="preserve">The core of our customer platform is our Smart CRM: a single database of lead and customer information that allows businesses to track their interactions with contacts and customers, manage their customer activities, and report on their pipeline and sales.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 The acquisition of APIHub, Inc. (dba Clearbit), which closed in December 2023, will allow us to build enriched B2B records directly into our customer platform. </w:t>
      </w:r>
    </w:p>
    <w:p>
      <w:pPr>
        <w:pStyle w:val="TextBody"/>
        <w:bidi w:val="0"/>
        <w:spacing w:before="200" w:after="283"/>
        <w:jc w:val="left"/>
        <w:rPr>
          <w:rFonts w:ascii="Times New Roman" w:hAnsi="Times New Roman"/>
          <w:color w:val="212529"/>
          <w:sz w:val="20"/>
        </w:rPr>
      </w:pPr>
      <w:r>
        <w:rPr>
          <w:rFonts w:ascii="Times New Roman" w:hAnsi="Times New Roman"/>
          <w:color w:val="212529"/>
          <w:sz w:val="20"/>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sz w:val="20"/>
        </w:rPr>
      </w:pPr>
      <w:r>
        <w:rPr>
          <w:rFonts w:ascii="Times New Roman" w:hAnsi="Times New Roman"/>
          <w:color w:val="212529"/>
          <w:sz w:val="20"/>
        </w:rPr>
        <w:t xml:space="preserve">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w:t>
      </w:r>
      <w:r>
        <w:rPr>
          <w:rFonts w:ascii="Times New Roman" w:hAnsi="Times New Roman"/>
          <w:color w:val="000000"/>
          <w:sz w:val="20"/>
        </w:rPr>
        <w:t xml:space="preserve">As of June 30, 2024, we had 8,002 full-time employees and 228,054 Customers of varying sizes in more than 135 countries, representing many industries.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subscriptions to our cloud-based customer platform and related professional services, which consist of customer on-boarding, training and consulting services. Subscription revenue accounted for 98% of our total revenue for the three and six months ended June 30, 2024 and 2023. We sell multiple product plans at different base prices on a subscription basis, each of which includes our Smart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products and seats, and the number of account users and subdomains. Most of our Customers’ subscriptions are one year or less in duration.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as well as other tools, which are designed to help customers enhance their ability to attract, engage and delight their customers using our customer platform. We also generate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 from Commerce Hub and a number of revenue-share agreements with other companies based on mutually agreed upon terms. Professional services and other revenue accounted for 2% of total revenue for three and six months ended June 30, 2024 and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providers of marketing, sales, customer service, operations, commerce, and content management software and related applications and rapid technological change in our industry.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to fund these growth strategies and support our business and do not expect to be profitable in the next 12 months. </w:t>
        <w:br/>
        <w:br/>
        <w:br/>
      </w: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(such as the COVID-19 pandemic), geo-political conflicts, foreign currency fluctuations, interest rates, inflation, recession risks,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 </w:t>
        <w:br/>
        <w:br/>
        <w:t> </w:t>
      </w:r>
    </w:p>
    <w:p>
      <w:pPr>
        <w:pStyle w:val="TextBody"/>
        <w:bidi w:val="0"/>
        <w:jc w:val="left"/>
        <w:rPr>
          <w:rFonts w:ascii="Times New Roman" w:hAnsi="Times New Roman"/>
          <w:b/>
          <w:color w:val="000000"/>
          <w:sz w:val="20"/>
        </w:rPr>
      </w:pPr>
      <w:r>
        <w:rPr>
          <w:rFonts w:ascii="Times New Roman" w:hAnsi="Times New Roman"/>
          <w:b/>
          <w:color w:val="000000"/>
          <w:sz w:val="20"/>
        </w:rPr>
        <w:t>Key Business Metrics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Customers. </w:t>
      </w:r>
      <w:r>
        <w:rPr>
          <w:rFonts w:ascii="Times New Roman" w:hAnsi="Times New Roman"/>
          <w:color w:val="000000"/>
          <w:sz w:val="20"/>
        </w:rPr>
        <w:t>We believe that our ability to increase our customer base is an indicator of our market penetration, the growth of our business, and our 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Average Subscription Revenue per Customer. </w:t>
      </w:r>
      <w:r>
        <w:rPr>
          <w:rFonts w:ascii="Times New Roman" w:hAnsi="Times New Roman"/>
          <w:color w:val="000000"/>
          <w:sz w:val="20"/>
        </w:rPr>
        <w:t xml:space="preserve">We believe that our ability to increase the Average Subscription Revenue per Customer is an indicator of our ability to grow the long-term value of our existing customer relationships. We define Average Subscription Revenue per Customer during a particular period as subscription revenue from our Customers during the period divided by the average Customers during the same period.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 Retention.</w:t>
      </w:r>
      <w:r>
        <w:rPr>
          <w:rFonts w:ascii="Times New Roman" w:hAnsi="Times New Roman"/>
          <w:color w:val="000000"/>
          <w:sz w:val="20"/>
        </w:rPr>
        <w:t xml:space="preserve"> We believe that our ability to retain and expand a customer relationship is an indicator of the stability of our revenue base 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Retained Subscription Revenue.</w:t>
      </w:r>
      <w:r>
        <w:rPr>
          <w:rFonts w:ascii="Times New Roman" w:hAnsi="Times New Roman"/>
          <w:color w:val="000000"/>
          <w:sz w:val="20"/>
        </w:rPr>
        <w:t xml:space="preserve"> Contractual Monthly Subscription Revenue of the same cohort of Customers as those that comprise the Retention Base Revenue at the end of the same month.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Retention Base Revenue.</w:t>
      </w:r>
      <w:r>
        <w:rPr>
          <w:rFonts w:ascii="Times New Roman" w:hAnsi="Times New Roman"/>
          <w:color w:val="000000"/>
          <w:sz w:val="20"/>
        </w:rPr>
        <w:t xml:space="preserve"> Contractual Monthly Subscription Revenue of our Customers as of the beginning of each month.</w:t>
      </w:r>
    </w:p>
    <w:p>
      <w:pPr>
        <w:pStyle w:val="TextBody"/>
        <w:bidi w:val="0"/>
        <w:jc w:val="left"/>
        <w:rPr>
          <w:rFonts w:ascii="Times New Roman" w:hAnsi="Times New Roman"/>
          <w:sz w:val="20"/>
        </w:rPr>
      </w:pPr>
      <w:r>
        <w:rPr>
          <w:rFonts w:ascii="Times New Roman" w:hAnsi="Times New Roman"/>
          <w:i/>
          <w:color w:val="000000"/>
          <w:sz w:val="20"/>
        </w:rPr>
        <w:t xml:space="preserve">Contractual Monthly Subscription Revenue. </w:t>
      </w:r>
      <w:r>
        <w:rPr>
          <w:rFonts w:ascii="Times New Roman" w:hAnsi="Times New Roman"/>
          <w:color w:val="000000"/>
          <w:sz w:val="20"/>
        </w:rPr>
        <w:t xml:space="preserve">The subscription fees contractually committed to be paid for a full month under our Customer agreements, converted into USD at fixed rates that are held consistent over time, excluding commissions owed to our Solutions Partners. </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 for the Three Months Ended June 30, 2024 and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 </w:t>
      </w:r>
    </w:p>
    <w:tbl>
      <w:tblPr>
        <w:tblW w:w="9667" w:type="dxa"/>
        <w:jc w:val="left"/>
        <w:tblInd w:w="0" w:type="dxa"/>
        <w:tblLayout w:type="fixed"/>
        <w:tblCellMar>
          <w:top w:w="28" w:type="dxa"/>
          <w:left w:w="28" w:type="dxa"/>
          <w:bottom w:w="28" w:type="dxa"/>
          <w:right w:w="28" w:type="dxa"/>
        </w:tblCellMar>
      </w:tblPr>
      <w:tblGrid>
        <w:gridCol w:w="3466"/>
        <w:gridCol w:w="146"/>
        <w:gridCol w:w="211"/>
        <w:gridCol w:w="781"/>
        <w:gridCol w:w="166"/>
        <w:gridCol w:w="146"/>
        <w:gridCol w:w="211"/>
        <w:gridCol w:w="841"/>
        <w:gridCol w:w="166"/>
        <w:gridCol w:w="146"/>
        <w:gridCol w:w="211"/>
        <w:gridCol w:w="931"/>
        <w:gridCol w:w="166"/>
        <w:gridCol w:w="146"/>
        <w:gridCol w:w="211"/>
        <w:gridCol w:w="931"/>
        <w:gridCol w:w="7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1,007,421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1,030,758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865,473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297,639</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515,971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(137,536</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pPr>
      <w:r>
        <w:rPr/>
        <w:t> </w:t>
      </w:r>
    </w:p>
    <w:tbl>
      <w:tblPr>
        <w:tblW w:w="9032" w:type="dxa"/>
        <w:jc w:val="left"/>
        <w:tblInd w:w="0" w:type="dxa"/>
        <w:tblLayout w:type="fixed"/>
        <w:tblCellMar>
          <w:top w:w="28" w:type="dxa"/>
          <w:left w:w="28" w:type="dxa"/>
          <w:bottom w:w="28" w:type="dxa"/>
          <w:right w:w="28" w:type="dxa"/>
        </w:tblCellMar>
      </w:tblPr>
      <w:tblGrid>
        <w:gridCol w:w="3466"/>
        <w:gridCol w:w="146"/>
        <w:gridCol w:w="205"/>
        <w:gridCol w:w="592"/>
        <w:gridCol w:w="465"/>
        <w:gridCol w:w="205"/>
        <w:gridCol w:w="205"/>
        <w:gridCol w:w="592"/>
        <w:gridCol w:w="331"/>
        <w:gridCol w:w="146"/>
        <w:gridCol w:w="187"/>
        <w:gridCol w:w="541"/>
        <w:gridCol w:w="425"/>
        <w:gridCol w:w="187"/>
        <w:gridCol w:w="187"/>
        <w:gridCol w:w="541"/>
        <w:gridCol w:w="6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465"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28" w:type="dxa"/>
            <w:gridSpan w:val="2"/>
            <w:tcBorders/>
            <w:shd w:fill="CFF0FC" w:val="clear"/>
            <w:vAlign w:val="center"/>
          </w:tcPr>
          <w:p>
            <w:pPr>
              <w:pStyle w:val="TableContents"/>
              <w:bidi w:val="0"/>
              <w:spacing w:before="0" w:after="283"/>
              <w:jc w:val="right"/>
              <w:rPr/>
            </w:pPr>
            <w:r>
              <w:rPr/>
              <w:t> </w:t>
            </w:r>
          </w:p>
        </w:tc>
        <w:tc>
          <w:tcPr>
            <w:tcW w:w="425"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72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465"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28" w:type="dxa"/>
            <w:gridSpan w:val="2"/>
            <w:tcBorders/>
            <w:shd w:fill="CFF0FC" w:val="clear"/>
            <w:vAlign w:val="center"/>
          </w:tcPr>
          <w:p>
            <w:pPr>
              <w:pStyle w:val="TableContents"/>
              <w:bidi w:val="0"/>
              <w:spacing w:before="0" w:after="283"/>
              <w:jc w:val="right"/>
              <w:rPr/>
            </w:pPr>
            <w:r>
              <w:rPr/>
              <w:t> </w:t>
            </w:r>
          </w:p>
        </w:tc>
        <w:tc>
          <w:tcPr>
            <w:tcW w:w="425"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72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6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2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425"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6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25"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6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2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6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25"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expense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25"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Percentages are based on actual values. Totals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Three and Six Months Ended June 30, 2024 Compared to the Three and Six Months Ended June 30, 2023</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br/>
        <w:t> </w:t>
      </w:r>
    </w:p>
    <w:tbl>
      <w:tblPr>
        <w:tblW w:w="11076" w:type="dxa"/>
        <w:jc w:val="left"/>
        <w:tblInd w:w="0" w:type="dxa"/>
        <w:tblLayout w:type="fixed"/>
        <w:tblCellMar>
          <w:top w:w="28" w:type="dxa"/>
          <w:left w:w="28" w:type="dxa"/>
          <w:bottom w:w="28" w:type="dxa"/>
          <w:right w:w="28" w:type="dxa"/>
        </w:tblCellMar>
      </w:tblPr>
      <w:tblGrid>
        <w:gridCol w:w="1191"/>
        <w:gridCol w:w="146"/>
        <w:gridCol w:w="196"/>
        <w:gridCol w:w="691"/>
        <w:gridCol w:w="146"/>
        <w:gridCol w:w="146"/>
        <w:gridCol w:w="196"/>
        <w:gridCol w:w="691"/>
        <w:gridCol w:w="146"/>
        <w:gridCol w:w="146"/>
        <w:gridCol w:w="196"/>
        <w:gridCol w:w="691"/>
        <w:gridCol w:w="146"/>
        <w:gridCol w:w="146"/>
        <w:gridCol w:w="223"/>
        <w:gridCol w:w="438"/>
        <w:gridCol w:w="241"/>
        <w:gridCol w:w="146"/>
        <w:gridCol w:w="196"/>
        <w:gridCol w:w="826"/>
        <w:gridCol w:w="146"/>
        <w:gridCol w:w="146"/>
        <w:gridCol w:w="196"/>
        <w:gridCol w:w="826"/>
        <w:gridCol w:w="146"/>
        <w:gridCol w:w="146"/>
        <w:gridCol w:w="196"/>
        <w:gridCol w:w="691"/>
        <w:gridCol w:w="146"/>
        <w:gridCol w:w="146"/>
        <w:gridCol w:w="223"/>
        <w:gridCol w:w="438"/>
        <w:gridCol w:w="686"/>
      </w:tblGrid>
      <w:tr>
        <w:trPr/>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86" w:type="dxa"/>
            <w:tcBorders/>
            <w:shd w:fill="FFFFFF" w:val="clear"/>
            <w:vAlign w:val="center"/>
          </w:tcPr>
          <w:p>
            <w:pPr>
              <w:pStyle w:val="TableContents"/>
              <w:bidi w:val="0"/>
              <w:spacing w:before="0" w:after="283"/>
              <w:jc w:val="center"/>
              <w:rPr/>
            </w:pPr>
            <w:r>
              <w:rPr/>
              <w:t> </w:t>
            </w:r>
          </w:p>
        </w:tc>
      </w:tr>
      <w:tr>
        <w:trPr/>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Revenues: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ind w:left="0" w:right="0" w:firstLine="200"/>
              <w:jc w:val="left"/>
              <w:rPr/>
            </w:pPr>
            <w:r>
              <w:rPr/>
              <w:t> </w:t>
            </w:r>
          </w:p>
        </w:tc>
      </w:tr>
      <w:tr>
        <w:trPr/>
        <w:tc>
          <w:tcPr>
            <w:tcW w:w="11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Subscription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623,763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517,678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1,007,421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686"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1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686"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11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1,254,644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1,030,758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68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revenue increased during the three months ended June 30, 2024 compared to the same period in 2023 primarily due to the increase in Customers, which grew from 150,865 as of June 30, 2023 to 228,054 as of June 30, 2024. Average Subscription Revenue per Customer decreased from $11,432 for the three months ended June 30, 2023 to $11,215 for the three months ended June 30, 2024. The growth in Customers was primarily driven by increased demand for our lower-priced Starter products, as well as Professional and Enterprise products from our new seats model. The decrease in Average Subscription Revenue per Customer was primarily driven by continued purchases of our lower-priced Starter products and the impact of our new seats pricing model, offset by a continued demand for our Professional and Enterprise products, as well as the addition of customers from the acquisition of Clearbit.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three months ended June 30, 2024 compared to the same period in 2023 primarily due to an increase in other revenue streams, including Commerce Hub.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revenue increased during the three months ended June 30, 2024 compared to the same period in 2023 primarily due to the increase in Customers, which grew from 150,865 as of June 30, 2023 to 228,054 as of June 30, 2024. Average Subscription Revenue per Customer decreased from $11,436 for the six months ended June 30, 2023 to $11,335 for the six months ended June 30, 2024. The growth in Customers was primarily driven by increased demand for our lower-priced Starter products, as well as Professional and Enterprise products from our new seats model. The decrease in Average Subscription Revenue per Customer was primarily by continued purchases of our lower-priced Starter products and the impact of our new seats pricing model, offset by a continued demand for our Professional and Enterprise products, as well as the addition of customers from the acquisition of Clearbit.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increased during the six months ended June 30, 2024 compared to the same period in 2023 primarily due to an increase in other revenue streams, including Commerce Hub. </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Cost of Revenue, Gross Profit and Gross Margin Percentage </w:t>
      </w:r>
      <w:r>
        <w:rPr>
          <w:rFonts w:ascii="Times New Roman" w:hAnsi="Times New Roman"/>
          <w:color w:val="000000"/>
          <w:sz w:val="20"/>
        </w:rPr>
        <w:br/>
        <w:t> </w:t>
      </w:r>
    </w:p>
    <w:tbl>
      <w:tblPr>
        <w:tblW w:w="10511" w:type="dxa"/>
        <w:jc w:val="left"/>
        <w:tblInd w:w="0" w:type="dxa"/>
        <w:tblLayout w:type="fixed"/>
        <w:tblCellMar>
          <w:top w:w="28" w:type="dxa"/>
          <w:left w:w="28" w:type="dxa"/>
          <w:bottom w:w="28" w:type="dxa"/>
          <w:right w:w="28" w:type="dxa"/>
        </w:tblCellMar>
      </w:tblPr>
      <w:tblGrid>
        <w:gridCol w:w="871"/>
        <w:gridCol w:w="146"/>
        <w:gridCol w:w="196"/>
        <w:gridCol w:w="691"/>
        <w:gridCol w:w="241"/>
        <w:gridCol w:w="146"/>
        <w:gridCol w:w="196"/>
        <w:gridCol w:w="691"/>
        <w:gridCol w:w="241"/>
        <w:gridCol w:w="146"/>
        <w:gridCol w:w="196"/>
        <w:gridCol w:w="601"/>
        <w:gridCol w:w="146"/>
        <w:gridCol w:w="146"/>
        <w:gridCol w:w="223"/>
        <w:gridCol w:w="438"/>
        <w:gridCol w:w="241"/>
        <w:gridCol w:w="146"/>
        <w:gridCol w:w="196"/>
        <w:gridCol w:w="826"/>
        <w:gridCol w:w="241"/>
        <w:gridCol w:w="146"/>
        <w:gridCol w:w="196"/>
        <w:gridCol w:w="691"/>
        <w:gridCol w:w="241"/>
        <w:gridCol w:w="146"/>
        <w:gridCol w:w="196"/>
        <w:gridCol w:w="691"/>
        <w:gridCol w:w="146"/>
        <w:gridCol w:w="146"/>
        <w:gridCol w:w="223"/>
        <w:gridCol w:w="438"/>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95,517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84,956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190,604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165,285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541,713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444,182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1,064,040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865,473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8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Gross margin percentage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cost of revenue for the three and six months ended June 30, 2024 increased compared to the same period in 2023 primarily due to an increase in subscription and hosting costs, amortization of capitalized software development costs, amortization of acquired technology and employee-related costs, offset by a decrease in allocated overhead expenses. Gross margins remained consistent year-over-year.</w:t>
        <w:br/>
        <w:t> </w:t>
      </w:r>
    </w:p>
    <w:tbl>
      <w:tblPr>
        <w:tblW w:w="10226" w:type="dxa"/>
        <w:jc w:val="left"/>
        <w:tblInd w:w="0" w:type="dxa"/>
        <w:tblLayout w:type="fixed"/>
        <w:tblCellMar>
          <w:top w:w="28" w:type="dxa"/>
          <w:left w:w="28" w:type="dxa"/>
          <w:bottom w:w="28" w:type="dxa"/>
          <w:right w:w="28" w:type="dxa"/>
        </w:tblCellMar>
      </w:tblPr>
      <w:tblGrid>
        <w:gridCol w:w="991"/>
        <w:gridCol w:w="146"/>
        <w:gridCol w:w="196"/>
        <w:gridCol w:w="601"/>
        <w:gridCol w:w="241"/>
        <w:gridCol w:w="146"/>
        <w:gridCol w:w="196"/>
        <w:gridCol w:w="60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01"/>
        <w:gridCol w:w="146"/>
        <w:gridCol w:w="146"/>
        <w:gridCol w:w="223"/>
        <w:gridCol w:w="438"/>
        <w:gridCol w:w="28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Subscription cost of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81,618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71,494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162,342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138,116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99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subscription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subscription cost of revenue for the three and six months ended June 30, 2024 compared to the same period in 2023 was primarily due to the following:</w:t>
        <w:br/>
        <w:t> </w:t>
      </w:r>
    </w:p>
    <w:tbl>
      <w:tblPr>
        <w:tblW w:w="7310" w:type="dxa"/>
        <w:jc w:val="left"/>
        <w:tblInd w:w="0" w:type="dxa"/>
        <w:tblLayout w:type="fixed"/>
        <w:tblCellMar>
          <w:top w:w="28" w:type="dxa"/>
          <w:left w:w="28" w:type="dxa"/>
          <w:bottom w:w="28" w:type="dxa"/>
          <w:right w:w="28" w:type="dxa"/>
        </w:tblCellMar>
      </w:tblPr>
      <w:tblGrid>
        <w:gridCol w:w="4636"/>
        <w:gridCol w:w="146"/>
        <w:gridCol w:w="264"/>
        <w:gridCol w:w="846"/>
        <w:gridCol w:w="146"/>
        <w:gridCol w:w="146"/>
        <w:gridCol w:w="217"/>
        <w:gridCol w:w="698"/>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hosting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w:t>
            </w:r>
          </w:p>
        </w:tc>
        <w:tc>
          <w:tcPr>
            <w:tcW w:w="21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w:t>
            </w:r>
          </w:p>
        </w:tc>
        <w:tc>
          <w:tcPr>
            <w:tcW w:w="21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21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Subscription and hosting costs increased primarily due to growth in our Customer base from 150,865 as of June 30, 2023 to 228,054 as of June 30, 2024. We also saw higher subscription and hosting costs as we continued to focus on the security, reliability and performance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 of Clearbit in December 2023. Employee-related costs increased as a result of increased headcount as we continue to grow our customer support organization to support our customer growth and improve service levels and offerings. Allocated overhead expenses increased due to an increase in shared company third-party services costs.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 and hosting costs increased primarily due to growth in our Customer base from 150,865 as of June 30, 2023 to 228,054 as of June 30, 2024. We also saw higher subscription and hosting costs as we continued to focus on the security, reliability and performance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 of Clearbit in December 2023. Employee-related costs increased as a result of increased headcount as we continue to grow our customer support organization to support our customer growth and improve service levels and offerings. Allocated overhead expenses decreased primarily due to the reduction of our leased space as a result of the global lease consolidation under the Restructuring Plan, offset slightly by an increase in shared company third-party services costs.</w:t>
      </w:r>
    </w:p>
    <w:tbl>
      <w:tblPr>
        <w:tblW w:w="10205" w:type="dxa"/>
        <w:jc w:val="left"/>
        <w:tblInd w:w="0" w:type="dxa"/>
        <w:tblLayout w:type="fixed"/>
        <w:tblCellMar>
          <w:top w:w="28" w:type="dxa"/>
          <w:left w:w="28" w:type="dxa"/>
          <w:bottom w:w="28" w:type="dxa"/>
          <w:right w:w="28" w:type="dxa"/>
        </w:tblCellMar>
      </w:tblPr>
      <w:tblGrid>
        <w:gridCol w:w="1328"/>
        <w:gridCol w:w="146"/>
        <w:gridCol w:w="199"/>
        <w:gridCol w:w="611"/>
        <w:gridCol w:w="245"/>
        <w:gridCol w:w="148"/>
        <w:gridCol w:w="199"/>
        <w:gridCol w:w="611"/>
        <w:gridCol w:w="241"/>
        <w:gridCol w:w="146"/>
        <w:gridCol w:w="226"/>
        <w:gridCol w:w="435"/>
        <w:gridCol w:w="146"/>
        <w:gridCol w:w="146"/>
        <w:gridCol w:w="282"/>
        <w:gridCol w:w="379"/>
        <w:gridCol w:w="241"/>
        <w:gridCol w:w="146"/>
        <w:gridCol w:w="197"/>
        <w:gridCol w:w="604"/>
        <w:gridCol w:w="242"/>
        <w:gridCol w:w="146"/>
        <w:gridCol w:w="197"/>
        <w:gridCol w:w="604"/>
        <w:gridCol w:w="241"/>
        <w:gridCol w:w="146"/>
        <w:gridCol w:w="196"/>
        <w:gridCol w:w="511"/>
        <w:gridCol w:w="146"/>
        <w:gridCol w:w="146"/>
        <w:gridCol w:w="282"/>
        <w:gridCol w:w="379"/>
        <w:gridCol w:w="293"/>
      </w:tblGrid>
      <w:tr>
        <w:trPr/>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3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3" w:type="dxa"/>
            <w:tcBorders/>
            <w:shd w:fill="FFFFFF" w:val="clear"/>
            <w:vAlign w:val="center"/>
          </w:tcPr>
          <w:p>
            <w:pPr>
              <w:pStyle w:val="TableContents"/>
              <w:bidi w:val="0"/>
              <w:spacing w:before="0" w:after="283"/>
              <w:jc w:val="center"/>
              <w:rPr/>
            </w:pPr>
            <w:r>
              <w:rPr/>
              <w:t> </w:t>
            </w:r>
          </w:p>
        </w:tc>
      </w:tr>
      <w:tr>
        <w:trPr/>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Professional services and other cost of revenue</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13,899</w:t>
            </w:r>
          </w:p>
        </w:tc>
        <w:tc>
          <w:tcPr>
            <w:tcW w:w="245"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13,462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28,262</w:t>
            </w:r>
          </w:p>
        </w:tc>
        <w:tc>
          <w:tcPr>
            <w:tcW w:w="2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27,169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9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328"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professional services and other revenue</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24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242"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professional services and other cost of revenue for three and six months ended June 30, 2024 compared to the same period in 2023 was primarily due to the following: </w:t>
        <w:br/>
        <w:t> </w:t>
      </w:r>
    </w:p>
    <w:tbl>
      <w:tblPr>
        <w:tblW w:w="5995" w:type="dxa"/>
        <w:jc w:val="left"/>
        <w:tblInd w:w="0" w:type="dxa"/>
        <w:tblLayout w:type="fixed"/>
        <w:tblCellMar>
          <w:top w:w="28" w:type="dxa"/>
          <w:left w:w="28" w:type="dxa"/>
          <w:bottom w:w="28" w:type="dxa"/>
          <w:right w:w="28" w:type="dxa"/>
        </w:tblCellMar>
      </w:tblPr>
      <w:tblGrid>
        <w:gridCol w:w="3301"/>
        <w:gridCol w:w="146"/>
        <w:gridCol w:w="278"/>
        <w:gridCol w:w="832"/>
        <w:gridCol w:w="166"/>
        <w:gridCol w:w="146"/>
        <w:gridCol w:w="229"/>
        <w:gridCol w:w="68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and other expenses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2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Allocated overhead and other expenses increased primarily due to increased costs associated with our other service offering, including Commerce Hub. Employee-related costs decreased as we continue to leverage our Solutions Partners to deliver on-boarding and other professional services.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Allocated overhead and other expenses increased primarily due to increased costs associated with our other service offerings, including Commerce Hub. Employee-related costs decreased as we continue to leverage our Solutions Partners to deliver on-boarding and other professional services.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10436" w:type="dxa"/>
        <w:jc w:val="left"/>
        <w:tblInd w:w="0" w:type="dxa"/>
        <w:tblLayout w:type="fixed"/>
        <w:tblCellMar>
          <w:top w:w="28" w:type="dxa"/>
          <w:left w:w="28" w:type="dxa"/>
          <w:bottom w:w="28" w:type="dxa"/>
          <w:right w:w="28" w:type="dxa"/>
        </w:tblCellMar>
      </w:tblPr>
      <w:tblGrid>
        <w:gridCol w:w="1021"/>
        <w:gridCol w:w="146"/>
        <w:gridCol w:w="196"/>
        <w:gridCol w:w="691"/>
        <w:gridCol w:w="241"/>
        <w:gridCol w:w="146"/>
        <w:gridCol w:w="196"/>
        <w:gridCol w:w="69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01"/>
        <w:gridCol w:w="146"/>
        <w:gridCol w:w="146"/>
        <w:gridCol w:w="223"/>
        <w:gridCol w:w="438"/>
        <w:gridCol w:w="28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198,180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169,955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373,817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297,639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research and development expense for the three and six months ended June 30, 2024 compared to the same period in 2023 was primarily due to the following:</w:t>
      </w:r>
    </w:p>
    <w:tbl>
      <w:tblPr>
        <w:tblW w:w="5145" w:type="dxa"/>
        <w:jc w:val="left"/>
        <w:tblInd w:w="0" w:type="dxa"/>
        <w:tblLayout w:type="fixed"/>
        <w:tblCellMar>
          <w:top w:w="28" w:type="dxa"/>
          <w:left w:w="28" w:type="dxa"/>
          <w:bottom w:w="28" w:type="dxa"/>
          <w:right w:w="28" w:type="dxa"/>
        </w:tblCellMar>
      </w:tblPr>
      <w:tblGrid>
        <w:gridCol w:w="2491"/>
        <w:gridCol w:w="146"/>
        <w:gridCol w:w="264"/>
        <w:gridCol w:w="846"/>
        <w:gridCol w:w="146"/>
        <w:gridCol w:w="146"/>
        <w:gridCol w:w="217"/>
        <w:gridCol w:w="69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71,475</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w:t>
        <w:br/>
      </w:r>
      <w:r>
        <w:rPr>
          <w:rFonts w:ascii="Times New Roman" w:hAnsi="Times New Roman"/>
          <w:color w:val="000000"/>
          <w:sz w:val="20"/>
        </w:rPr>
        <w:t> </w:t>
      </w:r>
    </w:p>
    <w:tbl>
      <w:tblPr>
        <w:tblW w:w="10286" w:type="dxa"/>
        <w:jc w:val="left"/>
        <w:tblInd w:w="0" w:type="dxa"/>
        <w:tblLayout w:type="fixed"/>
        <w:tblCellMar>
          <w:top w:w="28" w:type="dxa"/>
          <w:left w:w="28" w:type="dxa"/>
          <w:bottom w:w="28" w:type="dxa"/>
          <w:right w:w="28" w:type="dxa"/>
        </w:tblCellMar>
      </w:tblPr>
      <w:tblGrid>
        <w:gridCol w:w="871"/>
        <w:gridCol w:w="146"/>
        <w:gridCol w:w="196"/>
        <w:gridCol w:w="691"/>
        <w:gridCol w:w="241"/>
        <w:gridCol w:w="146"/>
        <w:gridCol w:w="196"/>
        <w:gridCol w:w="69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01"/>
        <w:gridCol w:w="146"/>
        <w:gridCol w:w="146"/>
        <w:gridCol w:w="223"/>
        <w:gridCol w:w="438"/>
        <w:gridCol w:w="28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Sales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293,794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265,294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594,081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515,971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sales and marketing expense for the three and six months ended June 30, 2024 compared to the same period in 2023 was primarily due to the following:</w:t>
        <w:br/>
        <w:t> </w:t>
      </w:r>
    </w:p>
    <w:tbl>
      <w:tblPr>
        <w:tblW w:w="5305" w:type="dxa"/>
        <w:jc w:val="left"/>
        <w:tblInd w:w="0" w:type="dxa"/>
        <w:tblLayout w:type="fixed"/>
        <w:tblCellMar>
          <w:top w:w="28" w:type="dxa"/>
          <w:left w:w="28" w:type="dxa"/>
          <w:bottom w:w="28" w:type="dxa"/>
          <w:right w:w="28" w:type="dxa"/>
        </w:tblCellMar>
      </w:tblPr>
      <w:tblGrid>
        <w:gridCol w:w="2611"/>
        <w:gridCol w:w="146"/>
        <w:gridCol w:w="264"/>
        <w:gridCol w:w="846"/>
        <w:gridCol w:w="166"/>
        <w:gridCol w:w="146"/>
        <w:gridCol w:w="217"/>
        <w:gridCol w:w="698"/>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68,170</w:t>
            </w:r>
          </w:p>
        </w:tc>
        <w:tc>
          <w:tcPr>
            <w:tcW w:w="21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programs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7,651</w:t>
            </w:r>
          </w:p>
        </w:tc>
        <w:tc>
          <w:tcPr>
            <w:tcW w:w="21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21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Solutions Partner commissions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Allocated overhead expenses increased due to an increase in shared company expenses associated with our systems and infrastructure. Solutions Partner commissions decreased as we changed the duration of certain Solutions Partner commissions term from lifetime to three years and began to defer these costs and amortize over a period of approximately two to four years in the first quarter of 2023.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Allocated overhead expenses increased due to an increase in shared company expenses associated with our systems and infrastructure. Solutions Partner commissions decreased as we changed the duration of certain Solutions Partner commissions term from lifetime to three years and began to defer these costs and amortize over a period of approximately two to four years in the first quarter of 2023.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10331" w:type="dxa"/>
        <w:jc w:val="left"/>
        <w:tblInd w:w="0" w:type="dxa"/>
        <w:tblLayout w:type="fixed"/>
        <w:tblCellMar>
          <w:top w:w="28" w:type="dxa"/>
          <w:left w:w="28" w:type="dxa"/>
          <w:bottom w:w="28" w:type="dxa"/>
          <w:right w:w="28" w:type="dxa"/>
        </w:tblCellMar>
      </w:tblPr>
      <w:tblGrid>
        <w:gridCol w:w="1096"/>
        <w:gridCol w:w="146"/>
        <w:gridCol w:w="196"/>
        <w:gridCol w:w="601"/>
        <w:gridCol w:w="241"/>
        <w:gridCol w:w="146"/>
        <w:gridCol w:w="196"/>
        <w:gridCol w:w="601"/>
        <w:gridCol w:w="241"/>
        <w:gridCol w:w="146"/>
        <w:gridCol w:w="196"/>
        <w:gridCol w:w="601"/>
        <w:gridCol w:w="146"/>
        <w:gridCol w:w="146"/>
        <w:gridCol w:w="223"/>
        <w:gridCol w:w="438"/>
        <w:gridCol w:w="241"/>
        <w:gridCol w:w="146"/>
        <w:gridCol w:w="196"/>
        <w:gridCol w:w="691"/>
        <w:gridCol w:w="241"/>
        <w:gridCol w:w="146"/>
        <w:gridCol w:w="196"/>
        <w:gridCol w:w="691"/>
        <w:gridCol w:w="241"/>
        <w:gridCol w:w="146"/>
        <w:gridCol w:w="196"/>
        <w:gridCol w:w="601"/>
        <w:gridCol w:w="146"/>
        <w:gridCol w:w="146"/>
        <w:gridCol w:w="223"/>
        <w:gridCol w:w="438"/>
        <w:gridCol w:w="28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86" w:type="dxa"/>
            <w:tcBorders/>
            <w:shd w:fill="FFFFFF" w:val="cle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72,597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61,222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141,452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118,630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2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general and administrative expense for the three and six months ended June 30, 2024 compared to the same period in 2023 was primarily due to the following: </w:t>
        <w:br/>
        <w:t> </w:t>
      </w:r>
    </w:p>
    <w:tbl>
      <w:tblPr>
        <w:tblW w:w="5145" w:type="dxa"/>
        <w:jc w:val="left"/>
        <w:tblInd w:w="0" w:type="dxa"/>
        <w:tblLayout w:type="fixed"/>
        <w:tblCellMar>
          <w:top w:w="28" w:type="dxa"/>
          <w:left w:w="28" w:type="dxa"/>
          <w:bottom w:w="28" w:type="dxa"/>
          <w:right w:w="28" w:type="dxa"/>
        </w:tblCellMar>
      </w:tblPr>
      <w:tblGrid>
        <w:gridCol w:w="2491"/>
        <w:gridCol w:w="146"/>
        <w:gridCol w:w="264"/>
        <w:gridCol w:w="846"/>
        <w:gridCol w:w="146"/>
        <w:gridCol w:w="146"/>
        <w:gridCol w:w="217"/>
        <w:gridCol w:w="69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card fees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grew our business and required additional personnel to support our expanded operations. Customer credit card fees increased due to increased customer transactions as we continued to grow our business.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grew our business and required additional personnel to support our expanded operations. Customer credit card fees increased due to increased customer transactions as we continued to grow our business. Allocated overhead expenses increased due to an increase in shared company expenses associated with our systems and infrastructure as we continued to grow our business. Professional fees increased due to an increase in the use of third-party services and contractors.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Restructuring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225"/>
        <w:gridCol w:w="146"/>
        <w:gridCol w:w="205"/>
        <w:gridCol w:w="535"/>
        <w:gridCol w:w="152"/>
        <w:gridCol w:w="152"/>
        <w:gridCol w:w="205"/>
        <w:gridCol w:w="629"/>
        <w:gridCol w:w="241"/>
        <w:gridCol w:w="146"/>
        <w:gridCol w:w="196"/>
        <w:gridCol w:w="661"/>
        <w:gridCol w:w="166"/>
        <w:gridCol w:w="146"/>
        <w:gridCol w:w="196"/>
        <w:gridCol w:w="465"/>
        <w:gridCol w:w="241"/>
        <w:gridCol w:w="146"/>
        <w:gridCol w:w="201"/>
        <w:gridCol w:w="525"/>
        <w:gridCol w:w="149"/>
        <w:gridCol w:w="149"/>
        <w:gridCol w:w="201"/>
        <w:gridCol w:w="617"/>
        <w:gridCol w:w="241"/>
        <w:gridCol w:w="146"/>
        <w:gridCol w:w="196"/>
        <w:gridCol w:w="661"/>
        <w:gridCol w:w="166"/>
        <w:gridCol w:w="146"/>
        <w:gridCol w:w="196"/>
        <w:gridCol w:w="465"/>
        <w:gridCol w:w="293"/>
      </w:tblGrid>
      <w:tr>
        <w:trPr/>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2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3" w:type="dxa"/>
            <w:tcBorders/>
            <w:shd w:fill="FFFFFF" w:val="clear"/>
            <w:vAlign w:val="center"/>
          </w:tcPr>
          <w:p>
            <w:pPr>
              <w:pStyle w:val="TableContents"/>
              <w:bidi w:val="0"/>
              <w:spacing w:before="0" w:after="283"/>
              <w:jc w:val="center"/>
              <w:rPr/>
            </w:pPr>
            <w:r>
              <w:rPr/>
              <w:t> </w:t>
            </w:r>
          </w:p>
        </w:tc>
      </w:tr>
      <w:tr>
        <w:trPr/>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Restructuring</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3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1,077</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63,880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(62,803</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2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1,859</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7"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92,450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(90,591</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w:t>
            </w:r>
          </w:p>
        </w:tc>
        <w:tc>
          <w:tcPr>
            <w:tcW w:w="29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22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52"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Restructuring charges in the three months ended June 30, 2024 consists of only variable facilities-related costs on unused space. Restructuring charges were $63.9 million in the three months ended June 30, 2023 due to the implementation of the Restructuring Plan in the first quarter of 2023 and its continued execution during the second quarter. Restructuring costs consisted primarily of facilities related costs for the terminations and abandonments of leases globally.</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Restructuring charges in the six months ended June 30, 2024 consists of only variable facilities-related costs on unused space. </w:t>
      </w:r>
    </w:p>
    <w:p>
      <w:pPr>
        <w:pStyle w:val="TextBody"/>
        <w:bidi w:val="0"/>
        <w:jc w:val="left"/>
        <w:rPr>
          <w:rFonts w:ascii="Times New Roman" w:hAnsi="Times New Roman"/>
          <w:color w:val="000000"/>
          <w:sz w:val="20"/>
        </w:rPr>
      </w:pPr>
      <w:r>
        <w:rPr>
          <w:rFonts w:ascii="Times New Roman" w:hAnsi="Times New Roman"/>
          <w:color w:val="000000"/>
          <w:sz w:val="20"/>
        </w:rPr>
        <w:t xml:space="preserve">Restructuring charges in the six months ended June 30, 2023 were $92.5 million due to the implementation of the Restructuring Plan in the first quarter of 2023 and its continued execution during the second quarter. Restructuring costs primarily consisted of $26.9 million of severance, employee related benefits and other costs, and $65.6 million related to facilities for the termination and abandonment of leases globally. </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Interest income </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149"/>
        <w:gridCol w:w="146"/>
        <w:gridCol w:w="202"/>
        <w:gridCol w:w="622"/>
        <w:gridCol w:w="249"/>
        <w:gridCol w:w="151"/>
        <w:gridCol w:w="202"/>
        <w:gridCol w:w="622"/>
        <w:gridCol w:w="241"/>
        <w:gridCol w:w="146"/>
        <w:gridCol w:w="196"/>
        <w:gridCol w:w="511"/>
        <w:gridCol w:w="146"/>
        <w:gridCol w:w="146"/>
        <w:gridCol w:w="223"/>
        <w:gridCol w:w="438"/>
        <w:gridCol w:w="241"/>
        <w:gridCol w:w="146"/>
        <w:gridCol w:w="197"/>
        <w:gridCol w:w="607"/>
        <w:gridCol w:w="243"/>
        <w:gridCol w:w="147"/>
        <w:gridCol w:w="197"/>
        <w:gridCol w:w="607"/>
        <w:gridCol w:w="241"/>
        <w:gridCol w:w="146"/>
        <w:gridCol w:w="196"/>
        <w:gridCol w:w="601"/>
        <w:gridCol w:w="146"/>
        <w:gridCol w:w="146"/>
        <w:gridCol w:w="223"/>
        <w:gridCol w:w="438"/>
        <w:gridCol w:w="293"/>
      </w:tblGrid>
      <w:tr>
        <w:trPr/>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1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3" w:type="dxa"/>
            <w:tcBorders/>
            <w:shd w:fill="FFFFFF" w:val="clear"/>
            <w:vAlign w:val="center"/>
          </w:tcPr>
          <w:p>
            <w:pPr>
              <w:pStyle w:val="TableContents"/>
              <w:bidi w:val="0"/>
              <w:spacing w:before="0" w:after="283"/>
              <w:jc w:val="center"/>
              <w:rPr/>
            </w:pPr>
            <w:r>
              <w:rPr/>
              <w:t> </w:t>
            </w:r>
          </w:p>
        </w:tc>
      </w:tr>
      <w:tr>
        <w:trPr/>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20,370</w:t>
            </w:r>
          </w:p>
        </w:tc>
        <w:tc>
          <w:tcPr>
            <w:tcW w:w="249"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7"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39,097</w:t>
            </w:r>
          </w:p>
        </w:tc>
        <w:tc>
          <w:tcPr>
            <w:tcW w:w="243"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7"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24,013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29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4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7"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and 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invested cash and cash equivalents balances and investments. The increase during the three and six months ended June 30, 2024 is due to an increase in yields on our investment balances. </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expense</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524"/>
        <w:gridCol w:w="146"/>
        <w:gridCol w:w="244"/>
        <w:gridCol w:w="544"/>
        <w:gridCol w:w="207"/>
        <w:gridCol w:w="182"/>
        <w:gridCol w:w="244"/>
        <w:gridCol w:w="544"/>
        <w:gridCol w:w="166"/>
        <w:gridCol w:w="146"/>
        <w:gridCol w:w="268"/>
        <w:gridCol w:w="393"/>
        <w:gridCol w:w="146"/>
        <w:gridCol w:w="146"/>
        <w:gridCol w:w="240"/>
        <w:gridCol w:w="421"/>
        <w:gridCol w:w="275"/>
        <w:gridCol w:w="146"/>
        <w:gridCol w:w="209"/>
        <w:gridCol w:w="610"/>
        <w:gridCol w:w="177"/>
        <w:gridCol w:w="155"/>
        <w:gridCol w:w="209"/>
        <w:gridCol w:w="610"/>
        <w:gridCol w:w="166"/>
        <w:gridCol w:w="146"/>
        <w:gridCol w:w="268"/>
        <w:gridCol w:w="393"/>
        <w:gridCol w:w="146"/>
        <w:gridCol w:w="146"/>
        <w:gridCol w:w="240"/>
        <w:gridCol w:w="421"/>
        <w:gridCol w:w="327"/>
      </w:tblGrid>
      <w:tr>
        <w:trPr/>
        <w:tc>
          <w:tcPr>
            <w:tcW w:w="1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27" w:type="dxa"/>
            <w:tcBorders/>
            <w:shd w:fill="FFFFFF" w:val="clear"/>
            <w:vAlign w:val="center"/>
          </w:tcPr>
          <w:p>
            <w:pPr>
              <w:pStyle w:val="TableContents"/>
              <w:bidi w:val="0"/>
              <w:spacing w:before="0" w:after="283"/>
              <w:jc w:val="center"/>
              <w:rPr/>
            </w:pPr>
            <w:r>
              <w:rPr/>
              <w:t> </w:t>
            </w:r>
          </w:p>
        </w:tc>
      </w:tr>
      <w:tr>
        <w:trPr/>
        <w:tc>
          <w:tcPr>
            <w:tcW w:w="1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4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w:t>
            </w:r>
          </w:p>
        </w:tc>
        <w:tc>
          <w:tcPr>
            <w:tcW w:w="20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2"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44"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7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(1,836</w:t>
            </w:r>
          </w:p>
        </w:tc>
        <w:tc>
          <w:tcPr>
            <w:tcW w:w="17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5"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9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27"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2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FFFFFF" w:val="clear"/>
            <w:vAlign w:val="center"/>
          </w:tcPr>
          <w:p>
            <w:pPr>
              <w:pStyle w:val="TableContents"/>
              <w:bidi w:val="0"/>
              <w:spacing w:before="0" w:after="283"/>
              <w:jc w:val="left"/>
              <w:rPr/>
            </w:pPr>
            <w:r>
              <w:rPr/>
              <w:t> </w:t>
            </w:r>
          </w:p>
        </w:tc>
        <w:tc>
          <w:tcPr>
            <w:tcW w:w="788"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07"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right"/>
              <w:rPr/>
            </w:pPr>
            <w:r>
              <w:rPr/>
              <w:t> </w:t>
            </w:r>
          </w:p>
        </w:tc>
        <w:tc>
          <w:tcPr>
            <w:tcW w:w="788"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819" w:type="dxa"/>
            <w:gridSpan w:val="2"/>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right"/>
              <w:rPr/>
            </w:pPr>
            <w:r>
              <w:rPr/>
              <w:t> </w:t>
            </w:r>
          </w:p>
        </w:tc>
        <w:tc>
          <w:tcPr>
            <w:tcW w:w="327"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and 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primarily consists of amortization of the debt discount and issuance costs and contractual interest expense related to our 2025 Notes. Interest expense remained relatively consistent.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Other income (expense)</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1480"/>
        <w:gridCol w:w="146"/>
        <w:gridCol w:w="241"/>
        <w:gridCol w:w="631"/>
        <w:gridCol w:w="180"/>
        <w:gridCol w:w="180"/>
        <w:gridCol w:w="241"/>
        <w:gridCol w:w="464"/>
        <w:gridCol w:w="146"/>
        <w:gridCol w:w="146"/>
        <w:gridCol w:w="196"/>
        <w:gridCol w:w="511"/>
        <w:gridCol w:w="146"/>
        <w:gridCol w:w="146"/>
        <w:gridCol w:w="184"/>
        <w:gridCol w:w="477"/>
        <w:gridCol w:w="241"/>
        <w:gridCol w:w="146"/>
        <w:gridCol w:w="210"/>
        <w:gridCol w:w="645"/>
        <w:gridCol w:w="258"/>
        <w:gridCol w:w="156"/>
        <w:gridCol w:w="210"/>
        <w:gridCol w:w="468"/>
        <w:gridCol w:w="166"/>
        <w:gridCol w:w="146"/>
        <w:gridCol w:w="196"/>
        <w:gridCol w:w="601"/>
        <w:gridCol w:w="146"/>
        <w:gridCol w:w="146"/>
        <w:gridCol w:w="157"/>
        <w:gridCol w:w="504"/>
        <w:gridCol w:w="294"/>
      </w:tblGrid>
      <w:tr>
        <w:trPr/>
        <w:tc>
          <w:tcPr>
            <w:tcW w:w="1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4" w:type="dxa"/>
            <w:tcBorders/>
            <w:shd w:fill="FFFFFF" w:val="clear"/>
            <w:vAlign w:val="center"/>
          </w:tcPr>
          <w:p>
            <w:pPr>
              <w:pStyle w:val="TableContents"/>
              <w:bidi w:val="0"/>
              <w:spacing w:before="0" w:after="283"/>
              <w:jc w:val="center"/>
              <w:rPr/>
            </w:pPr>
            <w:r>
              <w:rPr/>
              <w:t> </w:t>
            </w:r>
          </w:p>
        </w:tc>
      </w:tr>
      <w:tr>
        <w:trPr/>
        <w:tc>
          <w:tcPr>
            <w:tcW w:w="1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0"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income (expense)</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1,784</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6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45"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14,945</w:t>
            </w:r>
          </w:p>
        </w:tc>
        <w:tc>
          <w:tcPr>
            <w:tcW w:w="25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68"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3314</w:t>
            </w:r>
          </w:p>
        </w:tc>
        <w:tc>
          <w:tcPr>
            <w:tcW w:w="294"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48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Percentage of total revenue</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80"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05" w:type="dxa"/>
            <w:gridSpan w:val="2"/>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58"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56" w:type="dxa"/>
            <w:tcBorders/>
            <w:shd w:fill="CFF0FC" w:val="clear"/>
            <w:vAlign w:val="center"/>
          </w:tcPr>
          <w:p>
            <w:pPr>
              <w:pStyle w:val="TableContents"/>
              <w:bidi w:val="0"/>
              <w:spacing w:before="0" w:after="283"/>
              <w:jc w:val="right"/>
              <w:rPr/>
            </w:pPr>
            <w:r>
              <w:rPr/>
              <w:t> </w:t>
            </w:r>
          </w:p>
        </w:tc>
        <w:tc>
          <w:tcPr>
            <w:tcW w:w="678" w:type="dxa"/>
            <w:gridSpan w:val="2"/>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1"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change in other income (expense) during six months ended June 30, 2024 is primarily due to the following: </w:t>
        <w:br/>
        <w:t> </w:t>
      </w:r>
    </w:p>
    <w:tbl>
      <w:tblPr>
        <w:tblW w:w="5710" w:type="dxa"/>
        <w:jc w:val="left"/>
        <w:tblInd w:w="0" w:type="dxa"/>
        <w:tblLayout w:type="fixed"/>
        <w:tblCellMar>
          <w:top w:w="28" w:type="dxa"/>
          <w:left w:w="28" w:type="dxa"/>
          <w:bottom w:w="28" w:type="dxa"/>
          <w:right w:w="28" w:type="dxa"/>
        </w:tblCellMar>
      </w:tblPr>
      <w:tblGrid>
        <w:gridCol w:w="3016"/>
        <w:gridCol w:w="146"/>
        <w:gridCol w:w="299"/>
        <w:gridCol w:w="811"/>
        <w:gridCol w:w="166"/>
        <w:gridCol w:w="146"/>
        <w:gridCol w:w="217"/>
        <w:gridCol w:w="698"/>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and losses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strategic investments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(479</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strategic investments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income (expense) primarily consists of the impact of foreign currency transaction gains and losses associated with monetary assets and liabilities. The change in foreign currency transactions is primarily attributable to the increase in the value of the Euro and British Pound Sterling relative to the U.S. Dollar. The increase in gain on strategic investments is due to an impairment of $0.5 million and gains of $2.1 million from observable price changes in the value of certain strategic investments in the three months ended June 30, 2024 that did not occur in 2023.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income (expense) primarily consists of the impact of foreign currency transaction gains and losses associated with monetary assets and liabilities. The change in foreign currency transactions is primarily attributable to the increase in the value of the Euro and British Pound Sterling relative to the U.S. Dollar. The increase in the impairment of and gain on strategic investments is due to an impairment of $4.1 million and gains of $18.5 million from observable price changes in the value of certain strategic investments in the six months ended June 30, 2024 that did not occur in 2023.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971"/>
        <w:gridCol w:w="146"/>
        <w:gridCol w:w="199"/>
        <w:gridCol w:w="673"/>
        <w:gridCol w:w="245"/>
        <w:gridCol w:w="148"/>
        <w:gridCol w:w="199"/>
        <w:gridCol w:w="582"/>
        <w:gridCol w:w="241"/>
        <w:gridCol w:w="146"/>
        <w:gridCol w:w="196"/>
        <w:gridCol w:w="571"/>
        <w:gridCol w:w="166"/>
        <w:gridCol w:w="146"/>
        <w:gridCol w:w="223"/>
        <w:gridCol w:w="438"/>
        <w:gridCol w:w="241"/>
        <w:gridCol w:w="146"/>
        <w:gridCol w:w="196"/>
        <w:gridCol w:w="661"/>
        <w:gridCol w:w="250"/>
        <w:gridCol w:w="146"/>
        <w:gridCol w:w="196"/>
        <w:gridCol w:w="661"/>
        <w:gridCol w:w="241"/>
        <w:gridCol w:w="146"/>
        <w:gridCol w:w="196"/>
        <w:gridCol w:w="571"/>
        <w:gridCol w:w="166"/>
        <w:gridCol w:w="146"/>
        <w:gridCol w:w="223"/>
        <w:gridCol w:w="438"/>
        <w:gridCol w:w="291"/>
      </w:tblGrid>
      <w:tr>
        <w:trPr/>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1" w:type="dxa"/>
            <w:tcBorders/>
            <w:shd w:fill="FFFFFF" w:val="clear"/>
            <w:vAlign w:val="center"/>
          </w:tcPr>
          <w:p>
            <w:pPr>
              <w:pStyle w:val="TableContents"/>
              <w:bidi w:val="0"/>
              <w:spacing w:before="0" w:after="283"/>
              <w:jc w:val="center"/>
              <w:rPr/>
            </w:pPr>
            <w:r>
              <w:rPr/>
              <w:t> </w:t>
            </w:r>
          </w:p>
        </w:tc>
      </w:tr>
      <w:tr>
        <w:trPr/>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73"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(11,753</w:t>
            </w:r>
          </w:p>
        </w:tc>
        <w:tc>
          <w:tcPr>
            <w:tcW w:w="245"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(8,569</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(13,538</w:t>
            </w:r>
          </w:p>
        </w:tc>
        <w:tc>
          <w:tcPr>
            <w:tcW w:w="250"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(10,987</w:t>
            </w:r>
          </w:p>
        </w:tc>
        <w:tc>
          <w:tcPr>
            <w:tcW w:w="24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(2,551</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9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97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Effective tax rate</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w:t>
            </w:r>
          </w:p>
        </w:tc>
        <w:tc>
          <w:tcPr>
            <w:tcW w:w="245"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(269</w:t>
            </w:r>
          </w:p>
        </w:tc>
        <w:tc>
          <w:tcPr>
            <w:tcW w:w="250"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24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Three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consists of current and deferred taxes for U.S. and foreign income taxes. The increase in income tax expense was primarily due to income generated in higher tax jurisdictions. </w:t>
      </w:r>
    </w:p>
    <w:p>
      <w:pPr>
        <w:pStyle w:val="TextBody"/>
        <w:bidi w:val="0"/>
        <w:spacing w:before="200" w:after="283"/>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Six month change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Income tax expense consists of current and deferred taxes for U.S. and foreign income taxes. The increase in income tax expense was primarily due to income generated in higher tax jurisdictions offset by an increase in shared-based compensation windfall benefits.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2021, the Organization for Economic Cooperation and Development (“OECD”) released Pillar Two Global Anti-Base Erosion Model Rules (“Pillar Two”), designed to ensure large corporations are taxed at a minimum rate of 15% in all countries of operation. Although the U.S. has not yet enacted legislation implementing Pillar Two, other countries where the Company does business have enacted legislation implementing Pillar Two which are effective on January 1, 2024. The implementation of Pillar Two in each jurisdiction in which we operate does not have a material impact on our effective tax rate. We will continue to evaluate the impact as jurisdictions implement legislation.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principal sources of liquidity to date have been cash and cash equivalents, net accounts receivable, our common stock offerings, and our convertible notes offerings.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shows cash and cash equivalents, working capital, net cash and cash equivalents provided by operating activities, net cash and cash equivalents used in investing activities, and net cash and cash equivalents provided by financing activities for the six months ended June 30, 2024 and 2023. </w:t>
        <w:br/>
        <w:t> </w:t>
      </w:r>
    </w:p>
    <w:tbl>
      <w:tblPr>
        <w:tblW w:w="8724" w:type="dxa"/>
        <w:jc w:val="left"/>
        <w:tblInd w:w="0" w:type="dxa"/>
        <w:tblLayout w:type="fixed"/>
        <w:tblCellMar>
          <w:top w:w="28" w:type="dxa"/>
          <w:left w:w="28" w:type="dxa"/>
          <w:bottom w:w="28" w:type="dxa"/>
          <w:right w:w="28" w:type="dxa"/>
        </w:tblCellMar>
      </w:tblPr>
      <w:tblGrid>
        <w:gridCol w:w="5941"/>
        <w:gridCol w:w="146"/>
        <w:gridCol w:w="211"/>
        <w:gridCol w:w="781"/>
        <w:gridCol w:w="146"/>
        <w:gridCol w:w="146"/>
        <w:gridCol w:w="211"/>
        <w:gridCol w:w="931"/>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457,218</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1,071,549</w:t>
            </w:r>
          </w:p>
        </w:tc>
        <w:tc>
          <w:tcPr>
            <w:tcW w:w="211" w:type="dxa"/>
            <w:tcBorders/>
            <w:shd w:fill="FFFFFF" w:val="clear"/>
            <w:vAlign w:val="center"/>
          </w:tcPr>
          <w:p>
            <w:pPr>
              <w:pStyle w:val="TableContents"/>
              <w:bidi w:val="0"/>
              <w:spacing w:before="0" w:after="283"/>
              <w:jc w:val="left"/>
              <w:rPr/>
            </w:pPr>
            <w:r>
              <w:rPr/>
              <w:t> </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157,613</w:t>
            </w:r>
          </w:p>
        </w:tc>
        <w:tc>
          <w:tcPr>
            <w:tcW w:w="211" w:type="dxa"/>
            <w:tcBorders/>
            <w:shd w:fill="CFF0FC"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20,448</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cash and cash equivalents at June 30, 2024 were held for working capital purposes. At June 30, 2024, $225.0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consists primarily of net loss adjusted for certain non-cash items, including stock-based compensation, depreciation and amortization and other non-cash charges,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provided by operating activities during the six months ended June 30, 2024 primarily reflected our net loss of $8.5 million, $43.4 million of depreciation and amortization, $240.1 million in stock-based compensation, an impairment of strategic investments of $4.1 million, and $1.0 million of amortization of debt discount and issuance costs, offset by non-cash expenses that included $23.1 million accretion of bond discounts, a gain on strategic investments of $18.5 million, and $0.9 million of unrealized currency translation. Working capital sources of cash and cash equivalents primarily included a $44.3 million increase in deferred revenue primarily resulting from the growth in the number of customers invoiced during the period, a $18.4 million decrease in accounts receivable related to increased collection, a $15.0 million decrease in accrued expenses and other liabilities, and a $20.4 million increase in right-of-use asset. These sources of cash and cash equivalents were offset by a $27.2 million increase in prepaid expenses and other assets, a $23.2 million decrease in operating lease liabilities, a $40.1 million increase in deferred commissions, and a $0.2 million increase in accounts payable related to timing of bill payments.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six months ended June 30, 2023 primarily reflected our net loss of $157.2 million, $18.8 million accretion of bond discounts, offset by non-cash expenses that included $33.0 million of depreciation and amortization, $211.0 million in stock-based compensation, restructuring charges of $64.9 million, and $1.0 million of amortization of debt discount and issuance costs. Working capital sources of cash and cash equivalents primarily included a $41.4 million increase in deferred revenue primarily resulting from the growth in the number of customers invoiced during the period, a $21.6 million decrease in accounts receivable related to increased collection, a $21.0 million increase in right-of-use asset, and $46.5 million increase in accrued expenses and other liabilities. These sources of cash and cash equivalents were offset by a $47.4 million increase in prepaid expenses and other assets, a $18.0 million decrease in operating lease liabilities, a $37.0 million increase in deferred commissions, and a $17.8 million increase in accounts payable related to timing of bill payments.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Used in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investing activities have consisted primarily of purchases and maturities of investments, property and equipment purchases, purchases of strategic investments, and capitalization of software development costs. Capitalized software development costs are related to new products or improvements to our existing software platform that expands the functionality for our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and cash equivalents provided by investing activities during the six months ended June 30, 2024 consisted primarily of $849.6 million received related to the maturity of investments and $1.9 million of proceeds from a net working capital settlement, offset by cash used for $651.7 million purchases of investments, $14.1 million of purchased property and equipment, and $43.1 million of capitalized software development costs.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and cash equivalents used in investing activities during the six months ended June 30, 2023 consisted primarily of $731.4 million purchases of investments and $14.2 million of purchased property and equipment, $6.0 million of purchases of strategic investments, and $31.6 million of capitalized software development costs. These uses of cash were offset by $729.8 million received related to the maturity of investments.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and Cash Equivalents Provided by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financing activities have consisted primarily of the issuance of common stock under our stock plans, and payments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2024 cash provided in financing activities consisted of $45.2 million of proceeds related to issuance of common stock under stock plans, offset by $13.5 million used for payment of employee taxes related to the net share settlement of stock-based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six months ended June 30, 2023 cash used in financing activities consisted $4.1 million used for payment of employee taxes related to the net share settlement of stock-based awards, offset by $24.6 million of proceeds related to issuance of common stock under stock plans.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six months ended June 30, 2024 as compared to the critical accounting policies and estimates disclosed in our Annual Report on Form 10-K for the year ended December 31,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the consolidated financial statements appearing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we are committed to contribute additional capital of $4.0 million to the Black Economic Development Fund. There were no other material off-balance sheet arrangements.</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 In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See Note 6 in the notes to the consolidated financial statements appearing elsewhere in this Quarterly Report on Form 10-Q.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Risk and Market Interest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we issued $460 million aggregate principal amount of convertible senior notes due June 1, 2025, of which $459.1 million remains outstanding as of June 30, 2024.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There continues to be uncertainty in the changing market and economic conditions, including the possibility or additional measures that could be taken by the Federal Reserve and other government agencies, related to concerns over inflation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sensitivity analysis of hypothetical 10% changes of our stock price as of June 30, 2024 and the estimated impact on the fair value of the 2025 Notes. The selected scenarios are not predictions of future events, but rather are intended to illustrate the effect such an event may have on the fair value of the 2025 Notes.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Notes</w:t>
      </w:r>
    </w:p>
    <w:tbl>
      <w:tblPr>
        <w:tblW w:w="10205" w:type="dxa"/>
        <w:jc w:val="left"/>
        <w:tblInd w:w="0" w:type="dxa"/>
        <w:tblLayout w:type="fixed"/>
        <w:tblCellMar>
          <w:top w:w="28" w:type="dxa"/>
          <w:left w:w="28" w:type="dxa"/>
          <w:bottom w:w="28" w:type="dxa"/>
          <w:right w:w="28" w:type="dxa"/>
        </w:tblCellMar>
      </w:tblPr>
      <w:tblGrid>
        <w:gridCol w:w="2547"/>
        <w:gridCol w:w="343"/>
        <w:gridCol w:w="146"/>
        <w:gridCol w:w="211"/>
        <w:gridCol w:w="931"/>
        <w:gridCol w:w="146"/>
        <w:gridCol w:w="146"/>
        <w:gridCol w:w="303"/>
        <w:gridCol w:w="1207"/>
        <w:gridCol w:w="166"/>
        <w:gridCol w:w="146"/>
        <w:gridCol w:w="991"/>
        <w:gridCol w:w="2558"/>
        <w:gridCol w:w="364"/>
      </w:tblGrid>
      <w:tr>
        <w:trPr/>
        <w:tc>
          <w:tcPr>
            <w:tcW w:w="25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Hypothetical change in HubSpot stock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change in</w:t>
              <w:b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Hypothetical percentage increase (decrease) in fair value</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 increase</w:t>
            </w:r>
          </w:p>
        </w:tc>
        <w:tc>
          <w:tcPr>
            <w:tcW w:w="34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1,052,544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c>
          <w:tcPr>
            <w:tcW w:w="2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 change</w:t>
            </w:r>
          </w:p>
        </w:tc>
        <w:tc>
          <w:tcPr>
            <w:tcW w:w="3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jc w:val="left"/>
              <w:rPr/>
            </w:pPr>
            <w:r>
              <w:rPr/>
              <w:t> </w:t>
            </w:r>
          </w:p>
        </w:tc>
        <w:tc>
          <w:tcPr>
            <w:tcW w:w="2558" w:type="dxa"/>
            <w:tcBorders/>
            <w:shd w:fill="FFFFFF" w:val="clear"/>
            <w:vAlign w:val="center"/>
          </w:tcPr>
          <w:p>
            <w:pPr>
              <w:pStyle w:val="TableContents"/>
              <w:bidi w:val="0"/>
              <w:spacing w:before="0" w:after="283"/>
              <w:jc w:val="right"/>
              <w:rPr>
                <w:color w:val="000000"/>
              </w:rPr>
            </w:pPr>
            <w:r>
              <w:rPr>
                <w:color w:val="000000"/>
              </w:rPr>
              <w:t>—</w:t>
            </w:r>
          </w:p>
        </w:tc>
        <w:tc>
          <w:tcPr>
            <w:tcW w:w="364" w:type="dxa"/>
            <w:tcBorders/>
            <w:shd w:fill="FFFFFF" w:val="clear"/>
            <w:vAlign w:val="center"/>
          </w:tcPr>
          <w:p>
            <w:pPr>
              <w:pStyle w:val="TableContents"/>
              <w:bidi w:val="0"/>
              <w:spacing w:before="0" w:after="283"/>
              <w:jc w:val="left"/>
              <w:rPr/>
            </w:pPr>
            <w:r>
              <w:rPr/>
              <w:t> </w:t>
            </w:r>
          </w:p>
        </w:tc>
      </w:tr>
      <w:tr>
        <w:trPr/>
        <w:tc>
          <w:tcPr>
            <w:tcW w:w="25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 decrease</w:t>
            </w:r>
          </w:p>
        </w:tc>
        <w:tc>
          <w:tcPr>
            <w:tcW w:w="34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c>
          <w:tcPr>
            <w:tcW w:w="2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Evaluation of Disclosure Controls and Procedures</w:t>
      </w:r>
      <w:r>
        <w:rPr>
          <w:rFonts w:ascii="Times New Roman" w:hAnsi="Times New Roman"/>
          <w:color w:val="000000"/>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three months ended June 30, 2024 covered by this Quarterly Report on Form 10-Q. Based on such evaluation, our principal executive officer and principal financial officer have concluded that as of such date, our disclosure controls and procedures were effective.</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Changes in Internal Control Over Financial Reporting</w:t>
      </w:r>
      <w:r>
        <w:rPr>
          <w:rFonts w:ascii="Times New Roman" w:hAnsi="Times New Roman"/>
          <w:color w:val="000000"/>
          <w:sz w:val="20"/>
        </w:rPr>
        <w:t xml:space="preserve">.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Inherent Limitations of Internal Controls</w:t>
      </w:r>
      <w:r>
        <w:rPr>
          <w:rFonts w:ascii="Times New Roman" w:hAnsi="Times New Roman"/>
          <w:color w:val="000000"/>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13" w:name="part_ii"/>
      <w:bookmarkEnd w:id="1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left"/>
        <w:rPr/>
      </w:pPr>
      <w:r>
        <w:rPr/>
        <w:t> </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inbound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offering marketing, sales, customer service, operations, commerce, and content management software and other related applications, as well as internally developed software, which may harm our ability to add new customers, retain existing customers and grow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marketing, sales, customer service, operations, commerce,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artificial intelligence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service software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After the implementation of our Restructuring Plan in January 2023, our headcount and operations continued to grow. For example, we had 8,002 full-time employees as of June 30, 2024 and 7,663 as of December 31, 2023.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marketing, sales, customer service, operations, commerce and content management capabilities could harm our ability to increase our customer base and achieve broader market acceptance of our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pPr>
      <w:r>
        <w:rPr/>
        <w:t> </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inbound thought leadership position, our business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maintaining our thought leadership position in inbound marketing, sales, services, operations, commerce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development of the HubSpot brand is critical to achieving widespread awareness of our existing and future inbound experience solutions, and, as a result, is important to attracting new customers and maintaining existing customers.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ability to introduce new products and features, including new products and features that utilize artificial intelligence,</w:t>
      </w:r>
      <w:r>
        <w:rPr>
          <w:rFonts w:ascii="Times New Roman" w:hAnsi="Times New Roman"/>
          <w:color w:val="000000"/>
          <w:sz w:val="20"/>
        </w:rPr>
        <w:t xml:space="preserve"> </w:t>
      </w:r>
      <w:r>
        <w:rPr>
          <w:rFonts w:ascii="Times New Roman" w:hAnsi="Times New Roman"/>
          <w:b/>
          <w:i/>
          <w:color w:val="000000"/>
          <w:sz w:val="20"/>
        </w:rPr>
        <w:t>is dependent on adequate research and development resources. If we do not adequately fund our research and development efforts, we may not be able to compete effectively and our business and operating results may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development of next-generation solutions that utilize new and advanced features, including AI and machine learning, involves making predictions regarding the willingness of the market to adopt such technologies over legacy solutions. The Company may be required to commit significant resources to developing new products, software and services before knowing whether such investment will result in products or services that the market will accept.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Uncertainty around new and emerging AI applications such as generative AI content creation may require additional investment in the development of proprietary datasets,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which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in the past acquired, and we may in the future acquire or invest in, businesses, products or technologies that we believe could complement or expand our platform, enhance our technical capabilities or otherwise offer growth opportunities. For example, in December 2023, we acquired Clearbit, a B2B data provider.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acquisition process, including data handling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(such as the conflict between Russia and Ukraine and the evolving events in Israel and Gaza), political instability or terrorist activities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Employee Matters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has been working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companies with which we compete for experienced personnel have greater resources than we do. The change by companies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pStyle w:val="TextBody"/>
        <w:bidi w:val="0"/>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exposed to fluctuations in currency exchange rates that could adversely affect our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We recently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tariff and trade issues. Moreover, a potential U.S. federal government shutdown resulting from budgetary decisions, a prolonged continuing resolution, breach of the federal debt ceiling, or a potential U.S. sovereign default and the uncertainty surrounding the 2024 U.S. Presidential Election may increase uncertainty and volatility in the global economy and financial markets.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current economic downturn may lead to decreased demand for our products and services and otherwise harm our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In recent months, we have observed increased economic uncertainty in the United States and abroad. Impacts of such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Technical Operations Infrastructure and Dependence on Third Parties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significant portion of our operating cost is from our third-party data hosting and transmission services, including Amazon Web Services (“AWS”), which hosts the substantial majority of our products and platform. If the costs for such services increase due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Select functionality of our customer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extensive access to our databases, which store our customer data, and to our APIs to facilitate our rapid pace of product development and to support our customers. If such access, unauthorized access or our own operations, cause the loss,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business email compromises, computer malware, viruses, social engineering (including phishing), and other compromises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incidents, or compromises by third parties seeking unauthorized access to our or our customers' data, systems, or infrastructure, or to disrupt our operations or ability to provide our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may suffer if it is alleged or determined that our technology infringes the intellectual property rights of others.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copyrights and patents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The CCPA may require us to modify our data collection or processing practices and policies and to potentially incur substantial costs and expenses in an effort to comply. In addition to increasing our potential exposure to regulatory enforcement, the CCPA also provides for violations and a limited private right of action, which may increase our exposure to civil litigation.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Numerous other states have passed comprehensive privacy and data security laws, which impose obligations on covered businesses similar – but not identical – to those under the CCPA. Some of these laws entered into force in 2023, and others will enter into force in 2024 and beyond. A number of other states have proposed similar or sector specific privacy legislation, and the U.S. Congress is considering legislation that may preempt some or all of such U.S. state privacy laws, providing a more robust private right of action. Through executive and legislative action, the federal government has also taken steps to restrict data transactions involving persons affiliated with China, Russia, and other countries of concern</w:t>
      </w:r>
      <w:r>
        <w:rPr>
          <w:rFonts w:ascii="Calibri;sans-serif" w:hAnsi="Calibri;sans-serif"/>
          <w:color w:val="222222"/>
          <w:sz w:val="22"/>
        </w:rPr>
        <w:t>.</w:t>
      </w:r>
      <w:r>
        <w:rPr>
          <w:rFonts w:ascii="Times New Roman" w:hAnsi="Times New Roman"/>
          <w:color w:val="000000"/>
          <w:sz w:val="20"/>
        </w:rPr>
        <w:t xml:space="preserve"> The evolving complexity of privacy and data security legislation in the U.S. may complicate our compliance efforts and further increase our risk of regulatory enforcement, penalties and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services, we collect, process and share business contact information or other personal data individuals make available in their professional capacity. We may be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additional requirements under privacy and data protection laws that could lead to additional compliance costs, regulatory scrutiny,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(the “UK GDPR” together with the EU GDPR, the “GDPR”), impose heightened obligations and risk upon our business and may substantially increase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The IDTAs must be entered into for new contracts, but allow for a transition period until March 21, 2024 for existing contracts. Our customer agreements include the updated SCCs and UK IDTAs. We are in the process of transitioning to the IDTAs for existing contracts, and doing so will require significant effort and cost.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Separately, as the regulatory framework for machine learning technology and AI evolves, it is possible that new laws and regulations will be adopted,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For example, the EU’s Artificial Intelligence Act (“AI Act”) - the world’s first comprehensive AI law - is anticipated to enter into force in Summer 2024 and, with some exceptions, become effective 24 months thereafter. This legislation imposes significant obligations on providers and deployers of high-risk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 </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HubSpot payments, our end-to-end payment solution as well as our Stripe payment processing integration (together with HubSpot payments, the “Payments” offering),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the senders of commercial emails and text messages, website owners and other activities, and could impact the use of our customer platform and potentially subject us to regulatory enforcement or private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and could impair our attractiveness to customers, which would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Taxation</w:t>
      </w:r>
    </w:p>
    <w:p>
      <w:pPr>
        <w:pStyle w:val="TextBody"/>
        <w:bidi w:val="0"/>
        <w:jc w:val="left"/>
        <w:rPr>
          <w:rFonts w:ascii="Times New Roman" w:hAnsi="Times New Roman"/>
          <w:sz w:val="20"/>
        </w:rPr>
      </w:pPr>
      <w:r>
        <w:rPr>
          <w:rFonts w:ascii="Times New Roman" w:hAnsi="Times New Roman"/>
          <w:b/>
          <w:color w:val="000000"/>
          <w:sz w:val="20"/>
        </w:rPr>
        <w:br/>
        <w:br/>
      </w: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we had $861.4 million of U.S. federal and $740.0 million of state net operating loss carryforwards due to prior period losses, which have an indefinite carryforward and begin to expire in 2025 for state purposes. The state net operating loss carryforwards could expire unused and be unavailable to offset future income tax liabilities, which could adversely affect our profitability. In addition, under Section 382 and Section 383 of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achieve, maintain or increase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net losses of $8.5 million for the six months ended June 30, 2024 and net losses of $148.5 million for the six months ended June 30, 2023. As of June 30, 2024, we had an accumulated deficit of $812.9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operations, and content management operations, develop and enhance our customer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June 30, 2024, we have invested $8.5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marketing, sales, customer service, operations, and content management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marketing, sales, customer service, operations, and content management software, increasing our existing customers’ use of our platform and providing our customers with excellent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common stock.</w:t>
        <w:br/>
        <w:t> </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our indebtedness, combined with our other financial obligations and contractual commitments, could have other important consequences. For example, it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us more vulnerable to adverse changes in general U.S. and worldwide economic, industry and competitive conditions and adverse changes in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 us at a disadvantage compared to our competitors who have less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ability to borrow additional amounts to fund acquisitions, for working capital and for other general corporate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 of the Notes, if triggered, may adversely affect our financial condition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the conditional conversion feature of the 2025 Notes is triggered, the holders thereof will be entitled to convert the 2025 Notes at any time during specified periods at their option. Because the last reported sale price of the Company’s common stock for at least 20 trading days during the period of 30 consecutive trading days ending on the last trading day of the calendar quarter ended June 30, 2024 was equal to or greater than 130% of the applicable conversion price on each applicable trading day, the 2025 Notes are convertible at the option of the holders thereof during the calendar quarter ending September 30, 2024. As of August 2, 2024, the Company has not received any material conversion notices with respect to the 2025 Notes. Whether the Notes that remain outstanding will be convertible following the calendar quarter ended June 30, 2024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accounting method for convertible debt securities that may be settled in cash, such as the Notes, could have a material effect on our reported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counterparty risk with respect to the Capped Call Options.</w:t>
      </w:r>
    </w:p>
    <w:p>
      <w:pPr>
        <w:pStyle w:val="TextBody"/>
        <w:bidi w:val="0"/>
        <w:jc w:val="left"/>
        <w:rPr>
          <w:rFonts w:ascii="Times New Roman" w:hAnsi="Times New Roman"/>
          <w:color w:val="000000"/>
          <w:sz w:val="20"/>
        </w:rPr>
      </w:pPr>
      <w:r>
        <w:rPr>
          <w:rFonts w:ascii="Times New Roman" w:hAnsi="Times New Roman"/>
          <w:color w:val="000000"/>
          <w:sz w:val="20"/>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June 30, 2024. The market price of our common stock may fluctuate significantly in response to numerous factors, many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our Notes or any other equity or equity-linked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(such as the conflict between Russia and Ukraine and the evolving events in Israel and Gaza), and political stability.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 classified board of directors whose members serve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charter documents.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br/>
        <w:br/>
      </w:r>
      <w:r>
        <w:rPr>
          <w:rFonts w:ascii="Times New Roman" w:hAnsi="Times New Roman"/>
          <w:b/>
          <w:color w:val="000000"/>
          <w:sz w:val="20"/>
        </w:rPr>
        <w:t>General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(such as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operations and, as a result, our future operating results could be adversely affected. The adverse effects of any such catastrophic event would be exacerbated if experienced at the same time as another unexpected and adverse event, such as the COVID-19 pandemic.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occurrence of regional epidemics or a global pandemic, such as the COVID-19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such as the COVID-19 pandemic, harms our business and results of operations, many of the other risks described in this “Risk Factors” section, may be heightened.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Climate change may have a long-term impact on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new disclosure requirements from regulators.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3_defaults_on_senior_securities"/>
      <w:bookmarkEnd w:id="17"/>
      <w:r>
        <w:rPr>
          <w:rFonts w:ascii="Times New Roman" w:hAnsi="Times New Roman"/>
          <w:b/>
          <w:color w:val="000000"/>
          <w:sz w:val="20"/>
        </w:rPr>
        <w:t>Item 3. Defaults 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describes contracts, instructions or written plans for the sale or purchase of our securities adopted by our directors and certain officers in the three months ended June 30, 2024, each of which is intended to satisfy the affirmative defense conditions of Exchange Act Rule 10b5-1(c), referred to as Rule 10b5-1 trading plans.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9"/>
        <w:gridCol w:w="1546"/>
        <w:gridCol w:w="2905"/>
        <w:gridCol w:w="1547"/>
        <w:gridCol w:w="1598"/>
      </w:tblGrid>
      <w:tr>
        <w:trPr/>
        <w:tc>
          <w:tcPr>
            <w:tcW w:w="26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2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 Taken</w:t>
            </w:r>
          </w:p>
        </w:tc>
        <w:tc>
          <w:tcPr>
            <w:tcW w:w="2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Nature of Trading Arrangement</w:t>
            </w:r>
          </w:p>
        </w:tc>
        <w:tc>
          <w:tcPr>
            <w:tcW w:w="1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Duration of Trading Arrangement</w:t>
            </w:r>
          </w:p>
        </w:tc>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26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Halligan (Co-Founder and Executive Chairperson)</w:t>
            </w:r>
          </w:p>
        </w:tc>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(June 3, 2024)</w:t>
            </w:r>
          </w:p>
        </w:tc>
        <w:tc>
          <w:tcPr>
            <w:tcW w:w="29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54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 days</w:t>
            </w:r>
          </w:p>
        </w:tc>
        <w:tc>
          <w:tcPr>
            <w:tcW w:w="159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58,565 shares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or incorporated by reference into this Report.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26"/>
        <w:gridCol w:w="146"/>
        <w:gridCol w:w="9133"/>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sz w:val="4"/>
                <w:szCs w:val="4"/>
              </w:rPr>
            </w:pPr>
            <w:r>
              <w:rPr>
                <w:sz w:val="4"/>
                <w:szCs w:val="4"/>
              </w:rPr>
            </w:r>
          </w:p>
        </w:tc>
      </w:tr>
      <w:tr>
        <w:trPr/>
        <w:tc>
          <w:tcPr>
            <w:tcW w:w="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r>
      <w:tr>
        <w:trPr/>
        <w:tc>
          <w:tcPr>
            <w:tcW w:w="9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of the Registrant</w:t>
              </w:r>
            </w:hyperlink>
            <w:hyperlink r:id="rId4">
              <w:r>
                <w:rPr>
                  <w:rStyle w:val="InternetLink"/>
                  <w:rFonts w:ascii="Times New Roman" w:hAnsi="Times New Roman"/>
                  <w:color w:val="0000FF"/>
                  <w:sz w:val="20"/>
                </w:rPr>
                <w:t xml:space="preserve"> </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Fifth Amended and Restated Bylaws of the Registrant</w:t>
              </w:r>
            </w:hyperlink>
            <w:hyperlink r:id="rId6">
              <w:r>
                <w:rPr>
                  <w:rStyle w:val="InternetLink"/>
                  <w:rFonts w:ascii="Times New Roman" w:hAnsi="Times New Roman"/>
                  <w:color w:val="0000FF"/>
                  <w:sz w:val="20"/>
                </w:rPr>
                <w:t xml:space="preserve"> </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Common Stock certificate of the Registrant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hyperlink w:anchor="hubs-ex10_1.htm">
              <w:r>
                <w:rPr>
                  <w:rStyle w:val="InternetLink"/>
                  <w:rFonts w:ascii="Times New Roman" w:hAnsi="Times New Roman"/>
                  <w:color w:val="0000FF"/>
                  <w:sz w:val="20"/>
                  <w:u w:val="single"/>
                </w:rPr>
                <w:t>HubSpot, Inc. 2024 Stock Option and Incentive Plan, and forms of restricted stock and option agreements thereunder</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hyperlink w:anchor="hubs-ex10_2.htm">
              <w:r>
                <w:rPr>
                  <w:rStyle w:val="InternetLink"/>
                  <w:rFonts w:ascii="Times New Roman" w:hAnsi="Times New Roman"/>
                  <w:color w:val="0000FF"/>
                  <w:sz w:val="20"/>
                  <w:u w:val="single"/>
                </w:rPr>
                <w:t>Non-Employee Director Compensation Policy (as amended and currently in effect)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Principal Executive Officer pursuant to Rule 13a-14(a) or Rule 15d-14(a) of the Securities Exchange Act of 1934, as amended</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Principal Financial Officer pursuant to Rule 13a-14(a) or Rule 15d-14(a) of the Securities Exchange Act of 1934, as amended</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Principal Executive Officer and Principal Financial Officer pursuant to Section 906 of the Sarbanes-Oxley Act</w:t>
              </w:r>
            </w:hyperlink>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1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pPr>
            <w:r>
              <w:rPr/>
              <w:t> </w:t>
            </w:r>
          </w:p>
        </w:tc>
      </w:tr>
      <w:tr>
        <w:trPr/>
        <w:tc>
          <w:tcPr>
            <w:tcW w:w="9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13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 Incorporated by reference to Exhibit 3.1 to HubSpot, Inc.’s Annual Report on Form 10-K filed on February 24, 2016.</w:t>
      </w:r>
    </w:p>
    <w:p>
      <w:pPr>
        <w:pStyle w:val="TextBody"/>
        <w:bidi w:val="0"/>
        <w:jc w:val="left"/>
        <w:rPr>
          <w:rFonts w:ascii="Times New Roman" w:hAnsi="Times New Roman"/>
          <w:color w:val="000000"/>
          <w:sz w:val="20"/>
        </w:rPr>
      </w:pPr>
      <w:r>
        <w:rPr>
          <w:rFonts w:ascii="Times New Roman" w:hAnsi="Times New Roman"/>
          <w:color w:val="000000"/>
          <w:sz w:val="20"/>
        </w:rPr>
        <w:t>(2) Incorporated by reference to Exhibit 3.1 to HubSpot Inc.’s Current Report on Form 8-K filed on June 14, 2024.</w:t>
      </w:r>
    </w:p>
    <w:p>
      <w:pPr>
        <w:pStyle w:val="TextBody"/>
        <w:bidi w:val="0"/>
        <w:jc w:val="left"/>
        <w:rPr>
          <w:rFonts w:ascii="Times New Roman" w:hAnsi="Times New Roman"/>
          <w:color w:val="000000"/>
          <w:sz w:val="20"/>
        </w:rPr>
      </w:pPr>
      <w:r>
        <w:rPr>
          <w:rFonts w:ascii="Times New Roman" w:hAnsi="Times New Roman"/>
          <w:color w:val="000000"/>
          <w:sz w:val="20"/>
        </w:rPr>
        <w:t>(3) Incorporated by reference to Exhibit 3.1 to HubSpot Inc.’s Current Report on Form 8-K filed on May 1, 2024.</w:t>
      </w:r>
    </w:p>
    <w:p>
      <w:pPr>
        <w:pStyle w:val="TextBody"/>
        <w:bidi w:val="0"/>
        <w:jc w:val="left"/>
        <w:rPr>
          <w:rFonts w:ascii="Times New Roman" w:hAnsi="Times New Roman"/>
          <w:color w:val="000000"/>
          <w:sz w:val="20"/>
        </w:rPr>
      </w:pPr>
      <w:r>
        <w:rPr>
          <w:rFonts w:ascii="Times New Roman" w:hAnsi="Times New Roman"/>
          <w:color w:val="000000"/>
          <w:sz w:val="20"/>
        </w:rPr>
        <w:t>(4) Incorporated by reference to Exhibit 4.1 to Amendment No. 1 to registrant’s Registration Statement on Form S-1 (SEC file No. 333-198333) filed on September 26, 2014.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033" w:type="dxa"/>
        <w:jc w:val="left"/>
        <w:tblInd w:w="0" w:type="dxa"/>
        <w:tblLayout w:type="fixed"/>
        <w:tblCellMar>
          <w:top w:w="28" w:type="dxa"/>
          <w:left w:w="28" w:type="dxa"/>
          <w:bottom w:w="28" w:type="dxa"/>
          <w:right w:w="28" w:type="dxa"/>
        </w:tblCellMar>
      </w:tblPr>
      <w:tblGrid>
        <w:gridCol w:w="646"/>
        <w:gridCol w:w="1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646" w:type="dxa"/>
            <w:tcBorders/>
            <w:vAlign w:val="center"/>
          </w:tcPr>
          <w:p>
            <w:pPr>
              <w:pStyle w:val="TableContents"/>
              <w:bidi w:val="0"/>
              <w:spacing w:before="0" w:after="283"/>
              <w:jc w:val="left"/>
              <w:rPr/>
            </w:pPr>
            <w:r>
              <w:rPr/>
              <w:t> </w:t>
            </w:r>
          </w:p>
        </w:tc>
        <w:tc>
          <w:tcPr>
            <w:tcW w:w="3387" w:type="dxa"/>
            <w:gridSpan w:val="2"/>
            <w:tcBorders/>
            <w:vAlign w:val="center"/>
          </w:tcPr>
          <w:p>
            <w:pPr>
              <w:pStyle w:val="TableContents"/>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pPr>
            <w:r>
              <w:rPr/>
              <w:t> </w:t>
            </w:r>
          </w:p>
        </w:tc>
        <w:tc>
          <w:tcPr>
            <w:tcW w:w="32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jc w:val="left"/>
              <w:rPr>
                <w:rFonts w:ascii="Times New Roman" w:hAnsi="Times New Roman"/>
                <w:sz w:val="20"/>
              </w:rPr>
            </w:pPr>
            <w:r>
              <w:rPr>
                <w:rFonts w:ascii="Times New Roman" w:hAnsi="Times New Roman"/>
                <w:i/>
                <w:color w:val="000000"/>
                <w:sz w:val="20"/>
              </w:rPr>
              <w:t>(Principal Financial and Accounting</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Officer and Authorized Signatory)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August 7,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2" w:name="hubs-ex10_1.htm"/>
      <w:bookmarkStart w:id="23" w:name="kshubsex10_1"/>
      <w:bookmarkEnd w:id="22"/>
      <w:bookmarkEnd w:id="23"/>
      <w:r>
        <w:rPr>
          <w:rFonts w:ascii="Times New Roman" w:hAnsi="Times New Roman"/>
          <w:color w:val="000000"/>
          <w:sz w:val="20"/>
        </w:rPr>
        <w:t>Exhibit 10.1</w:t>
      </w:r>
      <w:r>
        <w:br w:type="page"/>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HUBSPOT, INC.</w:t>
        <w:br/>
        <w:t>2024 STOCK OPTION AND INCENTIVE PLAN</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 xml:space="preserve">SECTION 1. </w:t>
      </w:r>
    </w:p>
    <w:p>
      <w:pPr>
        <w:pStyle w:val="TextBody"/>
        <w:bidi w:val="0"/>
        <w:spacing w:before="240" w:after="283"/>
        <w:jc w:val="left"/>
        <w:rPr>
          <w:rFonts w:ascii="Times New Roman" w:hAnsi="Times New Roman"/>
          <w:caps/>
          <w:color w:val="000000"/>
          <w:sz w:val="24"/>
          <w:u w:val="single"/>
        </w:rPr>
      </w:pPr>
      <w:r>
        <w:rPr>
          <w:rFonts w:ascii="Times New Roman" w:hAnsi="Times New Roman"/>
          <w:caps/>
          <w:color w:val="000000"/>
          <w:sz w:val="24"/>
          <w:u w:val="single"/>
        </w:rPr>
        <w:t>GENERAL PURPOSE OF THE PLAN; DEFINITIONS</w:t>
      </w:r>
    </w:p>
    <w:p>
      <w:pPr>
        <w:pStyle w:val="TextBody"/>
        <w:bidi w:val="0"/>
        <w:spacing w:before="240" w:after="283"/>
        <w:jc w:val="left"/>
        <w:rPr>
          <w:rFonts w:ascii="Times New Roman" w:hAnsi="Times New Roman"/>
          <w:sz w:val="20"/>
        </w:rPr>
      </w:pPr>
      <w:r>
        <w:rPr>
          <w:rFonts w:ascii="Times New Roman" w:hAnsi="Times New Roman"/>
          <w:color w:val="000000"/>
          <w:sz w:val="24"/>
        </w:rPr>
        <w:t>The name of the plan is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The purpose of the Plan is to encourage and enable the officers, employees, Non-Employee Directors and Consultants of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terms shall be defined as set forth below:</w:t>
      </w:r>
    </w:p>
    <w:p>
      <w:pPr>
        <w:pStyle w:val="TextBody"/>
        <w:bidi w:val="0"/>
        <w:spacing w:before="240" w:after="283"/>
        <w:jc w:val="left"/>
        <w:rPr/>
      </w:pPr>
      <w:r>
        <w:rPr>
          <w:color w:val="000000"/>
        </w:rPr>
        <w:t>“</w:t>
      </w:r>
      <w:r>
        <w:rPr>
          <w:rFonts w:ascii="Times New Roman" w:hAnsi="Times New Roman"/>
          <w:b/>
          <w:i/>
          <w:color w:val="000000"/>
          <w:sz w:val="24"/>
        </w:rPr>
        <w:t>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thereunder.</w:t>
      </w:r>
    </w:p>
    <w:p>
      <w:pPr>
        <w:pStyle w:val="TextBody"/>
        <w:bidi w:val="0"/>
        <w:spacing w:before="240" w:after="283"/>
        <w:jc w:val="left"/>
        <w:rPr/>
      </w:pPr>
      <w:r>
        <w:rPr>
          <w:color w:val="000000"/>
        </w:rPr>
        <w:t>“</w:t>
      </w:r>
      <w:r>
        <w:rPr>
          <w:rFonts w:ascii="Times New Roman" w:hAnsi="Times New Roman"/>
          <w:b/>
          <w:i/>
          <w:color w:val="000000"/>
          <w:sz w:val="24"/>
        </w:rPr>
        <w:t>Administrator</w:t>
      </w:r>
      <w:r>
        <w:rPr>
          <w:rFonts w:ascii="Times New Roman" w:hAnsi="Times New Roman"/>
          <w:color w:val="000000"/>
          <w:sz w:val="20"/>
        </w:rPr>
        <w:t xml:space="preserve">” </w:t>
      </w:r>
      <w:r>
        <w:rPr>
          <w:rFonts w:ascii="Times New Roman" w:hAnsi="Times New Roman"/>
          <w:color w:val="000000"/>
          <w:sz w:val="24"/>
        </w:rPr>
        <w:t>means either the Board or the compensation committee of the Board or a similar committee performing the functions of the compensation committee and which is comprised of not less than two Non-Employee Directors who are independent.</w:t>
      </w:r>
    </w:p>
    <w:p>
      <w:pPr>
        <w:pStyle w:val="TextBody"/>
        <w:bidi w:val="0"/>
        <w:spacing w:before="240" w:after="283"/>
        <w:jc w:val="left"/>
        <w:rPr/>
      </w:pPr>
      <w:r>
        <w:rPr>
          <w:color w:val="000000"/>
        </w:rPr>
        <w:t>“</w:t>
      </w:r>
      <w:r>
        <w:rPr>
          <w:rFonts w:ascii="Times New Roman" w:hAnsi="Times New Roman"/>
          <w:b/>
          <w:i/>
          <w:color w:val="000000"/>
          <w:sz w:val="24"/>
        </w:rPr>
        <w:t>Affiliate</w:t>
      </w:r>
      <w:r>
        <w:rPr>
          <w:rFonts w:ascii="Times New Roman" w:hAnsi="Times New Roman"/>
          <w:color w:val="000000"/>
          <w:sz w:val="20"/>
        </w:rPr>
        <w:t xml:space="preserve">” </w:t>
      </w:r>
      <w:r>
        <w:rPr>
          <w:rFonts w:ascii="Times New Roman" w:hAnsi="Times New Roman"/>
          <w:color w:val="000000"/>
          <w:sz w:val="24"/>
        </w:rPr>
        <w:t>means, at the time of determination, any “parent” or “subsidiary” of the Company as such terms are defined in Rule 405 of the Act. The Board will have the authority to determine the time or times at which “parent” or “subsidiary” status is determined within the foregoing definition.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i/>
          <w:color w:val="000000"/>
          <w:sz w:val="24"/>
        </w:rPr>
        <w:t>Award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i/>
          <w:color w:val="000000"/>
          <w:sz w:val="24"/>
        </w:rPr>
        <w:t>Awards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except where referring to a particular category of grant under the Plan, includes Incentive Stock Options, Non-Qualified Stock Options, Stock Appreciation Rights, Restricted Stock Awards, Restricted Stock Units, Unrestricted Stock Awards, Cash-Based Awards, and Dividend Equivalent Rights.</w:t>
      </w:r>
    </w:p>
    <w:p>
      <w:pPr>
        <w:pStyle w:val="TextBody"/>
        <w:bidi w:val="0"/>
        <w:spacing w:before="240" w:after="283"/>
        <w:jc w:val="left"/>
        <w:rPr/>
      </w:pPr>
      <w:r>
        <w:rPr>
          <w:color w:val="000000"/>
        </w:rPr>
        <w:t>“</w:t>
      </w:r>
      <w:r>
        <w:rPr>
          <w:rFonts w:ascii="Times New Roman" w:hAnsi="Times New Roman"/>
          <w:b/>
          <w:i/>
          <w:color w:val="000000"/>
          <w:sz w:val="24"/>
        </w:rPr>
        <w:t>Award Certificate</w:t>
      </w:r>
      <w:r>
        <w:rPr>
          <w:rFonts w:ascii="Times New Roman" w:hAnsi="Times New Roman"/>
          <w:color w:val="000000"/>
          <w:sz w:val="20"/>
        </w:rPr>
        <w:t xml:space="preserve">” </w:t>
      </w:r>
      <w:r>
        <w:rPr>
          <w:rFonts w:ascii="Times New Roman" w:hAnsi="Times New Roman"/>
          <w:color w:val="000000"/>
          <w:sz w:val="24"/>
        </w:rPr>
        <w:t>means a written or electronic document setting forth the terms and provisions applicable to an Award granted under the Plan. Each Award Certificate is subject to the terms and conditions of the Plan.</w:t>
      </w:r>
    </w:p>
    <w:p>
      <w:pPr>
        <w:pStyle w:val="TextBody"/>
        <w:bidi w:val="0"/>
        <w:spacing w:before="240" w:after="283"/>
        <w:jc w:val="left"/>
        <w:rPr/>
      </w:pPr>
      <w:r>
        <w:rPr>
          <w:color w:val="000000"/>
        </w:rPr>
        <w:t>“</w:t>
      </w:r>
      <w:r>
        <w:rPr>
          <w:rFonts w:ascii="Times New Roman" w:hAnsi="Times New Roman"/>
          <w:b/>
          <w:i/>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240" w:after="283"/>
        <w:jc w:val="left"/>
        <w:rPr/>
      </w:pPr>
      <w:r>
        <w:rPr>
          <w:color w:val="000000"/>
        </w:rPr>
        <w:t>“</w:t>
      </w:r>
      <w:r>
        <w:rPr>
          <w:rFonts w:ascii="Times New Roman" w:hAnsi="Times New Roman"/>
          <w:b/>
          <w:i/>
          <w:color w:val="000000"/>
          <w:sz w:val="24"/>
        </w:rPr>
        <w:t>Cash-Based Award</w:t>
      </w:r>
      <w:r>
        <w:rPr>
          <w:rFonts w:ascii="Times New Roman" w:hAnsi="Times New Roman"/>
          <w:color w:val="000000"/>
          <w:sz w:val="20"/>
        </w:rPr>
        <w:t xml:space="preserve">” </w:t>
      </w:r>
      <w:r>
        <w:rPr>
          <w:rFonts w:ascii="Times New Roman" w:hAnsi="Times New Roman"/>
          <w:color w:val="000000"/>
          <w:sz w:val="24"/>
        </w:rPr>
        <w:t>means an Award entitling the recipient to receive a cash-denominated payment upon the attainment of specified performance goals.</w:t>
      </w:r>
    </w:p>
    <w:p>
      <w:pPr>
        <w:pStyle w:val="TextBody"/>
        <w:bidi w:val="0"/>
        <w:spacing w:before="240" w:after="283"/>
        <w:jc w:val="left"/>
        <w:rPr/>
      </w:pPr>
      <w:r>
        <w:rPr>
          <w:color w:val="000000"/>
        </w:rPr>
        <w:t>“</w:t>
      </w:r>
      <w:r>
        <w:rPr>
          <w:rFonts w:ascii="Times New Roman" w:hAnsi="Times New Roman"/>
          <w:b/>
          <w:i/>
          <w:color w:val="000000"/>
          <w:sz w:val="24"/>
        </w:rPr>
        <w:t>Cause</w:t>
      </w:r>
      <w:r>
        <w:rPr>
          <w:rFonts w:ascii="Times New Roman" w:hAnsi="Times New Roman"/>
          <w:color w:val="000000"/>
          <w:sz w:val="20"/>
        </w:rPr>
        <w:t xml:space="preserve">” </w:t>
      </w:r>
      <w:r>
        <w:rPr>
          <w:rFonts w:ascii="Times New Roman" w:hAnsi="Times New Roman"/>
          <w:color w:val="000000"/>
          <w:sz w:val="24"/>
        </w:rPr>
        <w:t>means (i) a grantee’s dishonest statements or acts with respect to the Company or any Affiliate, or any current or prospective customers, suppliers vendors or other third parties with which such entity does business; (ii) a grantee’s commission of (A) a felony (or crime of similar magnitude under non-U.S. laws, as determined by the Administrator) or (B) any misdemeanor involving moral turpitude, deceit, dishonesty or fraud; (iii) a grantee’s failure to perform the grantee’s assigned duties and responsibilities to the reasonable satisfaction of the Company or an Affiliate, which failure continues, in the reasonable judgment of the Company or an Affiliate, after written notice given to the grantee by the Company or an Affiliate; (iv) a grantee’s gross negligence, willful misconduct or insubordination with respect to the Company or any Affiliate (including, but not limited to, any violation of the Company’s or any Affiliate’s code of conduct, insider trading, willful accounting improprieties or failure to cooperate with investigations); or (v) a grantee’s material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violation of any provision of any agreement(s) between the grantee and the Company or any Affiliate relating to noncompetition, nonsolicitation, nondisclosure and/or assignment of inventions.</w:t>
      </w:r>
    </w:p>
    <w:p>
      <w:pPr>
        <w:pStyle w:val="TextBody"/>
        <w:bidi w:val="0"/>
        <w:spacing w:before="240" w:after="283"/>
        <w:jc w:val="left"/>
        <w:rPr/>
      </w:pPr>
      <w:r>
        <w:rPr>
          <w:color w:val="000000"/>
        </w:rPr>
        <w:t>“</w:t>
      </w:r>
      <w:r>
        <w:rPr>
          <w:rFonts w:ascii="Times New Roman" w:hAnsi="Times New Roman"/>
          <w:b/>
          <w:i/>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and any successor Code, and related rules, regulations and interpretations.</w:t>
      </w:r>
    </w:p>
    <w:p>
      <w:pPr>
        <w:pStyle w:val="TextBody"/>
        <w:bidi w:val="0"/>
        <w:spacing w:before="240" w:after="283"/>
        <w:jc w:val="left"/>
        <w:rPr/>
      </w:pPr>
      <w:r>
        <w:rPr>
          <w:color w:val="000000"/>
        </w:rPr>
        <w:t>“</w:t>
      </w:r>
      <w:r>
        <w:rPr>
          <w:rFonts w:ascii="Times New Roman" w:hAnsi="Times New Roman"/>
          <w:b/>
          <w:i/>
          <w:color w:val="000000"/>
          <w:sz w:val="24"/>
        </w:rPr>
        <w:t>Consultant</w:t>
      </w:r>
      <w:r>
        <w:rPr>
          <w:rFonts w:ascii="Times New Roman" w:hAnsi="Times New Roman"/>
          <w:color w:val="000000"/>
          <w:sz w:val="20"/>
        </w:rPr>
        <w:t xml:space="preserve">” </w:t>
      </w:r>
      <w:r>
        <w:rPr>
          <w:rFonts w:ascii="Times New Roman" w:hAnsi="Times New Roman"/>
          <w:color w:val="000000"/>
          <w:sz w:val="24"/>
        </w:rPr>
        <w:t xml:space="preserve">means a consultant or adviser who provides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services to the Company or an Affiliate as an independent contractor and who qualifies as a consultant or advisor under Instruction A.1.(a)(1) of Form S-8 under the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4"/>
        </w:rPr>
        <w:t>Dividend Equivalent Right</w:t>
      </w:r>
      <w:r>
        <w:rPr>
          <w:rFonts w:ascii="Times New Roman" w:hAnsi="Times New Roman"/>
          <w:color w:val="000000"/>
          <w:sz w:val="20"/>
        </w:rPr>
        <w:t xml:space="preserve">” </w:t>
      </w:r>
      <w:r>
        <w:rPr>
          <w:rFonts w:ascii="Times New Roman" w:hAnsi="Times New Roman"/>
          <w:color w:val="000000"/>
          <w:sz w:val="24"/>
        </w:rPr>
        <w:t>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pStyle w:val="TextBody"/>
        <w:bidi w:val="0"/>
        <w:spacing w:before="240" w:after="283"/>
        <w:jc w:val="left"/>
        <w:rPr/>
      </w:pPr>
      <w:r>
        <w:rPr>
          <w:color w:val="000000"/>
        </w:rPr>
        <w:t>“</w:t>
      </w:r>
      <w:r>
        <w:rPr>
          <w:rFonts w:ascii="Times New Roman" w:hAnsi="Times New Roman"/>
          <w:b/>
          <w:i/>
          <w:color w:val="000000"/>
          <w:sz w:val="24"/>
        </w:rPr>
        <w:t>Effective Date</w:t>
      </w:r>
      <w:r>
        <w:rPr>
          <w:rFonts w:ascii="Times New Roman" w:hAnsi="Times New Roman"/>
          <w:color w:val="000000"/>
          <w:sz w:val="20"/>
        </w:rPr>
        <w:t xml:space="preserve">” </w:t>
      </w:r>
      <w:r>
        <w:rPr>
          <w:rFonts w:ascii="Times New Roman" w:hAnsi="Times New Roman"/>
          <w:color w:val="000000"/>
          <w:sz w:val="24"/>
        </w:rPr>
        <w:t>means the date on which the Plan becomes effective as set forth in Section 19.</w:t>
      </w:r>
    </w:p>
    <w:p>
      <w:pPr>
        <w:pStyle w:val="TextBody"/>
        <w:bidi w:val="0"/>
        <w:spacing w:before="240" w:after="283"/>
        <w:jc w:val="left"/>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thereunder.</w:t>
      </w:r>
    </w:p>
    <w:p>
      <w:pPr>
        <w:pStyle w:val="TextBody"/>
        <w:bidi w:val="0"/>
        <w:spacing w:before="240" w:after="283"/>
        <w:jc w:val="left"/>
        <w:rPr/>
      </w:pPr>
      <w:r>
        <w:rPr>
          <w:color w:val="000000"/>
        </w:rPr>
        <w:t>“</w:t>
      </w:r>
      <w:r>
        <w:rPr>
          <w:rFonts w:ascii="Times New Roman" w:hAnsi="Times New Roman"/>
          <w:b/>
          <w:i/>
          <w:color w:val="000000"/>
          <w:sz w:val="24"/>
        </w:rPr>
        <w:t>Fair Market Value</w:t>
      </w:r>
      <w:r>
        <w:rPr>
          <w:rFonts w:ascii="Times New Roman" w:hAnsi="Times New Roman"/>
          <w:color w:val="000000"/>
          <w:sz w:val="20"/>
        </w:rPr>
        <w:t xml:space="preserve">” </w:t>
      </w:r>
      <w:r>
        <w:rPr>
          <w:rFonts w:ascii="Times New Roman" w:hAnsi="Times New Roman"/>
          <w:color w:val="000000"/>
          <w:sz w:val="24"/>
        </w:rPr>
        <w:t xml:space="preserve">of the Stock on any given date means the fair market value of the Stock determined in good faith by the Administrator;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Stock is listed on the National Association of Securities Dealers Automated Quotation System (“</w:t>
      </w:r>
      <w:r>
        <w:rPr>
          <w:rFonts w:ascii="Times New Roman" w:hAnsi="Times New Roman"/>
          <w:b/>
          <w:i/>
          <w:color w:val="000000"/>
          <w:sz w:val="24"/>
        </w:rPr>
        <w:t>NASDAQ</w:t>
      </w:r>
      <w:r>
        <w:rPr>
          <w:rFonts w:ascii="Times New Roman" w:hAnsi="Times New Roman"/>
          <w:color w:val="000000"/>
          <w:sz w:val="20"/>
        </w:rPr>
        <w:t>”</w:t>
      </w:r>
      <w:r>
        <w:rPr>
          <w:rFonts w:ascii="Times New Roman" w:hAnsi="Times New Roman"/>
          <w:color w:val="000000"/>
          <w:sz w:val="24"/>
        </w:rPr>
        <w:t>), the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pStyle w:val="TextBody"/>
        <w:bidi w:val="0"/>
        <w:spacing w:before="240" w:after="283"/>
        <w:jc w:val="left"/>
        <w:rPr/>
      </w:pPr>
      <w:r>
        <w:rPr>
          <w:color w:val="000000"/>
        </w:rPr>
        <w:t>“</w:t>
      </w:r>
      <w:r>
        <w:rPr>
          <w:rFonts w:ascii="Times New Roman" w:hAnsi="Times New Roman"/>
          <w:b/>
          <w:i/>
          <w:color w:val="000000"/>
          <w:sz w:val="24"/>
        </w:rPr>
        <w:t>Good Reason</w:t>
      </w:r>
      <w:r>
        <w:rPr>
          <w:rFonts w:ascii="Times New Roman" w:hAnsi="Times New Roman"/>
          <w:color w:val="000000"/>
          <w:sz w:val="20"/>
        </w:rPr>
        <w:t xml:space="preserve">” </w:t>
      </w:r>
      <w:r>
        <w:rPr>
          <w:rFonts w:ascii="Times New Roman" w:hAnsi="Times New Roman"/>
          <w:color w:val="000000"/>
          <w:sz w:val="24"/>
        </w:rPr>
        <w:t>means (i) a material diminution in a grantee’s base salary except for across-the-board salary reductions similarly affecting all or substantially all similarly situated employees of the Company or an Affiliate or (ii) a change by the Company of more than 50 miles in the geographic location at which a grantee provides services to the Company or an Affiliate, so long as the grantee provides notice to the Company or the Affiliate within 90 days following the initial occurrence of any such event and the Company or the Affiliate fails to cure such event within 30 days of such notice (the “</w:t>
      </w:r>
      <w:r>
        <w:rPr>
          <w:rFonts w:ascii="Times New Roman" w:hAnsi="Times New Roman"/>
          <w:b/>
          <w:i/>
          <w:color w:val="000000"/>
          <w:sz w:val="24"/>
        </w:rPr>
        <w:t>Cure Period</w:t>
      </w:r>
      <w:r>
        <w:rPr>
          <w:rFonts w:ascii="Times New Roman" w:hAnsi="Times New Roman"/>
          <w:color w:val="000000"/>
          <w:sz w:val="20"/>
        </w:rPr>
        <w:t>”</w:t>
      </w:r>
      <w:r>
        <w:rPr>
          <w:rFonts w:ascii="Times New Roman" w:hAnsi="Times New Roman"/>
          <w:color w:val="000000"/>
          <w:sz w:val="24"/>
        </w:rPr>
        <w:t>) and the grantee terminates the grantee’s Service Relationship within 60 days after the end of the Cure Period.</w:t>
      </w:r>
    </w:p>
    <w:p>
      <w:pPr>
        <w:pStyle w:val="TextBody"/>
        <w:bidi w:val="0"/>
        <w:spacing w:before="240" w:after="283"/>
        <w:jc w:val="left"/>
        <w:rPr/>
      </w:pPr>
      <w:r>
        <w:rPr>
          <w:color w:val="000000"/>
        </w:rPr>
        <w:t>“</w:t>
      </w:r>
      <w:r>
        <w:rPr>
          <w:rFonts w:ascii="Times New Roman" w:hAnsi="Times New Roman"/>
          <w:b/>
          <w:i/>
          <w:color w:val="000000"/>
          <w:sz w:val="24"/>
        </w:rPr>
        <w:t>Incentive Stock Option</w:t>
      </w:r>
      <w:r>
        <w:rPr>
          <w:rFonts w:ascii="Times New Roman" w:hAnsi="Times New Roman"/>
          <w:color w:val="000000"/>
          <w:sz w:val="20"/>
        </w:rPr>
        <w:t xml:space="preserve">” </w:t>
      </w:r>
      <w:r>
        <w:rPr>
          <w:rFonts w:ascii="Times New Roman" w:hAnsi="Times New Roman"/>
          <w:color w:val="000000"/>
          <w:sz w:val="24"/>
        </w:rPr>
        <w:t>means any Stock Option designated and qualified as an “incentive stock option” as defined in Section 422 of the Code.</w:t>
      </w:r>
    </w:p>
    <w:p>
      <w:pPr>
        <w:pStyle w:val="TextBody"/>
        <w:bidi w:val="0"/>
        <w:spacing w:before="240" w:after="283"/>
        <w:jc w:val="left"/>
        <w:rPr/>
      </w:pPr>
      <w:r>
        <w:rPr>
          <w:color w:val="000000"/>
        </w:rPr>
        <w:t>“</w:t>
      </w:r>
      <w:r>
        <w:rPr>
          <w:rFonts w:ascii="Times New Roman" w:hAnsi="Times New Roman"/>
          <w:b/>
          <w:i/>
          <w:color w:val="000000"/>
          <w:sz w:val="24"/>
        </w:rPr>
        <w:t>Non-Employee Director</w:t>
      </w:r>
      <w:r>
        <w:rPr>
          <w:rFonts w:ascii="Times New Roman" w:hAnsi="Times New Roman"/>
          <w:color w:val="000000"/>
          <w:sz w:val="20"/>
        </w:rPr>
        <w:t xml:space="preserve">” </w:t>
      </w:r>
      <w:r>
        <w:rPr>
          <w:rFonts w:ascii="Times New Roman" w:hAnsi="Times New Roman"/>
          <w:color w:val="000000"/>
          <w:sz w:val="24"/>
        </w:rPr>
        <w:t>means a member of the Board who is not also an employee of the Company or any Subsidiary.</w:t>
      </w:r>
    </w:p>
    <w:p>
      <w:pPr>
        <w:pStyle w:val="TextBody"/>
        <w:bidi w:val="0"/>
        <w:spacing w:before="240" w:after="283"/>
        <w:jc w:val="left"/>
        <w:rPr/>
      </w:pPr>
      <w:r>
        <w:rPr>
          <w:color w:val="000000"/>
        </w:rPr>
        <w:t>“</w:t>
      </w:r>
      <w:r>
        <w:rPr>
          <w:rFonts w:ascii="Times New Roman" w:hAnsi="Times New Roman"/>
          <w:b/>
          <w:i/>
          <w:color w:val="000000"/>
          <w:sz w:val="24"/>
        </w:rPr>
        <w:t>Non-Qualified Stock Option</w:t>
      </w:r>
      <w:r>
        <w:rPr>
          <w:rFonts w:ascii="Times New Roman" w:hAnsi="Times New Roman"/>
          <w:color w:val="000000"/>
          <w:sz w:val="20"/>
        </w:rPr>
        <w:t xml:space="preserve">” </w:t>
      </w:r>
      <w:r>
        <w:rPr>
          <w:rFonts w:ascii="Times New Roman" w:hAnsi="Times New Roman"/>
          <w:color w:val="000000"/>
          <w:sz w:val="24"/>
        </w:rPr>
        <w:t>means any Stock Option that is not an Incentive Stock Option.</w:t>
      </w:r>
    </w:p>
    <w:p>
      <w:pPr>
        <w:pStyle w:val="TextBody"/>
        <w:bidi w:val="0"/>
        <w:spacing w:before="240" w:after="283"/>
        <w:jc w:val="left"/>
        <w:rPr/>
      </w:pPr>
      <w:r>
        <w:rPr>
          <w:color w:val="000000"/>
        </w:rPr>
        <w:t>“</w:t>
      </w:r>
      <w:r>
        <w:rPr>
          <w:rFonts w:ascii="Times New Roman" w:hAnsi="Times New Roman"/>
          <w:b/>
          <w:i/>
          <w:color w:val="000000"/>
          <w:sz w:val="24"/>
        </w:rPr>
        <w:t>Option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i/>
          <w:color w:val="000000"/>
          <w:sz w:val="24"/>
        </w:rPr>
        <w:t>Stock Option</w:t>
      </w:r>
      <w:r>
        <w:rPr>
          <w:rFonts w:ascii="Times New Roman" w:hAnsi="Times New Roman"/>
          <w:color w:val="000000"/>
          <w:sz w:val="20"/>
        </w:rPr>
        <w:t xml:space="preserve">” </w:t>
      </w:r>
      <w:r>
        <w:rPr>
          <w:rFonts w:ascii="Times New Roman" w:hAnsi="Times New Roman"/>
          <w:color w:val="000000"/>
          <w:sz w:val="24"/>
        </w:rPr>
        <w:t>means any option to purchase shares of Stock.</w:t>
      </w:r>
    </w:p>
    <w:p>
      <w:pPr>
        <w:pStyle w:val="TextBody"/>
        <w:bidi w:val="0"/>
        <w:spacing w:before="240" w:after="283"/>
        <w:jc w:val="left"/>
        <w:rPr/>
      </w:pPr>
      <w:r>
        <w:rPr>
          <w:color w:val="000000"/>
        </w:rPr>
        <w:t>“</w:t>
      </w:r>
      <w:r>
        <w:rPr>
          <w:rFonts w:ascii="Times New Roman" w:hAnsi="Times New Roman"/>
          <w:b/>
          <w:i/>
          <w:color w:val="000000"/>
          <w:sz w:val="24"/>
        </w:rPr>
        <w:t>Prior Plans</w:t>
      </w:r>
      <w:r>
        <w:rPr>
          <w:rFonts w:ascii="Times New Roman" w:hAnsi="Times New Roman"/>
          <w:color w:val="000000"/>
          <w:sz w:val="20"/>
        </w:rPr>
        <w:t xml:space="preserve">” </w:t>
      </w:r>
      <w:r>
        <w:rPr>
          <w:rFonts w:ascii="Times New Roman" w:hAnsi="Times New Roman"/>
          <w:color w:val="000000"/>
          <w:sz w:val="24"/>
        </w:rPr>
        <w:t>means the HubSpot, Inc. 2014 Stock Option and Incentive Plan, as amended from time to time, and the HubSpot, Inc. 2007 Equity Incentive Plan.</w:t>
      </w:r>
    </w:p>
    <w:p>
      <w:pPr>
        <w:pStyle w:val="TextBody"/>
        <w:bidi w:val="0"/>
        <w:spacing w:before="240" w:after="283"/>
        <w:jc w:val="left"/>
        <w:rPr/>
      </w:pPr>
      <w:r>
        <w:rPr>
          <w:color w:val="000000"/>
        </w:rPr>
        <w:t>“</w:t>
      </w:r>
      <w:r>
        <w:rPr>
          <w:rFonts w:ascii="Times New Roman" w:hAnsi="Times New Roman"/>
          <w:b/>
          <w:i/>
          <w:color w:val="000000"/>
          <w:sz w:val="24"/>
        </w:rPr>
        <w:t>Restricted Shares</w:t>
      </w:r>
      <w:r>
        <w:rPr>
          <w:rFonts w:ascii="Times New Roman" w:hAnsi="Times New Roman"/>
          <w:color w:val="000000"/>
          <w:sz w:val="20"/>
        </w:rPr>
        <w:t xml:space="preserve">” </w:t>
      </w:r>
      <w:r>
        <w:rPr>
          <w:rFonts w:ascii="Times New Roman" w:hAnsi="Times New Roman"/>
          <w:color w:val="000000"/>
          <w:sz w:val="24"/>
        </w:rPr>
        <w:t>means the shares of Stock underlying a Restricted Stock Award that remain subject to a risk of forfeiture or the Company’s right of repurchase.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pPr>
      <w:r>
        <w:rPr>
          <w:color w:val="000000"/>
        </w:rPr>
        <w:t>“</w:t>
      </w:r>
      <w:r>
        <w:rPr>
          <w:rFonts w:ascii="Times New Roman" w:hAnsi="Times New Roman"/>
          <w:b/>
          <w:i/>
          <w:color w:val="000000"/>
          <w:sz w:val="24"/>
        </w:rPr>
        <w:t>Restricted Stock Award</w:t>
      </w:r>
      <w:r>
        <w:rPr>
          <w:rFonts w:ascii="Times New Roman" w:hAnsi="Times New Roman"/>
          <w:color w:val="000000"/>
          <w:sz w:val="20"/>
        </w:rPr>
        <w:t xml:space="preserve">” </w:t>
      </w:r>
      <w:r>
        <w:rPr>
          <w:rFonts w:ascii="Times New Roman" w:hAnsi="Times New Roman"/>
          <w:color w:val="000000"/>
          <w:sz w:val="24"/>
        </w:rPr>
        <w:t>means an Award of Restricted Shares.</w:t>
      </w:r>
    </w:p>
    <w:p>
      <w:pPr>
        <w:pStyle w:val="TextBody"/>
        <w:bidi w:val="0"/>
        <w:spacing w:before="240" w:after="283"/>
        <w:jc w:val="left"/>
        <w:rPr/>
      </w:pPr>
      <w:r>
        <w:rPr>
          <w:color w:val="000000"/>
        </w:rPr>
        <w:t>“</w:t>
      </w:r>
      <w:r>
        <w:rPr>
          <w:rFonts w:ascii="Times New Roman" w:hAnsi="Times New Roman"/>
          <w:b/>
          <w:i/>
          <w:color w:val="000000"/>
          <w:sz w:val="24"/>
        </w:rPr>
        <w:t>Restricted Stock Units</w:t>
      </w:r>
      <w:r>
        <w:rPr>
          <w:rFonts w:ascii="Times New Roman" w:hAnsi="Times New Roman"/>
          <w:color w:val="000000"/>
          <w:sz w:val="20"/>
        </w:rPr>
        <w:t xml:space="preserve">” </w:t>
      </w:r>
      <w:r>
        <w:rPr>
          <w:rFonts w:ascii="Times New Roman" w:hAnsi="Times New Roman"/>
          <w:color w:val="000000"/>
          <w:sz w:val="24"/>
        </w:rPr>
        <w:t>means an Award of stock units.</w:t>
      </w:r>
    </w:p>
    <w:p>
      <w:pPr>
        <w:pStyle w:val="TextBody"/>
        <w:bidi w:val="0"/>
        <w:spacing w:before="240" w:after="283"/>
        <w:jc w:val="left"/>
        <w:rPr/>
      </w:pPr>
      <w:r>
        <w:rPr>
          <w:color w:val="000000"/>
        </w:rPr>
        <w:t>“</w:t>
      </w:r>
      <w:r>
        <w:rPr>
          <w:rFonts w:ascii="Times New Roman" w:hAnsi="Times New Roman"/>
          <w:b/>
          <w:i/>
          <w:color w:val="000000"/>
          <w:sz w:val="24"/>
        </w:rPr>
        <w:t>Sale Event</w:t>
      </w:r>
      <w:r>
        <w:rPr>
          <w:rFonts w:ascii="Times New Roman" w:hAnsi="Times New Roman"/>
          <w:color w:val="000000"/>
          <w:sz w:val="20"/>
        </w:rPr>
        <w:t xml:space="preserve">” </w:t>
      </w:r>
      <w:r>
        <w:rPr>
          <w:rFonts w:ascii="Times New Roman" w:hAnsi="Times New Roman"/>
          <w:color w:val="000000"/>
          <w:sz w:val="24"/>
        </w:rPr>
        <w:t>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240" w:after="283"/>
        <w:jc w:val="left"/>
        <w:rPr/>
      </w:pPr>
      <w:r>
        <w:rPr>
          <w:color w:val="000000"/>
        </w:rPr>
        <w:t>“</w:t>
      </w:r>
      <w:r>
        <w:rPr>
          <w:rFonts w:ascii="Times New Roman" w:hAnsi="Times New Roman"/>
          <w:b/>
          <w:i/>
          <w:color w:val="000000"/>
          <w:sz w:val="24"/>
        </w:rPr>
        <w:t>Sale Price</w:t>
      </w:r>
      <w:r>
        <w:rPr>
          <w:rFonts w:ascii="Times New Roman" w:hAnsi="Times New Roman"/>
          <w:color w:val="000000"/>
          <w:sz w:val="20"/>
        </w:rPr>
        <w:t xml:space="preserve">” </w:t>
      </w:r>
      <w:r>
        <w:rPr>
          <w:rFonts w:ascii="Times New Roman" w:hAnsi="Times New Roman"/>
          <w:color w:val="000000"/>
          <w:sz w:val="24"/>
        </w:rPr>
        <w:t>means the value as determined by the Administrator of the consideration payable, or otherwise to be received by stockholders, per share of Stock pursuant to a Sale Event.</w:t>
      </w:r>
    </w:p>
    <w:p>
      <w:pPr>
        <w:pStyle w:val="TextBody"/>
        <w:bidi w:val="0"/>
        <w:spacing w:before="240" w:after="283"/>
        <w:jc w:val="left"/>
        <w:rPr/>
      </w:pPr>
      <w:r>
        <w:rPr>
          <w:color w:val="000000"/>
        </w:rPr>
        <w:t>“</w:t>
      </w:r>
      <w:r>
        <w:rPr>
          <w:rFonts w:ascii="Times New Roman" w:hAnsi="Times New Roman"/>
          <w:b/>
          <w:i/>
          <w:color w:val="000000"/>
          <w:sz w:val="24"/>
        </w:rPr>
        <w:t>Section 409A</w:t>
      </w:r>
      <w:r>
        <w:rPr>
          <w:rFonts w:ascii="Times New Roman" w:hAnsi="Times New Roman"/>
          <w:color w:val="000000"/>
          <w:sz w:val="20"/>
        </w:rPr>
        <w:t xml:space="preserve">” </w:t>
      </w:r>
      <w:r>
        <w:rPr>
          <w:rFonts w:ascii="Times New Roman" w:hAnsi="Times New Roman"/>
          <w:color w:val="000000"/>
          <w:sz w:val="24"/>
        </w:rPr>
        <w:t>means Section 409A of the Code and the regulations and other guidance promulgated thereunder.</w:t>
      </w:r>
    </w:p>
    <w:p>
      <w:pPr>
        <w:pStyle w:val="TextBody"/>
        <w:bidi w:val="0"/>
        <w:spacing w:before="240" w:after="283"/>
        <w:jc w:val="left"/>
        <w:rPr/>
      </w:pPr>
      <w:r>
        <w:rPr>
          <w:color w:val="000000"/>
        </w:rPr>
        <w:t>“</w:t>
      </w:r>
      <w:r>
        <w:rPr>
          <w:rFonts w:ascii="Times New Roman" w:hAnsi="Times New Roman"/>
          <w:b/>
          <w:i/>
          <w:color w:val="000000"/>
          <w:sz w:val="24"/>
        </w:rPr>
        <w:t>Service Relationship</w:t>
      </w:r>
      <w:r>
        <w:rPr>
          <w:rFonts w:ascii="Times New Roman" w:hAnsi="Times New Roman"/>
          <w:color w:val="000000"/>
          <w:sz w:val="20"/>
        </w:rPr>
        <w:t xml:space="preserve">” </w:t>
      </w:r>
      <w:r>
        <w:rPr>
          <w:rFonts w:ascii="Times New Roman" w:hAnsi="Times New Roman"/>
          <w:color w:val="000000"/>
          <w:sz w:val="24"/>
        </w:rPr>
        <w:t>means any relationship as an officer, employee, director or Consultant of the Company or any Affiliate (e.g., a Service Relationship shall be deemed to continue without interruption in the event an individual’s status changes from full-time employee to part-time employee or Consultant or vice versa).</w:t>
      </w:r>
    </w:p>
    <w:p>
      <w:pPr>
        <w:pStyle w:val="TextBody"/>
        <w:bidi w:val="0"/>
        <w:spacing w:before="240" w:after="283"/>
        <w:jc w:val="left"/>
        <w:rPr/>
      </w:pPr>
      <w:r>
        <w:rPr>
          <w:color w:val="000000"/>
        </w:rPr>
        <w:t>“</w:t>
      </w:r>
      <w:r>
        <w:rPr>
          <w:rFonts w:ascii="Times New Roman" w:hAnsi="Times New Roman"/>
          <w:b/>
          <w:i/>
          <w:color w:val="000000"/>
          <w:sz w:val="24"/>
        </w:rPr>
        <w:t>Stock</w:t>
      </w:r>
      <w:r>
        <w:rPr>
          <w:rFonts w:ascii="Times New Roman" w:hAnsi="Times New Roman"/>
          <w:color w:val="000000"/>
          <w:sz w:val="20"/>
        </w:rPr>
        <w:t xml:space="preserve">” </w:t>
      </w:r>
      <w:r>
        <w:rPr>
          <w:rFonts w:ascii="Times New Roman" w:hAnsi="Times New Roman"/>
          <w:color w:val="000000"/>
          <w:sz w:val="24"/>
        </w:rPr>
        <w:t>means the Common Stock, par value $0.001 per share, of the Company, subject to adjustments pursuant to Section 3.</w:t>
      </w:r>
    </w:p>
    <w:p>
      <w:pPr>
        <w:pStyle w:val="TextBody"/>
        <w:bidi w:val="0"/>
        <w:spacing w:before="240" w:after="283"/>
        <w:jc w:val="left"/>
        <w:rPr/>
      </w:pPr>
      <w:r>
        <w:rPr>
          <w:color w:val="000000"/>
        </w:rPr>
        <w:t>“</w:t>
      </w:r>
      <w:r>
        <w:rPr>
          <w:rFonts w:ascii="Times New Roman" w:hAnsi="Times New Roman"/>
          <w:b/>
          <w:i/>
          <w:color w:val="000000"/>
          <w:sz w:val="24"/>
        </w:rPr>
        <w:t>Stock Appreciation Right</w:t>
      </w:r>
      <w:r>
        <w:rPr>
          <w:rFonts w:ascii="Times New Roman" w:hAnsi="Times New Roman"/>
          <w:color w:val="000000"/>
          <w:sz w:val="20"/>
        </w:rPr>
        <w:t xml:space="preserve">” </w:t>
      </w:r>
      <w:r>
        <w:rPr>
          <w:rFonts w:ascii="Times New Roman" w:hAnsi="Times New Roman"/>
          <w:color w:val="000000"/>
          <w:sz w:val="24"/>
        </w:rPr>
        <w:t>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is exercised.</w:t>
      </w:r>
    </w:p>
    <w:p>
      <w:pPr>
        <w:pStyle w:val="TextBody"/>
        <w:bidi w:val="0"/>
        <w:spacing w:before="240" w:after="283"/>
        <w:jc w:val="left"/>
        <w:rPr/>
      </w:pPr>
      <w:r>
        <w:rPr>
          <w:color w:val="000000"/>
        </w:rPr>
        <w:t>“</w:t>
      </w:r>
      <w:r>
        <w:rPr>
          <w:rFonts w:ascii="Times New Roman" w:hAnsi="Times New Roman"/>
          <w:b/>
          <w:i/>
          <w:color w:val="000000"/>
          <w:sz w:val="24"/>
        </w:rPr>
        <w:t>Subsidiary</w:t>
      </w:r>
      <w:r>
        <w:rPr>
          <w:rFonts w:ascii="Times New Roman" w:hAnsi="Times New Roman"/>
          <w:color w:val="000000"/>
          <w:sz w:val="20"/>
        </w:rPr>
        <w:t xml:space="preserve">” </w:t>
      </w:r>
      <w:r>
        <w:rPr>
          <w:rFonts w:ascii="Times New Roman" w:hAnsi="Times New Roman"/>
          <w:color w:val="000000"/>
          <w:sz w:val="24"/>
        </w:rPr>
        <w:t>means any corporation or other entity (other than the Company) in which the Company has at least a 50 percent interest, either directly or indirectly.</w:t>
      </w:r>
    </w:p>
    <w:p>
      <w:pPr>
        <w:pStyle w:val="TextBody"/>
        <w:bidi w:val="0"/>
        <w:spacing w:before="240" w:after="283"/>
        <w:jc w:val="left"/>
        <w:rPr/>
      </w:pPr>
      <w:r>
        <w:rPr>
          <w:color w:val="000000"/>
        </w:rPr>
        <w:t>“</w:t>
      </w:r>
      <w:r>
        <w:rPr>
          <w:rFonts w:ascii="Times New Roman" w:hAnsi="Times New Roman"/>
          <w:b/>
          <w:i/>
          <w:color w:val="000000"/>
          <w:sz w:val="24"/>
        </w:rPr>
        <w:t>Substitute Awards</w:t>
      </w:r>
      <w:r>
        <w:rPr>
          <w:rFonts w:ascii="Times New Roman" w:hAnsi="Times New Roman"/>
          <w:color w:val="000000"/>
          <w:sz w:val="20"/>
        </w:rPr>
        <w:t xml:space="preserve">” </w:t>
      </w:r>
      <w:r>
        <w:rPr>
          <w:rFonts w:ascii="Times New Roman" w:hAnsi="Times New Roman"/>
          <w:color w:val="000000"/>
          <w:sz w:val="24"/>
        </w:rPr>
        <w:t>means Awards granted or Stock issued by the Company in assumption of, or in substitution or exchange for, awards previously granted, in each case by a company acquired by the Company or any Affiliate or with which the Company or any Affiliate combines.</w:t>
      </w:r>
    </w:p>
    <w:p>
      <w:pPr>
        <w:pStyle w:val="TextBody"/>
        <w:bidi w:val="0"/>
        <w:spacing w:before="240" w:after="283"/>
        <w:jc w:val="left"/>
        <w:rPr/>
      </w:pPr>
      <w:r>
        <w:rPr>
          <w:color w:val="000000"/>
        </w:rPr>
        <w:t>“</w:t>
      </w:r>
      <w:r>
        <w:rPr>
          <w:rFonts w:ascii="Times New Roman" w:hAnsi="Times New Roman"/>
          <w:b/>
          <w:i/>
          <w:color w:val="000000"/>
          <w:sz w:val="24"/>
        </w:rPr>
        <w:t>Ten Percent Owner</w:t>
      </w:r>
      <w:r>
        <w:rPr>
          <w:rFonts w:ascii="Times New Roman" w:hAnsi="Times New Roman"/>
          <w:color w:val="000000"/>
          <w:sz w:val="20"/>
        </w:rPr>
        <w:t xml:space="preserve">” </w:t>
      </w:r>
      <w:r>
        <w:rPr>
          <w:rFonts w:ascii="Times New Roman" w:hAnsi="Times New Roman"/>
          <w:color w:val="000000"/>
          <w:sz w:val="24"/>
        </w:rPr>
        <w:t>means an employee of the Company or any Subsidiary that is a “subsidiary corporation” within the meaning of Section 424(f) of the Code who owns or is deemed to own (by reason of the attribution rules of Section 424(d) of the Code) more than 10 percent of the combined voting power of all classes of stock of the Company or any parent or subsidiary corporation.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i/>
          <w:color w:val="000000"/>
          <w:sz w:val="24"/>
        </w:rPr>
        <w:t>Unrestricted Stock Award</w:t>
      </w:r>
      <w:r>
        <w:rPr>
          <w:rFonts w:ascii="Times New Roman" w:hAnsi="Times New Roman"/>
          <w:color w:val="000000"/>
          <w:sz w:val="20"/>
        </w:rPr>
        <w:t xml:space="preserve">” </w:t>
      </w:r>
      <w:r>
        <w:rPr>
          <w:rFonts w:ascii="Times New Roman" w:hAnsi="Times New Roman"/>
          <w:color w:val="000000"/>
          <w:sz w:val="24"/>
        </w:rPr>
        <w:t>means an Award of shares of Stock free of any restrictions.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ADMINISTRATION OF PLAN; ADMINISTRATOR AUTHORITY TO SELECT GRANTEES AND DETERMINE AWARDS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Administration of Plan</w:t>
      </w:r>
      <w:r>
        <w:rPr>
          <w:rFonts w:ascii="Times New Roman" w:hAnsi="Times New Roman"/>
          <w:color w:val="000000"/>
          <w:sz w:val="24"/>
        </w:rPr>
        <w:t>. The Plan shall be administered by the Administrator.</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Powers of Administrator</w:t>
      </w:r>
      <w:r>
        <w:rPr>
          <w:rFonts w:ascii="Times New Roman" w:hAnsi="Times New Roman"/>
          <w:color w:val="000000"/>
          <w:sz w:val="24"/>
        </w:rPr>
        <w:t>. The Administrator shall have the power and authority to grant Awards consistent with the terms of the Plan, including the power and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select the individuals to whom Awards may from time to time be granted;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the number of shares of Stock or, in the case of a Cash-Based Award, the amount of cash, to be covered by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determine and, subject to Section 16,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accelerate at any time the exercisability or vesting of all or any portion of any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provisions of Section 5(c) or Section 6(d), as applicable, to extend at any time the period in which Stock Options and Stock Appreciation Rights may be exercised;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at any time to adopt, alter and repeal such rules, guidelines and practices for administration of the Plan and for its own acts and proceedings as it deems advisable;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interpret the terms and provisions of the Plan and any Award (including related written instruments);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make all determinations it deems advisable for the administration of the Plan; to decide all disputes arising in connection with the Plan;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otherwise supervise the administration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decisions and interpretations of the Administrator shall be binding on all persons, including the Company and Plan grantees.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Delegation of Authority to Grant Awards</w:t>
      </w:r>
      <w:r>
        <w:rPr>
          <w:rFonts w:ascii="Times New Roman" w:hAnsi="Times New Roman"/>
          <w:color w:val="000000"/>
          <w:sz w:val="24"/>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Award Certificate</w:t>
      </w:r>
      <w:r>
        <w:rPr>
          <w:rFonts w:ascii="Times New Roman" w:hAnsi="Times New Roman"/>
          <w:color w:val="000000"/>
          <w:sz w:val="24"/>
        </w:rPr>
        <w:t>. Other than with respect to Cash-Based Awards,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Indemnification</w:t>
      </w:r>
      <w:r>
        <w:rPr>
          <w:rFonts w:ascii="Times New Roman" w:hAnsi="Times New Roman"/>
          <w:color w:val="000000"/>
          <w:sz w:val="24"/>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rFonts w:ascii="Times New Roman" w:hAnsi="Times New Roman"/>
          <w:color w:val="000000"/>
          <w:sz w:val="24"/>
          <w:u w:val="single"/>
        </w:rPr>
        <w:t>Non-U.S. Award Recipients</w:t>
      </w:r>
      <w:r>
        <w:rPr>
          <w:rFonts w:ascii="Times New Roman" w:hAnsi="Times New Roman"/>
          <w:color w:val="000000"/>
          <w:sz w:val="24"/>
        </w:rPr>
        <w:t xml:space="preserve">.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non-U.S. laws; (iv) establish subplans and modify exercise procedures and other terms and procedures, to the extent the Administrator determines such actions to be necessary or advisable (and such subplans and/or modifications shall be attached to this Plan as appendices);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such subplans and/or modifications shall increase the share limitations contained in Section 3(a) hereof; and (v) take any action, before or after</w:t>
      </w:r>
      <w:r>
        <w:rPr>
          <w:color w:val="000000"/>
        </w:rPr>
        <w:t xml:space="preserve"> </w:t>
      </w:r>
      <w:r>
        <w:rPr>
          <w:rFonts w:ascii="Times New Roman" w:hAnsi="Times New Roman"/>
          <w:color w:val="000000"/>
          <w:sz w:val="24"/>
        </w:rPr>
        <w:t>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ISSUABLE UNDER THE PLAN; MERGERS; SUBSTITUTION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Stock Issuable</w:t>
      </w:r>
      <w:r>
        <w:rPr>
          <w:rFonts w:ascii="Times New Roman" w:hAnsi="Times New Roman"/>
          <w:color w:val="000000"/>
          <w:sz w:val="24"/>
        </w:rPr>
        <w:t xml:space="preserve">. Subject to adjustment as provided in this Section 3, the maximum number of shares of Stock reserved and available for issuance under the Plan shall be 3,950,000 shares less one share for every one share of Stock subject to an award granted under the Prior Plans after April 1, 2024. For purposes of this limitation, the shares of Stock underlying any awards under the Plan and under the Prior Plans that are forfeited, canceled, cash-settled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Shares of Stock tendered or held back to cover tax withholding with respect to an Award other than an Option or Stock Appreciation Right or, after April 1, 2024, an award other than an option or stock appreciation right under the Prior Plans shall be added to the shares available for Awards under the Plan. Notwithstanding the foregoing, the following shares shall not be added to the shares authorized for grant under the Plan: (i) shares tendered or held back upon exercise of an Option or settlement of an Option or Stock Appreciation Right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3,950,000 shares of the Stock may be issued in the form of Incentive Stock Options. The shares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issuance under the Plan may be authorized but unissued shares of Stock, treasury Stock or shares of Stock reacquired by the Company. Upon effectiveness of the Plan, no new awards shall be granted under the Prior Plans.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Substitute Awards</w:t>
      </w:r>
      <w:r>
        <w:rPr>
          <w:rFonts w:ascii="Times New Roman" w:hAnsi="Times New Roman"/>
          <w:color w:val="000000"/>
          <w:sz w:val="24"/>
        </w:rPr>
        <w:t xml:space="preserve">.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Changes in Stock</w:t>
      </w:r>
      <w:r>
        <w:rPr>
          <w:rFonts w:ascii="Times New Roman" w:hAnsi="Times New Roman"/>
          <w:color w:val="000000"/>
          <w:sz w:val="24"/>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Mergers and Other Transactions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To the extent the parties to such Sale Event do not provide for the assumption, continuation or substitution of Awards, upon the effective time of the Sale Event, the Plan and all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Awards granted hereunder shall terminate. In such case, except as may be otherwise provided in the relevant Award Certificate, all Awards shall become fully vested and nonforfeitable as of the effective time of the Sale Event (with performance-based Awards being deemed earned at the greater of the target level of performance or actual performance). In the event of a termination of outstanding Awards granted under the Plan upon a Sale Event,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the parties to a Sale Event provide for the assumption, continuation or substitution of Awards, except as may be otherwise provided in the relevant Award Certificate, each such assumed, continued or substituted Award shall become immediately vested and exercisable or nonforfeitable (with performance-based Awards being deemed earned at the greater of the target level of performance or actual performance) upon the termination of a grantee’s Service Relationship if such termination occurs (a) within 12 months after such Sale Event or 90 days prior to such Sale Event, and (b) such termination is by the Company or any Subsidiary or successor entity without Cause or by the grantee for Good Reason. For the avoidance of doubt, upon the termination of a grantee’s Service Relationship without Cause or for Good Reason prior to the consummation of a Sale Event (1) all then unvested shares of Stock underlying Awards held by the grantee as of the date of termination will remain outstanding for a period of 90 days thereafter and remain eligible to become vested upon the consummation of such Sale Event during such period and (2) on the 90th day following such termination of employment without Cause or for Good Reason (to the extent such shares of Stock do not become vested in accordance with the terms set forth in this Section 3(d) prior to such date), all then-unvested shares of Stock underlying Awards held by such grantee will automatically and without further action be canceled and forfeited.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Maximum Awards to Non-Employee Directors</w:t>
      </w:r>
      <w:r>
        <w:rPr>
          <w:rFonts w:ascii="Times New Roman" w:hAnsi="Times New Roman"/>
          <w:color w:val="000000"/>
          <w:sz w:val="24"/>
        </w:rPr>
        <w:t>. Notwithstanding anything to the contrary in this Plan, the value of all Awards awarded under this Plan and all other cash compensation paid by the Company to any Non-Employee Director in any calendar year for services as a Non-Employee Director shall not exceed $1,000,000. For the purpose of these limitations, the value of any Award shall be its grant date fair value, as determined in accordance with FASB ASC 718 or successor provision but excluding the impact of estimated forfeitures related to service-based vesting provisions.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ELIGIBILITY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Grantees under the Plan will be such officers, employees, Non-Employee Directors or Consultants of the Company and its Affiliates as are selected from time to time by the Administrator in its sole discretion;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Awards may not be granted to officers,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OPTIONS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Award of Stock Options</w:t>
      </w:r>
      <w:r>
        <w:rPr>
          <w:rFonts w:ascii="Times New Roman" w:hAnsi="Times New Roman"/>
          <w:color w:val="000000"/>
          <w:sz w:val="24"/>
        </w:rPr>
        <w:t>. The Administrator may grant Stock Options under the Plan, subject to such restrictions and conditions as the Administrator may determine. Conditions may be based on continuing employment (or other Service Relationship) and/or achievement of pre-established performance goals and objectives. 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Stock Options shall be subject to the following terms and conditions and shall contain such additional terms and conditions, not inconsistent with the terms of the Plan, as the Administrator deems desirable. If the Administrator so determines, Stock Options may be granted in lieu of cash compensation at the grantee’s election, subject to such terms and conditions as the Administrator may establish.</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Exercise Price</w:t>
      </w:r>
      <w:r>
        <w:rPr>
          <w:rFonts w:ascii="Times New Roman" w:hAnsi="Times New Roman"/>
          <w:color w:val="000000"/>
          <w:sz w:val="24"/>
        </w:rPr>
        <w:t>. The exercise price per share for the Stock covered by a Stock Option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Option Term</w:t>
      </w:r>
      <w:r>
        <w:rPr>
          <w:rFonts w:ascii="Times New Roman" w:hAnsi="Times New Roman"/>
          <w:color w:val="000000"/>
          <w:sz w:val="24"/>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Notwithstanding the foregoing, to the extent permitted by Section 409A of the Code, in the event that on the last business day of the term of a Stock Option other than an Incentive Stock Option (x) the exercise of the Stock Option is prohibited by applicable law or (y) Stock may not be purchased or sold by the holder of such Stock Option due to the “black-out period” of a Company policy or a “lock-up” agreement undertaken in connection with an issuance of securities by the Company, the term of the Stock Option shall be extended to the date that is 30 days following the end of the legal prohibition, black-out period or lock-up agreement and provided further that no extension will be made if the exercise price of such Stock Option at the date the initial term would otherwise expire is equal to or in excess of the Fair Market Value of a share of Stock on such date.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Exercisability; Rights of a Stockholder</w:t>
      </w:r>
      <w:r>
        <w:rPr>
          <w:rFonts w:ascii="Times New Roman" w:hAnsi="Times New Roman"/>
          <w:color w:val="000000"/>
          <w:sz w:val="24"/>
        </w:rPr>
        <w:t>. Stock Options shall become exercisable at such time or times, whether or not in installments, as determined by the Administrator at or after the grant date. A grantee shall have the rights of a stockholder only as to shares acquired upon the exercise of a Stock Option and not as to unexercised Stock Options.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Method of Exercise</w:t>
      </w:r>
      <w:r>
        <w:rPr>
          <w:rFonts w:ascii="Times New Roman" w:hAnsi="Times New Roman"/>
          <w:color w:val="000000"/>
          <w:sz w:val="24"/>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cash, by certified or bank check or other instrument acceptable to the Administrator;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Through the delivery (or attestation to the ownership following such procedures as the Company may prescribe) of shares of Stock that are owned by the grantee and not then subject to restrictions under any Company plan. Such surrendered shares shall be valued at Fair Market Value on the exercise date;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left"/>
        <w:rPr/>
      </w:pPr>
      <w:r>
        <w:rPr>
          <w:rFonts w:ascii="Times New Roman" w:hAnsi="Times New Roman"/>
          <w:color w:val="000000"/>
          <w:sz w:val="24"/>
        </w:rPr>
        <w:t xml:space="preserve">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in the event the grantee chooses to pay the purchase price as so provided, the grantee and the broker shall comply with such procedures and enter into such agreements of indemnity and other agreements as the Company prescribes as a condition of such payment procedure; or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Payment instruments will be received subject to collection. The transfer to the grantee on the records of the Company or of the transfer agent of the shares of Stock to be purchased pursuant to the exercise of a Stock Option will be contingent upon receipt from the grantee (or a purchaser acting in the grantee’s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grantee). In the event a grantee chooses to pay the purchase price by previously-owned shares of Stock through the attestation method, the number of shares of Stock transferred to the grantee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rFonts w:ascii="Times New Roman" w:hAnsi="Times New Roman"/>
          <w:color w:val="000000"/>
          <w:sz w:val="24"/>
          <w:u w:val="single"/>
        </w:rPr>
        <w:t>Annual Limit on Incentive Stock Options</w:t>
      </w:r>
      <w:r>
        <w:rPr>
          <w:rFonts w:ascii="Times New Roman" w:hAnsi="Times New Roman"/>
          <w:color w:val="000000"/>
          <w:sz w:val="24"/>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 grantee during any calendar year shall not exceed $100,000. To the extent that any Stock Option exceeds this limit, it shall constitute a Non-Qualified Stock Option.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STOCK APPRECIATION RIGHTS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Award of Stock Appreciation Rights</w:t>
      </w:r>
      <w:r>
        <w:rPr>
          <w:rFonts w:ascii="Times New Roman" w:hAnsi="Times New Roman"/>
          <w:color w:val="000000"/>
          <w:sz w:val="24"/>
        </w:rPr>
        <w:t>. The Administrator may grant Stock Appreciation Rights under the Plan, subject to such restrictions and conditions as the Administrator may determine. Conditions may be based on continuing employment (or other Service Relationship) and/or achievement of pre-established performance goals and objectives..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Exercise Price of Stock Appreciation Rights</w:t>
      </w:r>
      <w:r>
        <w:rPr>
          <w:rFonts w:ascii="Times New Roman" w:hAnsi="Times New Roman"/>
          <w:color w:val="000000"/>
          <w:sz w:val="24"/>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Grant and Exercise of Stock Appreciation Rights</w:t>
      </w:r>
      <w:r>
        <w:rPr>
          <w:rFonts w:ascii="Times New Roman" w:hAnsi="Times New Roman"/>
          <w:color w:val="000000"/>
          <w:sz w:val="24"/>
        </w:rPr>
        <w:t>. Stock Appreciation Rights may be granted by the Administrator independently of any Stock Option.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Terms and Conditions of Stock Appreciation Rights</w:t>
      </w:r>
      <w:r>
        <w:rPr>
          <w:rFonts w:ascii="Times New Roman" w:hAnsi="Times New Roman"/>
          <w:color w:val="000000"/>
          <w:sz w:val="24"/>
        </w:rPr>
        <w:t xml:space="preserve">. Stock Appreciation Rights shall be subject to such terms and conditions as shall be determined on or after the date of grant by the Administrator, and such terms and conditions may differ among individual Awards and grantees. The term of a Stock Appreciation Right may not exceed ten years. Notwithstanding the foregoing, to the extent permitted by Section 409A of the Code, in the event that on the last business day of the term of a Stock Appreciation Right (x) the exercise of the Stock Appreciation Right is prohibited by applicable law or (y) shares may not be purchased or sold by the holder of such Stock Appreciation Right due to the “black-out period” of a Company policy or a “lock-up” agreement undertaken in connection with an issuance of securities by the Company, the term of the Stock Appreciation Right shall be extended to the date that is 30 days following the end of the legal prohibition, black-out period or lock-up agreement and provided further that no extension will be made if the exercise price of such Stock Appreciation Right at the date the initial term would otherwise expire is equal to or in excess of the Fair Market Value of a share of Stock on such date.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AWARDS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Nature of Restricted Stock Awards</w:t>
      </w:r>
      <w:r>
        <w:rPr>
          <w:rFonts w:ascii="Times New Roman" w:hAnsi="Times New Roman"/>
          <w:color w:val="000000"/>
          <w:sz w:val="24"/>
        </w:rPr>
        <w:t>. The Administrator may grant Restricted Stock Awards under the Plan, subject to such restrictions and conditions as the Administrator may determine. Conditions may be based on continuing employment (or other Service Relationship) and/or achievement of pre-established performance goals and objectives.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xml:space="preserve">. Upon the grant of the Restricted Stock Award and payment of any applicable purchase price, a grantee shall have the rights of a stockholder with respect to the voting of the Restricted Shares and receipt of dividends; </w:t>
      </w:r>
      <w:r>
        <w:rPr>
          <w:rFonts w:ascii="Times New Roman" w:hAnsi="Times New Roman"/>
          <w:i/>
          <w:color w:val="000000"/>
          <w:sz w:val="24"/>
        </w:rPr>
        <w:t>provided</w:t>
      </w:r>
      <w:r>
        <w:rPr>
          <w:color w:val="000000"/>
        </w:rPr>
        <w:t xml:space="preserve"> </w:t>
      </w:r>
      <w:r>
        <w:rPr>
          <w:rFonts w:ascii="Times New Roman" w:hAnsi="Times New Roman"/>
          <w:color w:val="000000"/>
          <w:sz w:val="24"/>
        </w:rPr>
        <w:t>that any dividends paid by the Company during the vesting period shall accrue and shall not be paid to the grantee until and only to the extent the Restricted Stock Award vests. Unless the Administrator otherwise determines,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prescribes.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Restrictions</w:t>
      </w:r>
      <w:r>
        <w:rPr>
          <w:rFonts w:ascii="Times New Roman" w:hAnsi="Times New Roman"/>
          <w:color w:val="000000"/>
          <w:sz w:val="24"/>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Vesting of Restricted Shares</w:t>
      </w:r>
      <w:r>
        <w:rPr>
          <w:rFonts w:ascii="Times New Roman" w:hAnsi="Times New Roman"/>
          <w:color w:val="000000"/>
          <w:sz w:val="24"/>
        </w:rPr>
        <w:t xml:space="preserve">. The Administrator shall specify the date or dates and/or the attainment of pre-established performance goals, objectives and other conditions on which the non-transferability of the Restricted Shares and the Company’s right of repurchase or forfeiture shall lapse.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Subsequent to such date or dates and/or the attainment of such pre-established performance goals, objectives and other conditions, the shares on which all restrictions have lapsed shall no longer be Restricted Shares and shall be deemed “vested.”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RESTRICTED STOCK UNITS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Nature of Restricted Stock Units</w:t>
      </w:r>
      <w:r>
        <w:rPr>
          <w:rFonts w:ascii="Times New Roman" w:hAnsi="Times New Roman"/>
          <w:color w:val="000000"/>
          <w:sz w:val="24"/>
        </w:rPr>
        <w:t>. The Administrator may grant Restricted Stock Units under the Plan, subject to such restrictions and conditions as the Administrator may determine. Conditions may be based on continuing employment (or other Service Relationship) and/or achievement of pre-established performance goals and objectives. Restricted Stock Units may be settled in shares of Stock (or cash, to the extent explicitly provided for in the Award Certificate) upon the satisfaction of such restrictions and conditions.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applicable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Election to Receive Restricted Stock Units in Lieu of Compensation</w:t>
      </w:r>
      <w:r>
        <w:rPr>
          <w:rFonts w:ascii="Times New Roman" w:hAnsi="Times New Roman"/>
          <w:color w:val="000000"/>
          <w:sz w:val="24"/>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Rights as a Stockholder</w:t>
      </w:r>
      <w:r>
        <w:rPr>
          <w:rFonts w:ascii="Times New Roman" w:hAnsi="Times New Roman"/>
          <w:color w:val="000000"/>
          <w:sz w:val="24"/>
        </w:rPr>
        <w:t xml:space="preserve">. A grantee shall have the rights as a stockholder only as to shares of Stock acquired by the grantee upon settlement of Restricted Stock Units;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grantee may be credited with Dividend Equivalent Rights with respect to the grantee’s Restricted Stock Units, subject to the provisions of Section 11 and such terms and conditions as the Administrator may determine.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UNRESTRICTED STOCK AWARDS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Grant or Sale of Unrestricted Stock</w:t>
      </w:r>
      <w:r>
        <w:rPr>
          <w:rFonts w:ascii="Times New Roman" w:hAnsi="Times New Roman"/>
          <w:color w:val="000000"/>
          <w:sz w:val="24"/>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10.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CASH-BASED AWARDS</w:t>
      </w:r>
    </w:p>
    <w:p>
      <w:pPr>
        <w:pStyle w:val="TextBody"/>
        <w:bidi w:val="0"/>
        <w:spacing w:before="0" w:after="240"/>
        <w:jc w:val="left"/>
        <w:rPr>
          <w:rFonts w:ascii="Times New Roman" w:hAnsi="Times New Roman"/>
          <w:sz w:val="20"/>
        </w:rPr>
      </w:pPr>
      <w:r>
        <w:rPr>
          <w:rFonts w:ascii="Times New Roman" w:hAnsi="Times New Roman"/>
          <w:color w:val="000000"/>
          <w:sz w:val="24"/>
          <w:u w:val="single"/>
        </w:rPr>
        <w:t>Grant of Cash-Based Awards</w:t>
      </w:r>
      <w:r>
        <w:rPr>
          <w:rFonts w:ascii="Times New Roman" w:hAnsi="Times New Roman"/>
          <w:color w:val="000000"/>
          <w:sz w:val="24"/>
        </w:rPr>
        <w:t>. The Administrator may grant Cash-Based Awards under the Plan.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11.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DIVIDEND EQUIVALENT RIGHTS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Dividend Equivalent Rights</w:t>
      </w:r>
      <w:r>
        <w:rPr>
          <w:rFonts w:ascii="Times New Roman" w:hAnsi="Times New Roman"/>
          <w:color w:val="000000"/>
          <w:sz w:val="24"/>
        </w:rPr>
        <w:t>. The Administrator may grant Dividend Equivalent Rights under the Plan.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Notwithstanding anything to the contrary, no Dividend Equivalent Rights shall be granted with respect to any Stock Options or Stock Appreciation Rights.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Termination</w:t>
      </w:r>
      <w:r>
        <w:rPr>
          <w:rFonts w:ascii="Times New Roman" w:hAnsi="Times New Roman"/>
          <w:color w:val="000000"/>
          <w:sz w:val="24"/>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12.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Transferability of Awards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Transferability</w:t>
      </w:r>
      <w:r>
        <w:rPr>
          <w:rFonts w:ascii="Times New Roman" w:hAnsi="Times New Roman"/>
          <w:color w:val="000000"/>
          <w:sz w:val="24"/>
        </w:rPr>
        <w:t>. Except as provided in Section 12(b) below,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Administrator Action</w:t>
      </w:r>
      <w:r>
        <w:rPr>
          <w:rFonts w:ascii="Times New Roman" w:hAnsi="Times New Roman"/>
          <w:color w:val="000000"/>
          <w:sz w:val="24"/>
        </w:rPr>
        <w:t xml:space="preserve">. Notwithstanding Section 12(a), the Administrator, in its discretion, may provide either in the Award Certificate regarding a given Award or by subsequent written approval that the grantee may transfer the grantee’s Awards (other than Incentive Stock Options) to the grantee’s immediate family members, to trusts for the benefit of such family members or to partnerships in which such family members are the only partners,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transferee agrees in writing with the Company to be bound by all of the terms and conditions of this Plan and the applicable Award. In no event may an Award be transferred by a grantee for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Family Member</w:t>
      </w:r>
      <w:r>
        <w:rPr>
          <w:rFonts w:ascii="Times New Roman" w:hAnsi="Times New Roman"/>
          <w:color w:val="000000"/>
          <w:sz w:val="24"/>
        </w:rPr>
        <w:t>.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Designation of Beneficiary</w:t>
      </w:r>
      <w:r>
        <w:rPr>
          <w:rFonts w:ascii="Times New Roman" w:hAnsi="Times New Roman"/>
          <w:color w:val="000000"/>
          <w:sz w:val="24"/>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13.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TAX WITHHOLDING</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Payment by Grantee</w:t>
      </w:r>
      <w:r>
        <w:rPr>
          <w:rFonts w:ascii="Times New Roman" w:hAnsi="Times New Roman"/>
          <w:color w:val="000000"/>
          <w:sz w:val="24"/>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Payment in Stock</w:t>
      </w:r>
      <w:r>
        <w:rPr>
          <w:rFonts w:ascii="Times New Roman" w:hAnsi="Times New Roman"/>
          <w:color w:val="000000"/>
          <w:sz w:val="24"/>
        </w:rPr>
        <w:t xml:space="preserve">. The Administrator may require the Company or any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 or any Affiliate’s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14.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Section 409A awards</w:t>
      </w:r>
    </w:p>
    <w:p>
      <w:pPr>
        <w:pStyle w:val="TextBody"/>
        <w:bidi w:val="0"/>
        <w:spacing w:before="0" w:after="240"/>
        <w:jc w:val="left"/>
        <w:rPr>
          <w:rFonts w:ascii="Times New Roman" w:hAnsi="Times New Roman"/>
          <w:sz w:val="20"/>
        </w:rPr>
      </w:pPr>
      <w:r>
        <w:rPr>
          <w:rFonts w:ascii="Times New Roman" w:hAnsi="Times New Roman"/>
          <w:color w:val="000000"/>
          <w:sz w:val="24"/>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hAnsi="Times New Roman"/>
          <w:b/>
          <w:i/>
          <w:color w:val="000000"/>
          <w:sz w:val="24"/>
        </w:rPr>
        <w:t>409A Award</w:t>
      </w:r>
      <w:r>
        <w:rPr>
          <w:rFonts w:ascii="Times New Roman" w:hAnsi="Times New Roman"/>
          <w:color w:val="000000"/>
          <w:sz w:val="20"/>
        </w:rPr>
        <w:t>”</w:t>
      </w:r>
      <w:r>
        <w:rPr>
          <w:rFonts w:ascii="Times New Roman" w:hAnsi="Times New Roman"/>
          <w:color w:val="000000"/>
          <w:sz w:val="24"/>
        </w:rPr>
        <w:t>), the Award shall be subject to such additional rules and requirements as specified by the Administrator from time to time in order to comply with Section 409A.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with respect to Awards under the Plan, including under Section 409A.</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15.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TERMINATION OF SERVICE RELATIONSHIP, TRANSFER, LEAVE OF ABSENCE, ETC.</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Termination of Service Relationship</w:t>
      </w:r>
      <w:r>
        <w:rPr>
          <w:rFonts w:ascii="Times New Roman" w:hAnsi="Times New Roman"/>
          <w:color w:val="000000"/>
          <w:sz w:val="24"/>
        </w:rPr>
        <w:t xml:space="preserve">. If the grantee’s Service Relationship is with an Affiliate and such Affiliate ceases to be an Affiliate, the grantee shall be deemed to have terminated the grantee’s Service Relationship for purposes of the Plan.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the Plan, the following events shall not be deemed a termination of a Service Relationship: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transfer of employment from the Company to an Affiliate or vice versa, or from one Affiliate to another;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16.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AMENDMENTS AND TERMINATION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or take any other action with respect to a Stock Option or Stock Appreciation Right that would be treated as a repricing under the rules and regulations of the principal U.S. national securities exchange on which the Stock is listed.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subject to approval by Company stockholders entitled to vote at a meeting of stockholders. Nothing in this Section 16 shall limit the Administrator’s authority to take any action permitted pursuant to Section 3(c) or 3(d).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17.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STATUS OF PLAN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existence of such trusts or other arrangements is consistent with the foregoing sentence.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18.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GENERAL PROVISIONS</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left"/>
        <w:rPr/>
      </w:pPr>
      <w:r>
        <w:rPr>
          <w:rFonts w:ascii="Times New Roman" w:hAnsi="Times New Roman"/>
          <w:color w:val="000000"/>
          <w:sz w:val="24"/>
          <w:u w:val="single"/>
        </w:rPr>
        <w:t>No Distribution</w:t>
      </w:r>
      <w:r>
        <w:rPr>
          <w:rFonts w:ascii="Times New Roman" w:hAnsi="Times New Roman"/>
          <w:color w:val="000000"/>
          <w:sz w:val="24"/>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left"/>
        <w:rPr/>
      </w:pPr>
      <w:r>
        <w:rPr>
          <w:rFonts w:ascii="Times New Roman" w:hAnsi="Times New Roman"/>
          <w:color w:val="000000"/>
          <w:sz w:val="24"/>
          <w:u w:val="single"/>
        </w:rPr>
        <w:t>Issuance of Stock</w:t>
      </w:r>
      <w:r>
        <w:rPr>
          <w:rFonts w:ascii="Times New Roman" w:hAnsi="Times New Roman"/>
          <w:color w:val="000000"/>
          <w:sz w:val="24"/>
        </w:rPr>
        <w:t xml:space="preserve">.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has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left"/>
        <w:rPr/>
      </w:pPr>
      <w:r>
        <w:rPr>
          <w:rFonts w:ascii="Times New Roman" w:hAnsi="Times New Roman"/>
          <w:color w:val="000000"/>
          <w:sz w:val="24"/>
          <w:u w:val="single"/>
        </w:rPr>
        <w:t>No Fractional Shares</w:t>
      </w:r>
      <w:r>
        <w:rPr>
          <w:rFonts w:ascii="Times New Roman" w:hAnsi="Times New Roman"/>
          <w:color w:val="000000"/>
          <w:sz w:val="24"/>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left"/>
        <w:rPr/>
      </w:pPr>
      <w:r>
        <w:rPr>
          <w:rFonts w:ascii="Times New Roman" w:hAnsi="Times New Roman"/>
          <w:color w:val="000000"/>
          <w:sz w:val="24"/>
          <w:u w:val="single"/>
        </w:rPr>
        <w:t>Stockholder Rights</w:t>
      </w:r>
      <w:r>
        <w:rPr>
          <w:rFonts w:ascii="Times New Roman" w:hAnsi="Times New Roman"/>
          <w:color w:val="000000"/>
          <w:sz w:val="24"/>
        </w:rPr>
        <w:t>. Except as otherwise provided in this Plan or an Award Certificate,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left"/>
        <w:rPr/>
      </w:pPr>
      <w:r>
        <w:rPr>
          <w:rFonts w:ascii="Times New Roman" w:hAnsi="Times New Roman"/>
          <w:color w:val="000000"/>
          <w:sz w:val="24"/>
          <w:u w:val="single"/>
        </w:rPr>
        <w:t>Other Compensation Arrangements; No Employment Rights</w:t>
      </w:r>
      <w:r>
        <w:rPr>
          <w:rFonts w:ascii="Times New Roman" w:hAnsi="Times New Roman"/>
          <w:color w:val="000000"/>
          <w:sz w:val="24"/>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left"/>
        <w:rPr/>
      </w:pPr>
      <w:r>
        <w:rPr>
          <w:rFonts w:ascii="Times New Roman" w:hAnsi="Times New Roman"/>
          <w:color w:val="000000"/>
          <w:sz w:val="24"/>
          <w:u w:val="single"/>
        </w:rPr>
        <w:t>Trading Policy Restrictions</w:t>
      </w:r>
      <w:r>
        <w:rPr>
          <w:rFonts w:ascii="Times New Roman" w:hAnsi="Times New Roman"/>
          <w:color w:val="000000"/>
          <w:sz w:val="24"/>
        </w:rPr>
        <w:t>. Option exercises and other Awards under the Plan shall be subject to the Company’s insider trading policies and procedures, as in effect from time to time.</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left"/>
        <w:rPr/>
      </w:pPr>
      <w:r>
        <w:rPr>
          <w:rFonts w:ascii="Times New Roman" w:hAnsi="Times New Roman"/>
          <w:color w:val="000000"/>
          <w:sz w:val="24"/>
          <w:u w:val="single"/>
        </w:rPr>
        <w:t>Clawback Policy</w:t>
      </w:r>
      <w:r>
        <w:rPr>
          <w:rFonts w:ascii="Times New Roman" w:hAnsi="Times New Roman"/>
          <w:color w:val="000000"/>
          <w:sz w:val="24"/>
        </w:rPr>
        <w:t xml:space="preserve">. All Awards shall be subject to reduction, cancellation, forfeiture or recoupment to the extent necessary to comply with (i) any clawback, forfeiture or other similar policy adopted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the Board or Administrator and as in effect from time to time, including the Company’s Compensation Recovery Policy (as such policy may be amended and/or restated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grantee shall be required to repay any such excess amount to the Company.</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19.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EFFECTIVE DATE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shall become effective upon stockholder approval in accordance with applicable state law, the Company’s bylaws and articles of incorporation and applicable stock exchange rules. No Awards may be granted hereunder after the tenth anniversary of the Effective Date and no Incentive Stock Options may be granted hereunder after the tenth anniversary of the date the Plan is approved by the Board.</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SECTION 20. </w:t>
      </w:r>
    </w:p>
    <w:p>
      <w:pPr>
        <w:pStyle w:val="TextBody"/>
        <w:bidi w:val="0"/>
        <w:spacing w:before="0" w:after="240"/>
        <w:jc w:val="left"/>
        <w:rPr>
          <w:rFonts w:ascii="Times New Roman" w:hAnsi="Times New Roman"/>
          <w:caps/>
          <w:color w:val="000000"/>
          <w:sz w:val="24"/>
          <w:u w:val="single"/>
        </w:rPr>
      </w:pPr>
      <w:r>
        <w:rPr>
          <w:rFonts w:ascii="Times New Roman" w:hAnsi="Times New Roman"/>
          <w:caps/>
          <w:color w:val="000000"/>
          <w:sz w:val="24"/>
          <w:u w:val="single"/>
        </w:rPr>
        <w:t>GOVERNING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Plan and all Awards and actions taken thereunder shall be governed by, and construed in accordance with, the laws of the State of Delaware, applied without regard to conflict of law principles.</w:t>
      </w:r>
    </w:p>
    <w:p>
      <w:pPr>
        <w:pStyle w:val="TextBody"/>
        <w:bidi w:val="0"/>
        <w:spacing w:before="600" w:after="240"/>
        <w:jc w:val="left"/>
        <w:rPr>
          <w:rFonts w:ascii="Times New Roman" w:hAnsi="Times New Roman"/>
          <w:color w:val="000000"/>
          <w:sz w:val="24"/>
        </w:rPr>
      </w:pPr>
      <w:r>
        <w:rPr>
          <w:rFonts w:ascii="Times New Roman" w:hAnsi="Times New Roman"/>
          <w:color w:val="000000"/>
          <w:sz w:val="24"/>
        </w:rPr>
        <w:t>DATE APPROVED BY BOARD OF DIRECTORS: April 9, 2024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APPROVED BY STOCKHOLDERS: June 11,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GLOBAL INCENTIVE STOCK OPTION AGREEMENT</w:t>
        <w:br/>
        <w:t>UNDER THE HUBSPOT, INC.</w:t>
        <w:b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of Optionee: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of Option Shares: </w:t>
      </w:r>
    </w:p>
    <w:p>
      <w:pPr>
        <w:pStyle w:val="TextBody"/>
        <w:bidi w:val="0"/>
        <w:jc w:val="both"/>
        <w:rPr>
          <w:rFonts w:ascii="Times New Roman" w:hAnsi="Times New Roman"/>
          <w:color w:val="000000"/>
          <w:sz w:val="24"/>
        </w:rPr>
      </w:pPr>
      <w:r>
        <w:rPr>
          <w:rFonts w:ascii="Times New Roman" w:hAnsi="Times New Roman"/>
          <w:color w:val="000000"/>
          <w:sz w:val="24"/>
        </w:rPr>
        <w:t>Option Exercise Price per Share: $</w:t>
      </w:r>
    </w:p>
    <w:p>
      <w:pPr>
        <w:pStyle w:val="TextBody"/>
        <w:bidi w:val="0"/>
        <w:jc w:val="both"/>
        <w:rPr>
          <w:rFonts w:ascii="Times New Roman" w:hAnsi="Times New Roman"/>
          <w:b/>
          <w:color w:val="000000"/>
          <w:sz w:val="24"/>
        </w:rPr>
      </w:pPr>
      <w:r>
        <w:rPr>
          <w:rFonts w:ascii="Times New Roman" w:hAnsi="Times New Roman"/>
          <w:b/>
          <w:color w:val="000000"/>
          <w:sz w:val="24"/>
        </w:rPr>
        <w:t>[FMV on Grant Date (110% of FMV if a 10% owner)]</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jc w:val="both"/>
        <w:rPr>
          <w:rFonts w:ascii="Times New Roman" w:hAnsi="Times New Roman"/>
          <w:color w:val="000000"/>
          <w:sz w:val="24"/>
        </w:rPr>
      </w:pPr>
      <w:r>
        <w:rPr>
          <w:rFonts w:ascii="Times New Roman" w:hAnsi="Times New Roman"/>
          <w:color w:val="000000"/>
          <w:sz w:val="24"/>
        </w:rPr>
        <w:t xml:space="preserve">Expiration Date: </w:t>
      </w:r>
    </w:p>
    <w:p>
      <w:pPr>
        <w:pStyle w:val="TextBody"/>
        <w:bidi w:val="0"/>
        <w:jc w:val="both"/>
        <w:rPr>
          <w:rFonts w:ascii="Times New Roman" w:hAnsi="Times New Roman"/>
          <w:b/>
          <w:color w:val="000000"/>
          <w:sz w:val="24"/>
        </w:rPr>
      </w:pPr>
      <w:r>
        <w:rPr>
          <w:rFonts w:ascii="Times New Roman" w:hAnsi="Times New Roman"/>
          <w:b/>
          <w:color w:val="000000"/>
          <w:sz w:val="24"/>
        </w:rPr>
        <w:t>[No more than 10 years (5 years if a 10% owner)]</w:t>
      </w:r>
    </w:p>
    <w:p>
      <w:pPr>
        <w:pStyle w:val="TextBody"/>
        <w:bidi w:val="0"/>
        <w:spacing w:before="480" w:after="24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Incentive Stock Option Award Agreement, including any additional terms and conditions for the Optionee’s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Incentive Stock Option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to the Optionee named above an option (the “</w:t>
      </w:r>
      <w:r>
        <w:rPr>
          <w:rFonts w:ascii="Times New Roman" w:hAnsi="Times New Roman"/>
          <w:b/>
          <w:i/>
          <w:color w:val="000000"/>
          <w:sz w:val="24"/>
        </w:rPr>
        <w:t>Stock Option</w:t>
      </w:r>
      <w:r>
        <w:rPr>
          <w:rFonts w:ascii="Times New Roman" w:hAnsi="Times New Roman"/>
          <w:color w:val="000000"/>
          <w:sz w:val="20"/>
        </w:rPr>
        <w:t>”</w:t>
      </w:r>
      <w:r>
        <w:rPr>
          <w:rFonts w:ascii="Times New Roman" w:hAnsi="Times New Roman"/>
          <w:color w:val="000000"/>
          <w:sz w:val="24"/>
        </w:rPr>
        <w:t>) to purchase on or prior to the Expiration Date specified above all or part of the number of shares of the Company’s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specified above at the Option Exercise Price per Share specified above subject to the terms and conditions set forth herein and in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Exercisability Schedule</w:t>
      </w:r>
      <w:r>
        <w:rPr>
          <w:rFonts w:ascii="Times New Roman" w:hAnsi="Times New Roman"/>
          <w:color w:val="000000"/>
          <w:sz w:val="24"/>
        </w:rPr>
        <w:t>.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w:t>
      </w:r>
    </w:p>
    <w:tbl>
      <w:tblPr>
        <w:tblW w:w="4589" w:type="dxa"/>
        <w:jc w:val="left"/>
        <w:tblInd w:w="0" w:type="dxa"/>
        <w:tblLayout w:type="fixed"/>
        <w:tblCellMar>
          <w:top w:w="28" w:type="dxa"/>
          <w:left w:w="28" w:type="dxa"/>
          <w:bottom w:w="28" w:type="dxa"/>
          <w:right w:w="28" w:type="dxa"/>
        </w:tblCellMar>
      </w:tblPr>
      <w:tblGrid>
        <w:gridCol w:w="2626"/>
        <w:gridCol w:w="1963"/>
      </w:tblGrid>
      <w:tr>
        <w:trPr/>
        <w:tc>
          <w:tcPr>
            <w:tcW w:w="262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r>
            <w:r>
              <w:rPr>
                <w:rFonts w:ascii="Times New Roman" w:hAnsi="Times New Roman"/>
                <w:color w:val="000000"/>
                <w:sz w:val="24"/>
                <w:u w:val="single"/>
              </w:rPr>
              <w:br/>
              <w:t>Option Shares Exercisable</w:t>
            </w:r>
          </w:p>
        </w:tc>
        <w:tc>
          <w:tcPr>
            <w:tcW w:w="1963"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u w:val="single"/>
              </w:rPr>
            </w:pPr>
            <w:r>
              <w:rPr>
                <w:rFonts w:ascii="Times New Roman" w:hAnsi="Times New Roman"/>
                <w:color w:val="000000"/>
                <w:sz w:val="24"/>
                <w:u w:val="single"/>
              </w:rPr>
              <w:t>Exercisability Date</w:t>
            </w:r>
          </w:p>
        </w:tc>
      </w:tr>
      <w:tr>
        <w:trPr/>
        <w:tc>
          <w:tcPr>
            <w:tcW w:w="2626" w:type="dxa"/>
            <w:tcBorders/>
            <w:tcMar>
              <w:top w:w="0" w:type="dxa"/>
              <w:left w:w="0" w:type="dxa"/>
              <w:bottom w:w="0" w:type="dxa"/>
              <w:right w:w="0" w:type="dxa"/>
            </w:tcMar>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40"/>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in the event that the Optionee’s Service Relationship terminates due to the Optionee’s death, then the Option Shares shall be deemed fully vested and exercisable upon the date of the Optionee’s death.</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Once exercisable, this Stock Option shall continue to be exercisable at any time or times prior to the close of business on the Expiration Date, subject to the provisions hereof and of the Plan.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Manner of 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Optionee may exercise this Stock Option only in the following manner: from time to time on or prior to the Expiration Date of this Stock Option, the Optionee may give written notice to the Administrator of the Optionee’s election to exercise any exercisable portion of this Stock Option at the time of such notice and purchase the corresponding Option Shares. This notice shall specify the number of Option Shares to be purchased.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of the Option Exercise Price for the Option Shares may be made by one or more of the following methods: (i) in cash, by certified or bank check or other instrument acceptable to the Administrator; (ii) if permitted by the Administrator,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transfer to the Optionee on the records of the Company or of the transfer agent of the Option Shares will be contingent upon (x) the Company’s receipt from the Optionee of the full Option Exercise Price for the Option Shares, as set forth above, (y) the fulfillment of any other requirements contained herein or in the Plan or in any other agreement or provision of laws and (z)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(and the Administrator permits the Optionee) to pay the Option Exercise Price by previously-owned Shares through the attestation method, the number of Shares transferred to the Optionee upon the exercise of the Stock Option shall be net of the Shares attested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Shares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shareholder of record on the books of the Company. Thereupon, the Optionee shall have full voting, dividend and other ownership rights with respect to such Option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Notwithstanding any other provision hereof or of the Plan, no portion of this Stock Option shall be exercisable after the Expiration Date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Optionee’s Service Relationship terminates, the period within which to exercise the Stock Option may be subject to earlier termination as set forth below.</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Termination Due to Death</w:t>
      </w:r>
      <w:r>
        <w:rPr>
          <w:rFonts w:ascii="Times New Roman" w:hAnsi="Times New Roman"/>
          <w:color w:val="000000"/>
          <w:sz w:val="24"/>
        </w:rPr>
        <w:t>. If the Optionee’s Service Relationship terminates by reason of the Optionee’s death, any portion of this Stock Option outstanding on such date may thereafter be exercised by the Optionee’s legal representative or legatee for a period of 12 months from the date of death or until the Expiration Date, if earlier.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Termination Due to Disability</w:t>
      </w:r>
      <w:r>
        <w:rPr>
          <w:rFonts w:ascii="Times New Roman" w:hAnsi="Times New Roman"/>
          <w:color w:val="000000"/>
          <w:sz w:val="24"/>
        </w:rPr>
        <w:t>.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for Cause</w:t>
      </w:r>
      <w:r>
        <w:rPr>
          <w:rFonts w:ascii="Times New Roman" w:hAnsi="Times New Roman"/>
          <w:color w:val="000000"/>
          <w:sz w:val="24"/>
        </w:rPr>
        <w:t>. If the Optionee’s Service Relationship is terminated by the Company or an Affiliate for Cause, any portion of this Stock Option outstanding on such date shall terminate immediately and be of no further force and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Other Termination</w:t>
      </w:r>
      <w:r>
        <w:rPr>
          <w:rFonts w:ascii="Times New Roman" w:hAnsi="Times New Roman"/>
          <w:color w:val="000000"/>
          <w:sz w:val="24"/>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Administrator’s determination of the reason for termination and the date of termination of the Optionee’s Service Relationship shall be conclusive and binding on the Optionee and the Optionee’s representatives or legatees.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Transferability</w:t>
      </w:r>
      <w:r>
        <w:rPr>
          <w:rFonts w:ascii="Times New Roman" w:hAnsi="Times New Roman"/>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Status of the Stock Option</w:t>
      </w:r>
      <w:r>
        <w:rPr>
          <w:rFonts w:ascii="Times New Roman" w:hAnsi="Times New Roman"/>
          <w:color w:val="000000"/>
          <w:sz w:val="24"/>
        </w:rPr>
        <w:t>. This Stock Option is intended to qualify as an “incentive stock option” under Section 422 of the U.S. Internal Revenue Code of 1986, as amended (the “</w:t>
      </w:r>
      <w:r>
        <w:rPr>
          <w:rFonts w:ascii="Times New Roman" w:hAnsi="Times New Roman"/>
          <w:b/>
          <w:i/>
          <w:color w:val="000000"/>
          <w:sz w:val="24"/>
        </w:rPr>
        <w:t>Code</w:t>
      </w:r>
      <w:r>
        <w:rPr>
          <w:rFonts w:ascii="Times New Roman" w:hAnsi="Times New Roman"/>
          <w:color w:val="000000"/>
          <w:sz w:val="20"/>
        </w:rPr>
        <w:t>”</w:t>
      </w:r>
      <w:r>
        <w:rPr>
          <w:rFonts w:ascii="Times New Roman" w:hAnsi="Times New Roman"/>
          <w:color w:val="000000"/>
          <w:sz w:val="24"/>
        </w:rPr>
        <w:t xml:space="preserve">), but the Company does not represent or warrant that this Stock Option qualifies as such. The Optionee should consult with the Optionee’s own tax advisors regarding the tax effects of this Stock Option and the requirements necessary to obtain favorable income tax treatment under Section 422 of the Code, including, but not limited to, holding period requirements and that </w:t>
      </w:r>
      <w:r>
        <w:rPr>
          <w:rFonts w:ascii="Times New Roman" w:hAnsi="Times New Roman"/>
          <w:b/>
          <w:i/>
          <w:color w:val="000000"/>
          <w:sz w:val="24"/>
        </w:rPr>
        <w:t>this Stock Option must be exercised within three months after termination of employment as an employee (or 12 months in the case of death or disability) to qualify as an “incentive stock option.</w:t>
      </w:r>
      <w:r>
        <w:rPr>
          <w:rFonts w:ascii="Times New Roman" w:hAnsi="Times New Roman"/>
          <w:color w:val="000000"/>
          <w:sz w:val="20"/>
        </w:rPr>
        <w:t xml:space="preserve">” </w:t>
      </w:r>
      <w:r>
        <w:rPr>
          <w:rFonts w:ascii="Times New Roman" w:hAnsi="Times New Roman"/>
          <w:color w:val="000000"/>
          <w:sz w:val="24"/>
        </w:rPr>
        <w:t>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shares to the Optionee, or within the two-year period beginning on the day after the grant of this Stock Option, the Optionee will so notify the Company within 30 days after such disposition.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Optionee acknowledges that, regardless of any action taken by the Company or, if different, the Affiliate employing the Optionee (the “</w:t>
      </w:r>
      <w:r>
        <w:rPr>
          <w:rFonts w:ascii="Times New Roman" w:hAnsi="Times New Roman"/>
          <w:b/>
          <w:i/>
          <w:color w:val="000000"/>
          <w:sz w:val="24"/>
        </w:rPr>
        <w:t>Employer</w:t>
      </w:r>
      <w:r>
        <w:rPr>
          <w:rFonts w:ascii="Times New Roman" w:hAnsi="Times New Roman"/>
          <w:color w:val="000000"/>
          <w:sz w:val="20"/>
        </w:rPr>
        <w:t>”</w:t>
      </w:r>
      <w:r>
        <w:rPr>
          <w:rFonts w:ascii="Times New Roman" w:hAnsi="Times New Roman"/>
          <w:color w:val="000000"/>
          <w:sz w:val="24"/>
        </w:rPr>
        <w:t>), the ultimate liability for all income tax, social insurance, payroll tax, fringe benefits tax, payment on account or other tax</w:t>
        <w:noBreakHyphen/>
        <w:t>related items related to the Optionee’s participation in the Plan and legally applicable to the Optionee or deemed by the Company or the Employer in its discretion to be an appropriate charge to the Optionee even if legally applicable to the Company or the Employer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sz w:val="20"/>
        </w:rPr>
      </w:pPr>
      <w:r>
        <w:rPr>
          <w:rFonts w:ascii="Times New Roman" w:hAnsi="Times New Roman"/>
          <w:color w:val="000000"/>
          <w:sz w:val="24"/>
        </w:rPr>
        <w:t>(b) 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or rights with regard to all Tax-Related Items by one or a combination of the following: (i) withholding from the Optionee’s wages or other cash compensation payable to the Optionee; (ii) allowing or requiring the Optionee to make a cash payment to cover the Tax-Related Items; (iii) withholding from proceeds of the sale of Shares acquired upon exercise of this Stock Option either through a voluntary sale or through a mandatory sale arranged by the Company (on the Optionee’s behalf pursuant to this authorization without further consent); (iv) withholding from the Shares to be issued to the Optionee upon exercise of this Stock Option;</w:t>
      </w:r>
      <w:r>
        <w:rPr>
          <w:rFonts w:ascii="Times New Roman" w:hAnsi="Times New Roman"/>
          <w:color w:val="000000"/>
          <w:sz w:val="20"/>
        </w:rPr>
        <w:t xml:space="preserve"> </w:t>
      </w:r>
      <w:r>
        <w:rPr>
          <w:rFonts w:ascii="Times New Roman" w:hAnsi="Times New Roman"/>
          <w:color w:val="000000"/>
          <w:sz w:val="24"/>
        </w:rPr>
        <w:t>or (v) any other method of withholding determined by the Company and permitted by applicable law; provided, however, that that if the Optionee is a Section 16 officer of the Company under the Exchange Act, the obligation for Tax-Related Items may be satisfied only by one or a combination of methods (i), (ii) and (iii)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be able to seek a refund from the local tax authorities. In the event of under-withholding, the Optionee may be required to pay additional Tax-Related Items directly to the local tax authorities or to the Company and/or the Employer. If the obligation for Tax-Related Items is satisfied by withholding in Shares, for tax purposes, the Optionee is deemed to have been issued the full number of Shares subject to the exercised Stock Option, notwithstanding that a number of the Shares is held back solely for the purpose of paying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(d) The Optionee agrees to pay to the Company or the Employer any amount of Tax-Related Items that the Company or the Employer may be required to withhold or account for as a result of the Optionee’s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participation in the Plan that cannot be satisfied by the means previously described. The Company may refuse to issue or deliver the Shares, or the proceeds of the sale of Shares, if the Optionee fails to comply with the Optionee’s obligations in connection with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Optionee’s Service Relationship, and neither the Plan nor this Agreement shall interfere in any way with the right of the Employer to terminate the Optionee’s Service Relationship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Nature of Grant</w:t>
      </w:r>
      <w:r>
        <w:rPr>
          <w:rFonts w:ascii="Times New Roman" w:hAnsi="Times New Roman"/>
          <w:color w:val="000000"/>
          <w:sz w:val="24"/>
        </w:rPr>
        <w:t>. By accepting this Stock Option, the Optionee acknowledges, understands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Plan is established voluntarily by the Company, it is discretionary in nature, and may be modified, amended, suspended, or terminated by the Company at any time, to the extent permitted by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grant of this Stock Option is exceptional, voluntary, and occasional and does not create any contractual or other right to receive future grants of stock options, or benefits in lieu of stock options, even if stock options have been granted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decisions with respect to future stock option or other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Optionee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this Stock Option and the Option Shares subject to this Stock Option, and the income from and value of same, are not intended to replace any pension rights or compensation;</w:t>
      </w:r>
    </w:p>
    <w:p>
      <w:pPr>
        <w:pStyle w:val="TextBody"/>
        <w:bidi w:val="0"/>
        <w:spacing w:before="0" w:after="240"/>
        <w:jc w:val="both"/>
        <w:rPr>
          <w:rFonts w:ascii="Times New Roman" w:hAnsi="Times New Roman"/>
          <w:sz w:val="20"/>
        </w:rPr>
      </w:pPr>
      <w:r>
        <w:rPr>
          <w:rFonts w:ascii="Times New Roman" w:hAnsi="Times New Roman"/>
          <w:color w:val="000000"/>
          <w:sz w:val="24"/>
        </w:rPr>
        <w:t>(f) the grant of this Stock Option shall not be interpreted as forming or amending any Service Relationship with the Company or any Affiliate (including the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unless otherwise agreed with the Company, this Stock Option and the Option Shares subject to this Stock Option, and the income from and value of same, are not granted as consideration for, or in connection with, the service the Optionee may provide as a director of a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future value of the Option Shares subject to this Stock Option is unknown, indeterminable, and cannot be predicted with certainty;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if the Option Shares subject to this Stock Option do not increase in value, this Stock Option will have no value;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if the Optionee exercises this Stock Option and acquires Shares, the value of such shares may increase or decrease in value, even below the Option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no claim or entitlement to compensation or damages shall arise from forfeiture of this Stock Option resulting from the termination of the Optionee’s Service Relationship (for any reason whatsoever, whether or not later found to be invalid or in breach of applicable employment or other laws in the jurisdiction where the Optionee is employed or the terms of the Optionee’s employment agreement,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if the Optionee resides and/or works in a country outside the United States,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this Stock Option and any Option Shares subject to this Stock Option, and the income from and value of same, are not part of normal or expected compensation for any purpose;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the Company, the Employer, or any other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acquired upon exercise.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Appendix</w:t>
      </w:r>
      <w:r>
        <w:rPr>
          <w:rFonts w:ascii="Times New Roman" w:hAnsi="Times New Roman"/>
          <w:color w:val="000000"/>
          <w:sz w:val="24"/>
        </w:rPr>
        <w:t>. Notwithstanding any provision of this Global Incentive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Language</w:t>
      </w:r>
      <w:r>
        <w:rPr>
          <w:rFonts w:ascii="Times New Roman" w:hAnsi="Times New Roman"/>
          <w:color w:val="000000"/>
          <w:sz w:val="24"/>
        </w:rPr>
        <w:t>. The Optionee acknowledges that the Optionee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Waivers</w:t>
      </w:r>
      <w:r>
        <w:rPr>
          <w:rFonts w:ascii="Times New Roman" w:hAnsi="Times New Roman"/>
          <w:color w:val="000000"/>
          <w:sz w:val="24"/>
        </w:rPr>
        <w:t>. The Optionee acknowledges that a waiver by the Company of breach of any provision of this Agreement shall not operate or be construed as a waiver of any other provision of this Agreement, or of any subsequent breach by the Optionee or any other grantee</w:t>
      </w:r>
      <w:r>
        <w:rPr>
          <w:rFonts w:ascii="Times New Roman" w:hAnsi="Times New Roman"/>
          <w:b/>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Choice of Law</w:t>
      </w:r>
      <w:r>
        <w:rPr>
          <w:rFonts w:ascii="Times New Roman" w:hAnsi="Times New Roman"/>
          <w:color w:val="000000"/>
          <w:sz w:val="24"/>
        </w:rPr>
        <w:t>. This Agreement shall be governed by, and construed in accordance with, the laws of the State of Delaware, applied without regard to conflict of law principles.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this Stock Option and the Shares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Compliance with Law</w:t>
      </w:r>
      <w:r>
        <w:rPr>
          <w:rFonts w:ascii="Times New Roman" w:hAnsi="Times New Roman"/>
          <w:color w:val="000000"/>
          <w:sz w:val="24"/>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prior to the completion of any registration or qualification of the Shares under any U.S. or non-U.S. local, state, or federal securities or other applicable law or under rulings or regulations of the U.S.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with the SEC or any state or non-U.S. securities commission or to seek approval or clearance from any governmental authority for the issuance or sale of the Shares subject to this Stock Option. Further, the Optionee agrees that the Company shall have unilateral authority to amend this Agreement without the Optionee’s consent to the extent necessary to comply with securities or other laws applicable to issuance of the Shares subject to this Stock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Insider Trading Restrictions / Market Abuse Laws</w:t>
      </w:r>
      <w:r>
        <w:rPr>
          <w:rFonts w:ascii="Times New Roman" w:hAnsi="Times New Roman"/>
          <w:color w:val="000000"/>
          <w:sz w:val="24"/>
        </w:rPr>
        <w:t>. By accepting this Stock Option, the Optionee acknowledges that the Optionee is bound by all the terms and conditions of any Company’s insider trading policy as may be in effect from time to time. The Optionee further acknowledges that, depending on the Optionee’s country, the broker’s country or the country in which the Shares are listed, the Optionee may be or may become subject to insider trading restrictions and/or market abuse laws which may affect the Optionee’s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this Stock Option), or rights linked to the value of Shares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The Optionee acknowledges that it is the Optionee’s responsibility to comply with any applicable restrictions, and the Optionee should speak to the Optionee’s personal advisor on this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Optionee’s country, the Optionee may be subject to foreign asset/account, exchange control, tax reporting, or other requirements which may affect the Optionee’s ability acquire or hold Stock Options or Shares under the Plan or cash received from participating in the Plan (including dividends and the proceeds arising from the sale of Shares) in a brokerage/bank account outside the Optionee’s country. The applicable laws of the Optionee’s country may require that the Optionee report such Stock Options, Shares, accounts, assets, or transactions to the applicable authorities in such country and/or repatriate funds received in connection with the Plan to the Optionee’s country within a certain time period or according to certain procedures. The Optionee acknowledges that the Optionee is responsible for ensuring compliance with any applicable requirements and should consult the Optionee’s personal legal advisor to ensure compliance with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Clawback</w:t>
      </w:r>
      <w:r>
        <w:rPr>
          <w:rFonts w:ascii="Times New Roman" w:hAnsi="Times New Roman"/>
          <w:color w:val="000000"/>
          <w:sz w:val="24"/>
        </w:rPr>
        <w:t>. The Optionee acknowledges and agrees that this Award is subject in all respects to the Company’s Compensation Recovery Policy (the “</w:t>
      </w:r>
      <w:r>
        <w:rPr>
          <w:rFonts w:ascii="Times New Roman" w:hAnsi="Times New Roman"/>
          <w:b/>
          <w:i/>
          <w:color w:val="000000"/>
          <w:sz w:val="24"/>
        </w:rPr>
        <w:t>Clawback Policy</w:t>
      </w:r>
      <w:r>
        <w:rPr>
          <w:rFonts w:ascii="Times New Roman" w:hAnsi="Times New Roman"/>
          <w:color w:val="000000"/>
          <w:sz w:val="20"/>
        </w:rPr>
        <w:t>”</w:t>
      </w:r>
      <w:r>
        <w:rPr>
          <w:rFonts w:ascii="Times New Roman" w:hAnsi="Times New Roman"/>
          <w:color w:val="000000"/>
          <w:sz w:val="24"/>
        </w:rPr>
        <w:t>), to the extent applicable, including the Company’s ability to recoup Erroneously Awarded Compensation (as defined in the Clawback Policy) thereunder.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This Section 23 is a material term of this Agreement.</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HUBSPOT,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jc w:val="both"/>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Signature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name and address:</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8"/>
          <w:u w:val="single"/>
        </w:rPr>
      </w:pPr>
      <w:r>
        <w:rPr>
          <w:rFonts w:ascii="Times New Roman" w:hAnsi="Times New Roman"/>
          <w:b/>
          <w:color w:val="000000"/>
          <w:sz w:val="28"/>
          <w:u w:val="single"/>
        </w:rPr>
        <w:t>APPENDIX</w:t>
      </w:r>
    </w:p>
    <w:p>
      <w:pPr>
        <w:pStyle w:val="TextBody"/>
        <w:bidi w:val="0"/>
        <w:spacing w:before="0" w:after="480"/>
        <w:jc w:val="center"/>
        <w:rPr>
          <w:rFonts w:ascii="Times New Roman" w:hAnsi="Times New Roman"/>
          <w:b/>
          <w:color w:val="000000"/>
          <w:sz w:val="28"/>
        </w:rPr>
      </w:pPr>
      <w:r>
        <w:rPr>
          <w:rFonts w:ascii="Times New Roman" w:hAnsi="Times New Roman"/>
          <w:b/>
          <w:color w:val="000000"/>
          <w:sz w:val="28"/>
        </w:rPr>
        <w:t>GLOBAL INCENTIVE STOCK OPTION AGREEMENT</w:t>
        <w:br/>
        <w:t>FOR EMPLOYEES</w:t>
        <w:br/>
        <w:t>UNDER THE HUBSPOT, INC.</w:t>
        <w:br/>
        <w:t>2024 STOCK OPTION AND INCENTIVE PLAN</w:t>
      </w:r>
    </w:p>
    <w:p>
      <w:pPr>
        <w:pStyle w:val="TextBody"/>
        <w:bidi w:val="0"/>
        <w:spacing w:before="0" w:after="240"/>
        <w:jc w:val="both"/>
        <w:rPr>
          <w:rFonts w:ascii="Times New Roman" w:hAnsi="Times New Roman"/>
          <w:sz w:val="20"/>
        </w:rPr>
      </w:pPr>
      <w:r>
        <w:rPr>
          <w:rFonts w:ascii="Times New Roman" w:hAnsi="Times New Roman"/>
          <w:color w:val="000000"/>
          <w:sz w:val="24"/>
        </w:rPr>
        <w:t>Capitalized terms used but not defined in this Appendix shall have the same meanings assigned to them in the Plan and/or the Global Incentive Stock Option Agreement (the “</w:t>
      </w:r>
      <w:r>
        <w:rPr>
          <w:rFonts w:ascii="Times New Roman" w:hAnsi="Times New Roman"/>
          <w:b/>
          <w:i/>
          <w:color w:val="000000"/>
          <w:sz w:val="24"/>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Optionee not rely on the information noted herein as the only source of information relating to the consequences of participation in the Plan because the information may be out-of-date at the time the Optionee exercises the Stock Option or sells any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Optionee’s particular situation. As a result, the Company is not in a position to assure the Optionee of any particular result. Accordingly, the Optionee should seek appropriate professional advice as to how the relevant laws in the Optionee’s country may apply to the Optionee’s individual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Data Privacy Notification and Consent</w:t>
      </w:r>
      <w:r>
        <w:rPr>
          <w:rFonts w:ascii="Times New Roman" w:hAnsi="Times New Roman"/>
          <w:b/>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 By accepting the Stock Option, the Optionee explicitly and unambiguously consents to the collection, use, and transfer, in electronic or other form, of the Optionee’s personal data as described in the Agreement by and among, as applicable, the Employer, the Company and its other Affiliates for the exclusive purpose of implementing, administering, and managing the Optionee’s participation in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 The Optionee understands that the Company, the Employer, and other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or directorships held in the Company, details of all Stock Options or any other entitlement to shares awarded, canceled, vested, unvested, or outstanding in the Optionee’s favor (“Data”), for the purpose of implementing, administering, and managing the Plan</w:t>
      </w:r>
    </w:p>
    <w:p>
      <w:pPr>
        <w:pStyle w:val="TextBody"/>
        <w:bidi w:val="0"/>
        <w:spacing w:before="0" w:after="240"/>
        <w:jc w:val="both"/>
        <w:rPr>
          <w:rFonts w:ascii="Times New Roman" w:hAnsi="Times New Roman"/>
          <w:sz w:val="20"/>
        </w:rPr>
      </w:pPr>
      <w:r>
        <w:rPr>
          <w:rFonts w:ascii="Times New Roman" w:hAnsi="Times New Roman"/>
          <w:b/>
          <w:i/>
          <w:color w:val="000000"/>
          <w:sz w:val="24"/>
        </w:rPr>
        <w:t>(c) The Optionee understands that Data will be transferred to Fidelity Stock Plan Services LLC, or such other stock plan service provider as may be selected by the Company in the future, which assists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may request a list with the names and addresses of any potential recipients of the Data by contacting the Optionee’s local human resources representative. The Optionee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received upon exercise of the Stock Option may be deposited. The Optionee understands that Data will be held only as long as is necessary to implement, administer, and manage the Optionee’s participation in the Plan. The Optionee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the Optionee</w:t>
      </w:r>
      <w:r>
        <w:rPr>
          <w:rFonts w:ascii="Times New Roman" w:hAnsi="Times New Roman"/>
          <w:color w:val="000000"/>
          <w:sz w:val="20"/>
        </w:rPr>
        <w:t xml:space="preserve"> </w:t>
      </w:r>
      <w:r>
        <w:rPr>
          <w:rFonts w:ascii="Times New Roman" w:hAnsi="Times New Roman"/>
          <w:b/>
          <w:i/>
          <w:color w:val="000000"/>
          <w:sz w:val="24"/>
        </w:rPr>
        <w:t>is providing the consents herein on a purely voluntary basis. If the Optionee does not consent, or if the Optionee later seeks to revoke the consent, the Optionee’s Service Relationship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the Optionee’s ability to participate in the Plan. For more information on the consequences of the Optionee’s refusal to consent or withdrawal of consent, the Optionee understands that the Optionee may contact the local human resources representative.</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 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the Optionee will not be able to participate in the Plan if the Optionee fails to provide any such consent or agreement requested by the Company and/or the Employer.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Non-Qualified Securities</w:t>
      </w:r>
      <w:r>
        <w:rPr>
          <w:rFonts w:ascii="Times New Roman" w:hAnsi="Times New Roman"/>
          <w:color w:val="000000"/>
          <w:sz w:val="24"/>
        </w:rPr>
        <w:t>. All or a portion of the Option Shares subject to this Stock Option may be “non-qualified securities” within the meaning of the Income Tax Act (Canada). The Company may provide the Optionee with additional information and/or appropriate notification regarding the characterization of this Stock Option for Canadian income tax purposes as may be required by the Income Tax Act (Canada) and the regulations thereunder.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Method of Exercise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 any provision of the Plan or the Option Agreement, the Optionee may not pay the Option Exercise Price by using the methods of exercise set forth in Section 2(a)(ii) of the Option Agreement or the corresponding provisions of the Plan.</w:t>
      </w:r>
    </w:p>
    <w:p>
      <w:pPr>
        <w:pStyle w:val="TextBody"/>
        <w:bidi w:val="0"/>
        <w:jc w:val="both"/>
        <w:rPr>
          <w:rFonts w:ascii="Times New Roman" w:hAnsi="Times New Roman"/>
          <w:i/>
          <w:color w:val="000000"/>
          <w:sz w:val="24"/>
        </w:rPr>
      </w:pPr>
      <w:r>
        <w:rPr>
          <w:rFonts w:ascii="Times New Roman" w:hAnsi="Times New Roman"/>
          <w:i/>
          <w:color w:val="000000"/>
          <w:sz w:val="24"/>
        </w:rPr>
        <w:t>The following terms and conditions apply if the Optionee resides in Quebec: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Optionee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Optionee acknowledges and agrees that the Optionee’s personal information, including any sensitive personal information, may be transferred or disclosed outside of the province of Quebec, including to the U.S. The Optionee further authorizes the Company, the Employer, its other Affiliates, and the Administrator to disclose and discuss the Plan with their advisors. The Optionee further authorizes the Company, the Employer, its other Affiliates, and the Administrator to record information and to keep such information in the Optionee’s employee file. If applicable, the Optionee also acknowledges and authorizes the Company, the Employer, its other Affiliates, and the Administrator involved in the administration of the Plan to use technology for profiling purposes and to make automated decisions that may have an impact on the Optionee’s participation in the Plan or the administration of the Plan.</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Optionee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Stock Option,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a personal legal advisor as to whether or not this notification requirement applies.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8"/>
        </w:rPr>
        <w:t>GLOBAL NON-QUALIFIED STOCK OPTION AGREEMENT</w:t>
        <w:br/>
        <w:t>UNDER THE HubSpot, Inc.</w:t>
      </w:r>
      <w:r>
        <w:rPr>
          <w:rFonts w:ascii="Times New Roman" w:hAnsi="Times New Roman"/>
          <w:caps/>
          <w:color w:val="000000"/>
          <w:sz w:val="20"/>
        </w:rPr>
        <w:t xml:space="preserve"> </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of Optionee: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of Option Shares: </w:t>
      </w:r>
    </w:p>
    <w:p>
      <w:pPr>
        <w:pStyle w:val="TextBody"/>
        <w:bidi w:val="0"/>
        <w:jc w:val="both"/>
        <w:rPr>
          <w:rFonts w:ascii="Times New Roman" w:hAnsi="Times New Roman"/>
          <w:color w:val="000000"/>
          <w:sz w:val="24"/>
        </w:rPr>
      </w:pPr>
      <w:r>
        <w:rPr>
          <w:rFonts w:ascii="Times New Roman" w:hAnsi="Times New Roman"/>
          <w:color w:val="000000"/>
          <w:sz w:val="24"/>
        </w:rPr>
        <w:t>Option Exercise Price per Share: $</w:t>
      </w:r>
    </w:p>
    <w:p>
      <w:pPr>
        <w:pStyle w:val="TextBody"/>
        <w:bidi w:val="0"/>
        <w:jc w:val="both"/>
        <w:rPr>
          <w:rFonts w:ascii="Times New Roman" w:hAnsi="Times New Roman"/>
          <w:b/>
          <w:color w:val="000000"/>
          <w:sz w:val="24"/>
        </w:rPr>
      </w:pPr>
      <w:r>
        <w:rPr>
          <w:rFonts w:ascii="Times New Roman" w:hAnsi="Times New Roman"/>
          <w:b/>
          <w:color w:val="000000"/>
          <w:sz w:val="24"/>
        </w:rPr>
        <w:t>[FMV on Grant Date]</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Grant Date:</w:t>
      </w:r>
    </w:p>
    <w:p>
      <w:pPr>
        <w:pStyle w:val="TextBody"/>
        <w:bidi w:val="0"/>
        <w:spacing w:before="240" w:after="240"/>
        <w:jc w:val="both"/>
        <w:rPr>
          <w:rFonts w:ascii="Times New Roman" w:hAnsi="Times New Roman"/>
          <w:sz w:val="20"/>
        </w:rPr>
      </w:pPr>
      <w:r>
        <w:rPr>
          <w:rFonts w:ascii="Times New Roman" w:hAnsi="Times New Roman"/>
          <w:color w:val="000000"/>
          <w:sz w:val="24"/>
        </w:rPr>
        <w:t>Vesting Commencement Date:</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Expiration Date: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[No more than 10 years]</w:t>
      </w:r>
    </w:p>
    <w:p>
      <w:pPr>
        <w:pStyle w:val="TextBody"/>
        <w:bidi w:val="0"/>
        <w:spacing w:before="480" w:after="24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Non-Qualified Stock Option Award Agreement, including any additional terms and conditions for the Optionee’s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Non-Qualified Stock Option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to the Optionee named above an option (the “</w:t>
      </w:r>
      <w:r>
        <w:rPr>
          <w:rFonts w:ascii="Times New Roman" w:hAnsi="Times New Roman"/>
          <w:b/>
          <w:i/>
          <w:color w:val="000000"/>
          <w:sz w:val="24"/>
        </w:rPr>
        <w:t>Stock Option</w:t>
      </w:r>
      <w:r>
        <w:rPr>
          <w:rFonts w:ascii="Times New Roman" w:hAnsi="Times New Roman"/>
          <w:color w:val="000000"/>
          <w:sz w:val="20"/>
        </w:rPr>
        <w:t>”</w:t>
      </w:r>
      <w:r>
        <w:rPr>
          <w:rFonts w:ascii="Times New Roman" w:hAnsi="Times New Roman"/>
          <w:color w:val="000000"/>
          <w:sz w:val="24"/>
        </w:rPr>
        <w:t>) to purchase on or prior to the Expiration Date specified above all or part of the number of shares of the Company’s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Exercisability Schedule</w:t>
      </w:r>
      <w:r>
        <w:rPr>
          <w:rFonts w:ascii="Times New Roman" w:hAnsi="Times New Roman"/>
          <w:color w:val="000000"/>
          <w:sz w:val="24"/>
        </w:rPr>
        <w:t>. No portion of this Stock Option may be exercised until such portion has become exercisable. Except as set forth below, and subject to the discretion of the Administrator to accelerate the exercisability schedule hereunder, this Stock Option shall be exercisable with respect to the following number of Option Shares on the dates indicated below so long as the Optionee remains in a Service Relationship through the applicable date:</w:t>
      </w:r>
    </w:p>
    <w:tbl>
      <w:tblPr>
        <w:tblW w:w="4577" w:type="dxa"/>
        <w:jc w:val="left"/>
        <w:tblInd w:w="0" w:type="dxa"/>
        <w:tblLayout w:type="fixed"/>
        <w:tblCellMar>
          <w:top w:w="28" w:type="dxa"/>
          <w:left w:w="28" w:type="dxa"/>
          <w:bottom w:w="28" w:type="dxa"/>
          <w:right w:w="28" w:type="dxa"/>
        </w:tblCellMar>
      </w:tblPr>
      <w:tblGrid>
        <w:gridCol w:w="2626"/>
        <w:gridCol w:w="1951"/>
      </w:tblGrid>
      <w:tr>
        <w:trPr/>
        <w:tc>
          <w:tcPr>
            <w:tcW w:w="262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r>
            <w:r>
              <w:rPr>
                <w:rFonts w:ascii="Times New Roman" w:hAnsi="Times New Roman"/>
                <w:color w:val="000000"/>
                <w:sz w:val="24"/>
                <w:u w:val="single"/>
              </w:rPr>
              <w:br/>
              <w:t>Option Shares Exercisable</w:t>
            </w:r>
          </w:p>
        </w:tc>
        <w:tc>
          <w:tcPr>
            <w:tcW w:w="19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u w:val="single"/>
              </w:rPr>
            </w:pPr>
            <w:r>
              <w:rPr>
                <w:rFonts w:ascii="Times New Roman" w:hAnsi="Times New Roman"/>
                <w:color w:val="000000"/>
                <w:sz w:val="24"/>
                <w:u w:val="single"/>
              </w:rPr>
              <w:t>Exercisability Date</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26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_____________ (___%)</w:t>
            </w:r>
          </w:p>
        </w:tc>
        <w:tc>
          <w:tcPr>
            <w:tcW w:w="1951"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Notwithstanding the foregoing, in the event that the Optionee’s Service Relationship terminates due to the Optionee’s death, then the Option Shares shall be deemed fully vested and exercisable upon the date of the Optionee’s death.</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Once exercisable, this Stock Option shall continue to be exercisable at any time or times prior to the close of business on the Expiration Date, subject to the provisions hereof and of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Manner of Exercise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Optionee may exercise this Stock Option only in the following manner: from time to time on or prior to the Expiration Date of this Stock Option, the Optionee may give written notice to the Administrator of the Optionee’s election to exercise any exercisable portion of this Stock Option at the time of such notice and purchase the corresponding Option Shares. This notice shall specify the number of Option Shares to be purchased.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of the Option Exercise Price for the Option Shares may be made by one or more of the following methods: (i) in cash, by certified or bank check or other instrument acceptable to the Administrator; (ii) if permitted by the Administrator, through the delivery (or attestation to the ownership) of Shares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Option Shares issuable upon exercise by the largest whole number of Shares with a Fair Market Value that does not exceed the aggregate Option Exercise Price; or (v) a combination of (i), (ii), (iii) and (iv) above. Payment instruments will be received subject to collection.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transfer to the Optionee on the records of the Company or of the transfer agent of the Option Shares will be contingent upon (x) the Company’s receipt from the Optionee of the full Option Exercise Price for the Option Shares, as set forth above, (y) the fulfillment of any other requirements contained herein or in the Plan or in any other agreement or provision of laws, and (z) the receipt by the Company of any agreement, statement or other evidence that the Company may require to satisfy itself that the issuance of Option Shares and any subsequent resale of the Option Shares will be in compliance with applicable laws and regulations. In the event the Optionee chooses (and the Administrator permits the Optionee) to pay the Option Exercise Price by previously-owned Shares through the attestation method, the number of Shares transferred to the Optionee upon the exercise of the Stock Option shall be net of the Shares attested to.</w:t>
      </w:r>
    </w:p>
    <w:p>
      <w:pPr>
        <w:pStyle w:val="TextBody"/>
        <w:bidi w:val="0"/>
        <w:spacing w:before="0" w:after="240"/>
        <w:jc w:val="both"/>
        <w:rPr>
          <w:rFonts w:ascii="Times New Roman" w:hAnsi="Times New Roman"/>
          <w:sz w:val="20"/>
        </w:rPr>
      </w:pPr>
      <w:r>
        <w:rPr>
          <w:rFonts w:ascii="Times New Roman" w:hAnsi="Times New Roman"/>
          <w:color w:val="000000"/>
          <w:sz w:val="24"/>
        </w:rPr>
        <w:t>(b) The Shares purchased upon exercise of this Stock Option shall be transferred to the Optionee on the records of the Company or of the transfer agent upon compliance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shareholder of record on the books of the Company. Thereupon, the Optionee shall have full voting, dividend and other ownership rights with respect to such Option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Notwithstanding any other provision hereof or of the Plan, no portion of this Stock Option shall be exercisable after the Expiration Date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Optionee’s Service Relationship terminates, the period within which to exercise the Stock Option may be subject to earlier termination as set forth below.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Termination Due to Death</w:t>
      </w:r>
      <w:r>
        <w:rPr>
          <w:rFonts w:ascii="Times New Roman" w:hAnsi="Times New Roman"/>
          <w:color w:val="000000"/>
          <w:sz w:val="24"/>
        </w:rPr>
        <w:t>. If the Optionee’s Service Relationship terminates by reason of the Optionee’s death, any portion of this Stock Option outstanding on such date may thereafter be exercised by the Optionee’s legal representative or legatee for a period of 12 months from the date of death or until the Expiration Date, if earlier.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Termination Due to Disability</w:t>
      </w:r>
      <w:r>
        <w:rPr>
          <w:rFonts w:ascii="Times New Roman" w:hAnsi="Times New Roman"/>
          <w:color w:val="000000"/>
          <w:sz w:val="24"/>
        </w:rPr>
        <w:t>. If the Optionee’s Service Relationship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for Cause</w:t>
      </w:r>
      <w:r>
        <w:rPr>
          <w:rFonts w:ascii="Times New Roman" w:hAnsi="Times New Roman"/>
          <w:color w:val="000000"/>
          <w:sz w:val="24"/>
        </w:rPr>
        <w:t>. If the Optionee’s Service Relationship is terminated by the Company or an Affiliate for Cause, any portion of this Stock Option outstanding on such date shall terminate immediately and be of no further force and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Other Termination</w:t>
      </w:r>
      <w:r>
        <w:rPr>
          <w:rFonts w:ascii="Times New Roman" w:hAnsi="Times New Roman"/>
          <w:color w:val="000000"/>
          <w:sz w:val="24"/>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Administrator’s determination of the reason for termination and the date of termination of the Optionee’s Service Relationship shall be conclusive and binding on the Optionee and the Optionee’s representatives or legatees.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Transferability</w:t>
      </w:r>
      <w:r>
        <w:rPr>
          <w:rFonts w:ascii="Times New Roman" w:hAnsi="Times New Roman"/>
          <w:color w:val="000000"/>
          <w:sz w:val="24"/>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Optionee acknowledges that, regardless of any action taken by the Company or, if different, the Affiliate employing the Optionee (the “</w:t>
      </w:r>
      <w:r>
        <w:rPr>
          <w:rFonts w:ascii="Times New Roman" w:hAnsi="Times New Roman"/>
          <w:b/>
          <w:i/>
          <w:color w:val="000000"/>
          <w:sz w:val="24"/>
        </w:rPr>
        <w:t>Employer</w:t>
      </w:r>
      <w:r>
        <w:rPr>
          <w:rFonts w:ascii="Times New Roman" w:hAnsi="Times New Roman"/>
          <w:color w:val="000000"/>
          <w:sz w:val="20"/>
        </w:rPr>
        <w:t>”</w:t>
      </w:r>
      <w:r>
        <w:rPr>
          <w:rFonts w:ascii="Times New Roman" w:hAnsi="Times New Roman"/>
          <w:color w:val="000000"/>
          <w:sz w:val="24"/>
        </w:rPr>
        <w:t>), the ultimate liability for all income tax, social insurance, payroll tax, fringe benefits tax, payment on account or other tax</w:t>
        <w:noBreakHyphen/>
        <w:t>related items related to the Optionee’s participation in the Plan and legally applicable to the Optionee or deemed by the Company or the Employer in its discretion to be an appropriate charge to the Optionee even if legally applicable to the Company or the Employer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sz w:val="20"/>
        </w:rPr>
      </w:pPr>
      <w:r>
        <w:rPr>
          <w:rFonts w:ascii="Times New Roman" w:hAnsi="Times New Roman"/>
          <w:color w:val="000000"/>
          <w:sz w:val="24"/>
        </w:rPr>
        <w:t>(b) 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or rights with regard to all Tax-Related Items by one or a combination of the following: (i) withholding from the Optionee’s wages or other cash compensation payable to the Optionee; (ii) allowing or requiring the Optionee to make a cash payment to cover the Tax-Related Items; (iii) withholding from proceeds of the sale of Shares acquired upon exercise of this Stock Option either through a voluntary sale or through a mandatory sale arranged by the Company (on the Optionee’s behalf pursuant to this authorization without further consent); (iv) withholding from the Shares to be issued to the Optionee upon exercise of this Stock Option;</w:t>
      </w:r>
      <w:r>
        <w:rPr>
          <w:rFonts w:ascii="Times New Roman" w:hAnsi="Times New Roman"/>
          <w:color w:val="000000"/>
          <w:sz w:val="20"/>
        </w:rPr>
        <w:t xml:space="preserve"> </w:t>
      </w:r>
      <w:r>
        <w:rPr>
          <w:rFonts w:ascii="Times New Roman" w:hAnsi="Times New Roman"/>
          <w:color w:val="000000"/>
          <w:sz w:val="24"/>
        </w:rPr>
        <w:t>or (v) any other method of withholding determined by the Company and permitted by applicable law; provided, however, that that if the Optionee is a Section 16 officer of the Company under the Exchange Act, the obligation for Tax-Related Items may be satisfied only by one or a combination of methods (i), (ii) and (iii) above.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be able to seek a refund from the local tax authorities. In the event of under-withholding, the Optionee may be required to pay additional Tax-Related Items directly to the local tax authorities or to the Company and/or the Employer. If the obligation for Tax-Related Items is satisfied by withholding in Shares, for tax purposes, the Optionee is deemed to have been issued the full number of Shares subject to the exercised Stock Option, notwithstanding that a number of the Shares is held back solely for the purpose of paying the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Shares, if the Optionee fails to comply with the Optionee’s obligations in connection with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Optionee’s Service Relationship, and neither the Plan nor this Agreement shall interfere in any way with the right of the Employer to terminate the Optionee’s Service Relationship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Nature of Grant</w:t>
      </w:r>
      <w:r>
        <w:rPr>
          <w:rFonts w:ascii="Times New Roman" w:hAnsi="Times New Roman"/>
          <w:color w:val="000000"/>
          <w:sz w:val="24"/>
        </w:rPr>
        <w:t>. By accepting this Stock Option, the Optionee acknowledges, understands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Plan is established voluntarily by the Company, it is discretionary in nature, and may be modified, amended, suspended, or terminated by the Company at any time, to the extent permitted by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grant of this Stock Option is exceptional, voluntary, and occasional and does not create any contractual or other right to receive future grants of stock options, or benefits in lieu of stock options, even if stock options have been granted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decisions with respect to future stock option or other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Optionee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this Stock Option and the Option Shares subject to this Stock Option, and the income from and value of same, are not intended to replace any pension rights or compensation;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 the grant of this Stock Option shall not be interpreted as forming or amending any Service Relationship with the Company or any Affiliate (including the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unless otherwise agreed with the Company, this Stock Option and the Option Shares subject to this Stock Option, and the income from and value of same, are not granted as consideration for, or in connection with, the service the Optionee may provide as a director of a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future value of the Option Shares subject to this Stock Option is unknown, indeterminable, and cannot be predicted with certainty;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if the Option Shares subject to this Stock Option do not increase in value, this Stock Option will have no value;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if the Optionee exercises this Stock Option and acquires Shares, the value of such shares may increase or decrease in value, even below the Option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no claim or entitlement to compensation or damages shall arise from forfeiture of this Stock Option resulting from the termination of the Optionee’s Service Relationship (for any reason whatsoever, whether or not later found to be invalid or in breach of applicable employment or other laws in the jurisdiction where the Optionee is employed or the terms of the Optionee’s employment agreement,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if the Optionee resides and/or works in a country outside the United States,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this Stock Option and any Option Shares subject to this Stock Option, and the income from and value of same, are not part of normal or expected compensation for any purpose;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the Company, the Employer, or any other Affiliate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acquired upon exercise.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Appendix</w:t>
      </w:r>
      <w:r>
        <w:rPr>
          <w:rFonts w:ascii="Times New Roman" w:hAnsi="Times New Roman"/>
          <w:color w:val="000000"/>
          <w:sz w:val="24"/>
        </w:rPr>
        <w:t>. Notwithstanding any provision of this Global Non-Qualified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Language</w:t>
      </w:r>
      <w:r>
        <w:rPr>
          <w:rFonts w:ascii="Times New Roman" w:hAnsi="Times New Roman"/>
          <w:color w:val="000000"/>
          <w:sz w:val="24"/>
        </w:rPr>
        <w:t>. The Optionee acknowledges that the Optionee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Waivers</w:t>
      </w:r>
      <w:r>
        <w:rPr>
          <w:rFonts w:ascii="Times New Roman" w:hAnsi="Times New Roman"/>
          <w:color w:val="000000"/>
          <w:sz w:val="24"/>
        </w:rPr>
        <w:t>. The Optionee acknowledges that a waiver by the Company of breach of any provision of this Agreement shall not operate or be construed as a waiver of any other provision of this Agreement, or of any subsequent breach by the Optionee or any other grantee</w:t>
      </w:r>
      <w:r>
        <w:rPr>
          <w:rFonts w:ascii="Times New Roman" w:hAnsi="Times New Roman"/>
          <w:b/>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Choice of Law</w:t>
      </w:r>
      <w:r>
        <w:rPr>
          <w:rFonts w:ascii="Times New Roman" w:hAnsi="Times New Roman"/>
          <w:color w:val="000000"/>
          <w:sz w:val="24"/>
        </w:rPr>
        <w:t>. This Agreement shall be governed by, and construed in accordance with, the laws of the State of Delaware, applied without regard to conflict of law principles.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this Stock Option and the Shares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Compliance with Law</w:t>
      </w:r>
      <w:r>
        <w:rPr>
          <w:rFonts w:ascii="Times New Roman" w:hAnsi="Times New Roman"/>
          <w:color w:val="000000"/>
          <w:sz w:val="24"/>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prior to the completion of any registration or qualification of the Shares under any U.S. or non-U.S. local, state, or federal securities or other applicable law or under rulings or regulations of the U.S.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with the SEC or any state or non-U.S. securities commission or to seek approval or clearance from any governmental authority for the issuance or sale of the Shares subject to this Stock Option. Further, the Optionee agrees that the Company shall have unilateral authority to amend this Agreement without the Optionee’s consent to the extent necessary to comply with securities or other laws applicable to issuance of the Shares subject to this Stock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Insider Trading Restrictions / Market Abuse Laws</w:t>
      </w:r>
      <w:r>
        <w:rPr>
          <w:rFonts w:ascii="Times New Roman" w:hAnsi="Times New Roman"/>
          <w:color w:val="000000"/>
          <w:sz w:val="24"/>
        </w:rPr>
        <w:t>. By accepting this Stock Option, the Optionee acknowledges that the Optionee is bound by all the terms and conditions of any Company’s insider trading policy as may be in effect from time to time. The Optionee further acknowledges that, depending on the Optionee’s country, the broker’s country or the country in which the Shares are listed, the Optionee may be or may become subject to insider trading restrictions and/or market abuse laws which may affect the Optionee’s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this Stock Option), or rights linked to the value of Shares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the Optionee’s personal advisor on this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Optionee’s country, the Optionee may be subject to foreign asset/account, exchange control, tax reporting, or other requirements which may affect the Optionee’s ability acquire or hold Stock Options or Shares under the Plan or cash received from participating in the Plan (including</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dividends and the proceeds arising from the sale of Shares) in a brokerage/bank account outside the Optionee’s country. The applicable laws of the Optionee’s country may require that the Optionee report such Stock Options, Shares, accounts, assets. or transactions to the applicable authorities in such country and/or repatriate funds received in connection with the Plan to the Optionee’s country within a certain time period or according to certain procedures. The Optionee acknowledges that the Optionee is responsible for ensuring compliance with any applicable requirements and should consult the Optionee’s personal legal advisor to ensure compliance with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Clawback</w:t>
      </w:r>
      <w:r>
        <w:rPr>
          <w:rFonts w:ascii="Times New Roman" w:hAnsi="Times New Roman"/>
          <w:color w:val="000000"/>
          <w:sz w:val="24"/>
        </w:rPr>
        <w:t>. The Optionee acknowledges and agrees that this Award is subject in all respects to the Company’s Compensation Recovery Policy (the “</w:t>
      </w:r>
      <w:r>
        <w:rPr>
          <w:rFonts w:ascii="Times New Roman" w:hAnsi="Times New Roman"/>
          <w:b/>
          <w:i/>
          <w:color w:val="000000"/>
          <w:sz w:val="24"/>
        </w:rPr>
        <w:t>Clawback Policy</w:t>
      </w:r>
      <w:r>
        <w:rPr>
          <w:rFonts w:ascii="Times New Roman" w:hAnsi="Times New Roman"/>
          <w:color w:val="000000"/>
          <w:sz w:val="20"/>
        </w:rPr>
        <w:t>”</w:t>
      </w:r>
      <w:r>
        <w:rPr>
          <w:rFonts w:ascii="Times New Roman" w:hAnsi="Times New Roman"/>
          <w:color w:val="000000"/>
          <w:sz w:val="24"/>
        </w:rPr>
        <w:t>), to the extent applicable, including the Company’s ability to recoup Erroneously Awarded Compensation (as defined in the Clawback Policy) thereunder. Any action by the Company to recover Erroneously Awarded Compensation under the Clawback Policy from the Optionee shall not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This Section 22 is a material term of this Agreement.</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HUBSPOT,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jc w:val="both"/>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Signature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Optionee’s name and address:</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aps/>
          <w:color w:val="000000"/>
          <w:sz w:val="28"/>
          <w:u w:val="single"/>
        </w:rPr>
      </w:pPr>
      <w:r>
        <w:rPr>
          <w:rFonts w:ascii="Times New Roman" w:hAnsi="Times New Roman"/>
          <w:b/>
          <w:caps/>
          <w:color w:val="000000"/>
          <w:sz w:val="28"/>
          <w:u w:val="single"/>
        </w:rPr>
        <w:t>APPENDIX</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Global NON-QUALIFIED STOCK OPTION AGREEMENT</w:t>
        <w:br/>
        <w:t>FOR EMPLOYEES</w:t>
        <w:br/>
        <w:t>UNDER THE HUBSPOT, INC.</w:t>
        <w:br/>
        <w:t>2024 STOCK OPTION AND INCENTIVE PLAN</w:t>
      </w:r>
    </w:p>
    <w:p>
      <w:pPr>
        <w:pStyle w:val="TextBody"/>
        <w:bidi w:val="0"/>
        <w:spacing w:before="0" w:after="240"/>
        <w:jc w:val="both"/>
        <w:rPr>
          <w:rFonts w:ascii="Times New Roman" w:hAnsi="Times New Roman"/>
          <w:sz w:val="20"/>
        </w:rPr>
      </w:pPr>
      <w:r>
        <w:rPr>
          <w:rFonts w:ascii="Times New Roman" w:hAnsi="Times New Roman"/>
          <w:color w:val="000000"/>
          <w:sz w:val="24"/>
        </w:rPr>
        <w:t>Capitalized terms used but not defined in this Appendix shall have the same meanings assigned to them in the Plan and/or the Global Non-Qualified Stock Option Agreement (the “</w:t>
      </w:r>
      <w:r>
        <w:rPr>
          <w:rFonts w:ascii="Times New Roman" w:hAnsi="Times New Roman"/>
          <w:b/>
          <w:i/>
          <w:color w:val="000000"/>
          <w:sz w:val="24"/>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Optionee not rely on the information noted herein as the only source of information relating to the consequences of participation in the Plan because the information may be out-of-date at the time the Optionee exercises the Stock Option or sells any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Optionee’s particular situation. As a result, the Company is not in a position to assure the Optionee of any particular result. Accordingly, the Optionee should seek appropriate professional advice as to how the relevant laws in the Optionee’s country may apply to the Optionee’s individual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Data Privacy Notification and Consent</w:t>
      </w:r>
      <w:r>
        <w:rPr>
          <w:rFonts w:ascii="Times New Roman" w:hAnsi="Times New Roman"/>
          <w:b/>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 By accepting the Stock Option, the Optionee explicitly and unambiguously consents to the collection, use, and transfer, in electronic or other form, of the Optionee’s personal data as described in the Agreement by and among, as applicable, the Employer, the Company and its other Affiliates for the exclusive purpose of implementing, administering. and managing the Optionee’s participation in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 The Optionee understands that the Company, the Employer, and other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or directorships held in the Company, details of all Stock Options or any other entitlement to shares awarded, canceled, vested, unvested, or outstanding in the Optionee’s favor (“Data”), for the purpose of implementing, administering, and managing the Plan</w:t>
      </w:r>
    </w:p>
    <w:p>
      <w:pPr>
        <w:pStyle w:val="TextBody"/>
        <w:bidi w:val="0"/>
        <w:spacing w:before="0" w:after="240"/>
        <w:jc w:val="both"/>
        <w:rPr>
          <w:rFonts w:ascii="Times New Roman" w:hAnsi="Times New Roman"/>
          <w:sz w:val="20"/>
        </w:rPr>
      </w:pPr>
      <w:r>
        <w:rPr>
          <w:rFonts w:ascii="Times New Roman" w:hAnsi="Times New Roman"/>
          <w:b/>
          <w:i/>
          <w:color w:val="000000"/>
          <w:sz w:val="24"/>
        </w:rPr>
        <w:t>(c) The Optionee understands that Data will be transferred to Fidelity Stock Plan Services LLC, or such other stock plan service provider as may be selected by the Company in the future, which assists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may request a list with the names and addresses of any potential recipients of the Data by contacting the Optionee’s local human resources representative. The Optionee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received upon exercise of the Stock Option may be deposited. The Optionee understands that Data will be held only as long as is necessary to implement, administer, and manage the Optionee’s participation in the Plan. The Optionee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the Optionee is providing the consents herein on a purely voluntary basis. If the Optionee does not consent, or if the Optionee later seeks to revoke the consent, the Optionee’s Service Relationship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the Optionee’s ability to participate in the Plan. For more information on the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consequences of the Optionee’s refusal to consent or withdrawal of consent, the Optionee understands that the Optionee may contact the local human resources representative.</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 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the Optionee will not be able to participate in the Plan if the Optionee fails to provide any such consent or agreement requested by the Company and/or the Employer.</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Non-Qualified Securities</w:t>
      </w:r>
      <w:r>
        <w:rPr>
          <w:rFonts w:ascii="Times New Roman" w:hAnsi="Times New Roman"/>
          <w:color w:val="000000"/>
          <w:sz w:val="24"/>
        </w:rPr>
        <w:t>. All or a portion of the Option Shares subject to this Stock Option may be “non-qualified securities” within the meaning of the Income Tax Act (Canada). The Company may provide the Optionee with additional information and/or appropriate notification regarding the characterization of this Stock Option for Canadian income tax purposes as may be required by the Income Tax Act (Canada) and the regulations thereunder.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Method of Exercise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Notwithstanding any provision of the Plan or the Option Agreement, the Optionee may not pay the Option Exercise Price by using the methods of exercise set forth in Section 2(a)(ii) and (iv) of the Option Agreement or the corresponding provisions of the Plan.</w:t>
      </w:r>
    </w:p>
    <w:p>
      <w:pPr>
        <w:pStyle w:val="TextBody"/>
        <w:bidi w:val="0"/>
        <w:jc w:val="both"/>
        <w:rPr>
          <w:rFonts w:ascii="Times New Roman" w:hAnsi="Times New Roman"/>
          <w:i/>
          <w:color w:val="000000"/>
          <w:sz w:val="24"/>
        </w:rPr>
      </w:pPr>
      <w:r>
        <w:rPr>
          <w:rFonts w:ascii="Times New Roman" w:hAnsi="Times New Roman"/>
          <w:i/>
          <w:color w:val="000000"/>
          <w:sz w:val="24"/>
        </w:rPr>
        <w:t>The following terms and conditions apply if the Optionee resides in Quebec: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Optionee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Optionee acknowledges and agrees that the Optionee’s personal information, including any sensitive personal information, may be transferred or disclosed outside of the province of Quebec, including to the U.S. The Optionee further authorizes the Company, the Employer, its other Affiliates, and the Administrator to disclose and discuss the Plan with their advisors. The Optionee further authorizes the Company, the Employer, its other Affiliates, and the Administrator to record information and to keep such information in the Optionee’s employee file. If applicable, the Optionee also acknowledges and authorizes the Company, the Employer, its other Affiliates, and the Administrator involved in the administration of the Plan to use technology for profiling purposes and to make automated decisions that may have an impact on the Optionee’s participation in the Plan or the administration of the Plan.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Notifications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Optionee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Stock Option,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a personal legal advisor as to whether or not this notification requirement applies.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GLOBAL RESTRICTED Stock UNIT AWARD AGREEMENT</w:t>
        <w:br/>
        <w:t>UNDER THE HubSpot, inc.</w:t>
        <w:b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of Grantee: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of Restricted Stock Units: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spacing w:before="480" w:after="240"/>
        <w:jc w:val="both"/>
        <w:rPr>
          <w:rFonts w:ascii="Times New Roman" w:hAnsi="Times New Roman"/>
          <w:sz w:val="20"/>
        </w:rPr>
      </w:pPr>
      <w:r>
        <w:rPr>
          <w:rFonts w:ascii="Times New Roman" w:hAnsi="Times New Roman"/>
          <w:color w:val="000000"/>
          <w:sz w:val="24"/>
        </w:rPr>
        <w:t>Pursuant to the HubSpot, Inc. 2024 Stock Option and Incentive Plan (as amended from time to time,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this Global Restricted Stock Unit Award Agreement, including any additional terms and conditions for the Grantee’s country set forth in the appendix attached hereto (the “</w:t>
      </w:r>
      <w:r>
        <w:rPr>
          <w:rFonts w:ascii="Times New Roman" w:hAnsi="Times New Roman"/>
          <w:b/>
          <w:i/>
          <w:color w:val="000000"/>
          <w:sz w:val="24"/>
        </w:rPr>
        <w:t>Appendix</w:t>
      </w:r>
      <w:r>
        <w:rPr>
          <w:rFonts w:ascii="Times New Roman" w:hAnsi="Times New Roman"/>
          <w:color w:val="000000"/>
          <w:sz w:val="20"/>
        </w:rPr>
        <w:t xml:space="preserve">” </w:t>
      </w:r>
      <w:r>
        <w:rPr>
          <w:rFonts w:ascii="Times New Roman" w:hAnsi="Times New Roman"/>
          <w:color w:val="000000"/>
          <w:sz w:val="24"/>
        </w:rPr>
        <w:t>and together with the Global Restricted Stock Unit Award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HubSpot,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hereby grants an award of the number of Restricted Stock Units listed above (an “</w:t>
      </w:r>
      <w:r>
        <w:rPr>
          <w:rFonts w:ascii="Times New Roman" w:hAnsi="Times New Roman"/>
          <w:b/>
          <w:i/>
          <w:color w:val="000000"/>
          <w:sz w:val="24"/>
        </w:rPr>
        <w:t>Award</w:t>
      </w:r>
      <w:r>
        <w:rPr>
          <w:rFonts w:ascii="Times New Roman" w:hAnsi="Times New Roman"/>
          <w:color w:val="000000"/>
          <w:sz w:val="20"/>
        </w:rPr>
        <w:t>”</w:t>
      </w:r>
      <w:r>
        <w:rPr>
          <w:rFonts w:ascii="Times New Roman" w:hAnsi="Times New Roman"/>
          <w:color w:val="000000"/>
          <w:sz w:val="24"/>
        </w:rPr>
        <w:t>) to the Grantee named above. Each Restricted Stock Unit shall relate to one share of Common Stock, par value $0.001 per share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Vesting of Restricted Stock Units</w:t>
      </w:r>
      <w:r>
        <w:rPr>
          <w:rFonts w:ascii="Times New Roman" w:hAnsi="Times New Roman"/>
          <w:color w:val="000000"/>
          <w:sz w:val="24"/>
        </w:rPr>
        <w:t>. The restrictions and conditions of Paragraph 1 of this Agreement shall lapse on the vesting dates (each such date, a “</w:t>
      </w:r>
      <w:r>
        <w:rPr>
          <w:rFonts w:ascii="Times New Roman" w:hAnsi="Times New Roman"/>
          <w:b/>
          <w:i/>
          <w:color w:val="000000"/>
          <w:sz w:val="24"/>
        </w:rPr>
        <w:t>Vesting Date</w:t>
      </w:r>
      <w:r>
        <w:rPr>
          <w:rFonts w:ascii="Times New Roman" w:hAnsi="Times New Roman"/>
          <w:color w:val="000000"/>
          <w:sz w:val="20"/>
        </w:rPr>
        <w:t>”</w:t>
      </w:r>
      <w:r>
        <w:rPr>
          <w:rFonts w:ascii="Times New Roman" w:hAnsi="Times New Roman"/>
          <w:color w:val="000000"/>
          <w:sz w:val="24"/>
        </w:rPr>
        <w:t>) specified in the following schedule so long as the Grantee remains in a Service Relationship through the applicable Vesting Date. If a series of Vesting Dates is specified, then the restrictions and conditions in Paragraph 1 shall lapse only with respect to the number of Restricted Stock Units specified as vested on such Vesting Date.</w:t>
      </w:r>
    </w:p>
    <w:tbl>
      <w:tblPr>
        <w:tblW w:w="4559" w:type="dxa"/>
        <w:jc w:val="left"/>
        <w:tblInd w:w="0" w:type="dxa"/>
        <w:tblLayout w:type="fixed"/>
        <w:tblCellMar>
          <w:top w:w="28" w:type="dxa"/>
          <w:left w:w="28" w:type="dxa"/>
          <w:bottom w:w="28" w:type="dxa"/>
          <w:right w:w="28" w:type="dxa"/>
        </w:tblCellMar>
      </w:tblPr>
      <w:tblGrid>
        <w:gridCol w:w="2956"/>
        <w:gridCol w:w="1603"/>
      </w:tblGrid>
      <w:tr>
        <w:trPr/>
        <w:tc>
          <w:tcPr>
            <w:tcW w:w="295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r>
            <w:r>
              <w:rPr>
                <w:rFonts w:ascii="Times New Roman" w:hAnsi="Times New Roman"/>
                <w:color w:val="000000"/>
                <w:sz w:val="24"/>
                <w:u w:val="single"/>
              </w:rPr>
              <w:br/>
              <w:t>Restricted Stock Units Vested</w:t>
            </w:r>
          </w:p>
        </w:tc>
        <w:tc>
          <w:tcPr>
            <w:tcW w:w="1603" w:type="dxa"/>
            <w:tcBorders/>
            <w:tcMar>
              <w:top w:w="0" w:type="dxa"/>
              <w:left w:w="0" w:type="dxa"/>
              <w:bottom w:w="0" w:type="dxa"/>
              <w:right w:w="0" w:type="dxa"/>
            </w:tcMar>
            <w:vAlign w:val="center"/>
          </w:tcPr>
          <w:p>
            <w:pPr>
              <w:pStyle w:val="TableContents"/>
              <w:bidi w:val="0"/>
              <w:spacing w:before="0" w:after="240"/>
              <w:ind w:left="0" w:right="0" w:firstLine="12"/>
              <w:jc w:val="center"/>
              <w:rPr>
                <w:rFonts w:ascii="Times New Roman" w:hAnsi="Times New Roman"/>
                <w:color w:val="000000"/>
                <w:sz w:val="24"/>
                <w:u w:val="single"/>
              </w:rPr>
            </w:pPr>
            <w:r>
              <w:rPr>
                <w:rFonts w:ascii="Times New Roman" w:hAnsi="Times New Roman"/>
                <w:color w:val="000000"/>
                <w:sz w:val="24"/>
                <w:u w:val="single"/>
              </w:rPr>
              <w:t>Vesting Date</w:t>
            </w:r>
          </w:p>
        </w:tc>
      </w:tr>
      <w:tr>
        <w:trPr/>
        <w:tc>
          <w:tcPr>
            <w:tcW w:w="2956" w:type="dxa"/>
            <w:tcBorders/>
            <w:tcMar>
              <w:top w:w="0" w:type="dxa"/>
              <w:left w:w="0" w:type="dxa"/>
              <w:bottom w:w="0" w:type="dxa"/>
              <w:right w:w="0" w:type="dxa"/>
            </w:tcMar>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956" w:type="dxa"/>
            <w:tcBorders/>
            <w:tcMar>
              <w:top w:w="0" w:type="dxa"/>
              <w:left w:w="0" w:type="dxa"/>
              <w:bottom w:w="0" w:type="dxa"/>
              <w:right w:w="0" w:type="dxa"/>
            </w:tcMar>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956" w:type="dxa"/>
            <w:tcBorders/>
            <w:tcMar>
              <w:top w:w="0" w:type="dxa"/>
              <w:left w:w="0" w:type="dxa"/>
              <w:bottom w:w="0" w:type="dxa"/>
              <w:right w:w="0" w:type="dxa"/>
            </w:tcMar>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83"/>
              <w:ind w:left="0" w:right="0" w:firstLine="12"/>
              <w:jc w:val="center"/>
              <w:rPr>
                <w:rFonts w:ascii="Times New Roman" w:hAnsi="Times New Roman"/>
                <w:color w:val="000000"/>
                <w:sz w:val="24"/>
              </w:rPr>
            </w:pPr>
            <w:r>
              <w:rPr>
                <w:rFonts w:ascii="Times New Roman" w:hAnsi="Times New Roman"/>
                <w:color w:val="000000"/>
                <w:sz w:val="24"/>
              </w:rPr>
              <w:t>____________</w:t>
            </w:r>
          </w:p>
        </w:tc>
      </w:tr>
      <w:tr>
        <w:trPr/>
        <w:tc>
          <w:tcPr>
            <w:tcW w:w="2956" w:type="dxa"/>
            <w:tcBorders/>
            <w:tcMar>
              <w:top w:w="0" w:type="dxa"/>
              <w:left w:w="0" w:type="dxa"/>
              <w:bottom w:w="0" w:type="dxa"/>
              <w:right w:w="0" w:type="dxa"/>
            </w:tcMar>
            <w:vAlign w:val="center"/>
          </w:tcPr>
          <w:p>
            <w:pPr>
              <w:pStyle w:val="TableContents"/>
              <w:bidi w:val="0"/>
              <w:spacing w:before="0" w:after="240"/>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60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jc w:val="left"/>
        <w:rPr/>
      </w:pPr>
      <w:r>
        <w:rPr/>
        <w:t> </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in the event that the Grantee’s Service Relationship terminates due to the Grantee’s death, then the Restricted Stock Units shall be deemed fully vested upon the date of the Grantee’s death. The Administrator may at any time accelerate the vesting schedule specified in this Paragraph 2.</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Termination of Service Relationship</w:t>
      </w:r>
      <w:r>
        <w:rPr>
          <w:rFonts w:ascii="Times New Roman" w:hAnsi="Times New Roman"/>
          <w:color w:val="000000"/>
          <w:sz w:val="24"/>
        </w:rPr>
        <w:t>. If the Grantee’s Service Relationship terminates for any reason (including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Issuance of Shares</w:t>
      </w:r>
      <w:r>
        <w:rPr>
          <w:rFonts w:ascii="Times New Roman" w:hAnsi="Times New Roman"/>
          <w:color w:val="000000"/>
          <w:sz w:val="24"/>
        </w:rPr>
        <w:t>. As soon as practicable following each Vesting Date (but in no event later than two and one-half months after the end of the year in which the Vesting Date occurs), the Company shall issue to the Grantee (or in the event of the Grantee’s death, the Grantee’s designated beneficiary or the Grantee’s estate or legal heirs if the Grantee has not designated a beneficiary) the number of Shares equal to the aggregate number of Restricted Stock Units that have vested pursuant to Paragraph 2 of this Agreement on such Vesting Date, rounded down to the nearest whole share, and the Grantee (or the Grantee’s designated beneficiary or estate, as applicable) shall thereafter have all the rights of a stockholder of the Company with respect to such Shares. No fractional Shares shall be issued.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Responsibility for Taxes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Grantee acknowledges that, regardless of any action taken by the Company or any Affiliate with which the Grantee has a Service Relationship (the “</w:t>
      </w:r>
      <w:r>
        <w:rPr>
          <w:rFonts w:ascii="Times New Roman" w:hAnsi="Times New Roman"/>
          <w:b/>
          <w:i/>
          <w:color w:val="000000"/>
          <w:sz w:val="24"/>
        </w:rPr>
        <w:t>Employer</w:t>
      </w:r>
      <w:r>
        <w:rPr>
          <w:rFonts w:ascii="Times New Roman" w:hAnsi="Times New Roman"/>
          <w:color w:val="000000"/>
          <w:sz w:val="20"/>
        </w:rPr>
        <w:t>”</w:t>
      </w:r>
      <w:r>
        <w:rPr>
          <w:rFonts w:ascii="Times New Roman" w:hAnsi="Times New Roman"/>
          <w:color w:val="000000"/>
          <w:sz w:val="24"/>
        </w:rPr>
        <w:t>), the ultimate liability for all income tax, social insurance, payroll tax, fringe benefits tax, payment on account or other tax</w:t>
        <w:noBreakHyphen/>
        <w:t>related items related to the Grantee’s participation in the Plan and legally applicable to the Grantee (“</w:t>
      </w:r>
      <w:r>
        <w:rPr>
          <w:rFonts w:ascii="Times New Roman" w:hAnsi="Times New Roman"/>
          <w:b/>
          <w:i/>
          <w:color w:val="000000"/>
          <w:sz w:val="24"/>
        </w:rPr>
        <w:t>Tax-Related Items</w:t>
      </w:r>
      <w:r>
        <w:rPr>
          <w:rFonts w:ascii="Times New Roman" w:hAnsi="Times New Roman"/>
          <w:color w:val="000000"/>
          <w:sz w:val="20"/>
        </w:rPr>
        <w:t>”</w:t>
      </w:r>
      <w:r>
        <w:rPr>
          <w:rFonts w:ascii="Times New Roman" w:hAnsi="Times New Roman"/>
          <w:color w:val="000000"/>
          <w:sz w:val="24"/>
        </w:rPr>
        <w:t>) are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Prior to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or rights with regard to all Tax-Related Items by one or a combination of the following: (i) withholding from the Grantee’s wages or other cash compensation payable to the Grantee; (ii) withholding from proceeds of the sale of Shares acquired upon settlement of the Restricted Stock Units either through a voluntary sale or through a mandatory sale arranged by the Company (on the Grantee’s behalf pursuant to this authorization without further consent); (iii) withholding from Shares to be issued to the Grantee upon settlement of the Restricted Stock Units;</w:t>
      </w:r>
      <w:r>
        <w:rPr>
          <w:rFonts w:ascii="Times New Roman" w:hAnsi="Times New Roman"/>
          <w:color w:val="000000"/>
          <w:sz w:val="20"/>
        </w:rPr>
        <w:t xml:space="preserve"> </w:t>
      </w:r>
      <w:r>
        <w:rPr>
          <w:rFonts w:ascii="Times New Roman" w:hAnsi="Times New Roman"/>
          <w:color w:val="000000"/>
          <w:sz w:val="24"/>
        </w:rPr>
        <w:t>or (iv) any other method of withholding determined by the Company and permitted by applicable law; provided, however, that that if the Grantee is a Section 16 officer of the Company under the Exchange Act, then any Tax-Related Items shall be withheld only by using alternative (iii).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Depending on the withholding method, the Company and/or the Employer may withhold or account for Tax-Related Items by considering statutory or other withholding rates, including maximum rates applicable in the Grantee’s jurisdiction. In the event of over-withholding, the Grantee may receive a refund of any over-withheld amount in cash through the Employer’s normal payroll processes (with no entitlement to the equivalent in Shares) or, if not refunded, the Grantee may be able to seek a refund from the local tax authorities. In the event of under-withholding, the Grantee may be required to pay additional Tax-Related Items directly to the local tax authorities or to the Company and/or the Employer. If the obligation for Tax-Related Items is satisfied by withholding in Shares, for tax purposes, the Grantee is deemed to have been issued the full number of Shares subject to the vested Restricted Stock Units, notwithstanding that a number of the Shares is held back solely for the purpose of paying the Tax-Related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or the proceeds of the sale of Shares, if the Grantee fails to comply with the Grantee’s obligations in connection with the Tax-Related Items.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Section 409A of the Code.</w:t>
      </w:r>
      <w:r>
        <w:rPr>
          <w:rFonts w:ascii="Times New Roman" w:hAnsi="Times New Roman"/>
          <w:color w:val="000000"/>
          <w:sz w:val="20"/>
        </w:rPr>
        <w:t xml:space="preserve"> </w:t>
      </w:r>
      <w:r>
        <w:rPr>
          <w:rFonts w:ascii="Times New Roman" w:hAnsi="Times New Roman"/>
          <w:color w:val="000000"/>
          <w:sz w:val="24"/>
        </w:rPr>
        <w:t>This Agreement shall be interpreted in such a manner that all provisions relating to the settlement of the Award are exempt from the requirements of Section 409A as “short-term deferrals” as described in Section 409A.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No Obligation to Continue Service Relationship</w:t>
      </w:r>
      <w:r>
        <w:rPr>
          <w:rFonts w:ascii="Times New Roman" w:hAnsi="Times New Roman"/>
          <w:color w:val="000000"/>
          <w:sz w:val="24"/>
        </w:rPr>
        <w:t>. The Employer is not obligated by or as a result of the Plan or this Agreement to continue the Grantee’s Service Relationship, and neither the Plan nor this Agreement shall interfere in any way with the right of the Employer to terminate the Grantee’s Service Relationship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Integration</w:t>
      </w:r>
      <w:r>
        <w:rPr>
          <w:rFonts w:ascii="Times New Roman" w:hAnsi="Times New Roman"/>
          <w:color w:val="000000"/>
          <w:sz w:val="24"/>
        </w:rPr>
        <w:t>. This Agreement constitutes the entire agreement between the parties with respect to this Award and supersedes all prior agreements and discussions between the parties concerning such subject matter.</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Nature of Grant</w:t>
      </w:r>
      <w:r>
        <w:rPr>
          <w:rFonts w:ascii="Times New Roman" w:hAnsi="Times New Roman"/>
          <w:color w:val="000000"/>
          <w:sz w:val="24"/>
        </w:rPr>
        <w:t>. In accepting the Award, the Grantee acknowledges, understands and agrees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Plan is established voluntarily by the Company, it is discretionary in nature, and may be amended, suspended, or terminated by the Company at any time, to the extent permitted by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decisions with respect to future Restricted Stock Units or other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Grantee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Restricted Stock Units and any Shares subject to the Restricted Stock Units, and the income from and value of same, are not intended to replace any pension rights or compensation;</w:t>
      </w:r>
    </w:p>
    <w:p>
      <w:pPr>
        <w:pStyle w:val="TextBody"/>
        <w:bidi w:val="0"/>
        <w:spacing w:before="0" w:after="240"/>
        <w:jc w:val="both"/>
        <w:rPr>
          <w:rFonts w:ascii="Times New Roman" w:hAnsi="Times New Roman"/>
          <w:sz w:val="20"/>
        </w:rPr>
      </w:pPr>
      <w:r>
        <w:rPr>
          <w:rFonts w:ascii="Times New Roman" w:hAnsi="Times New Roman"/>
          <w:color w:val="000000"/>
          <w:sz w:val="24"/>
        </w:rPr>
        <w:t>(f) the grant of the Restricted Stock Units shall not be interpreted as forming or amending any Service Relationship with the Company or any Affiliate (including the Employer);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unless otherwise agreed with the Company, the Restricted Stock Units and the Shares subject to the Restricted Stock Units, and the income from and value of same, are not granted as consideration for, or in connection with, the service the Grantee may provide as a director of a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Restricted Stock Units and any Shares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future value of the Shares underlying the Restricted Stock Units is unknown, indeterminable, and cannot be predicted with certainty;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no claim or entitlement to compensation or damages shall arise from forfeiture of the Restricted Stock Units resulting from the termination of the Grantee’s Service Relationship (for any reason whatsoever, whether or not later found to be invalid or in breach of labor laws in the jurisdiction where the Grantee is employed or the terms of the Grantee’s employment agreement, if any);</w:t>
      </w:r>
    </w:p>
    <w:p>
      <w:pPr>
        <w:pStyle w:val="TextBody"/>
        <w:bidi w:val="0"/>
        <w:spacing w:before="0" w:after="240"/>
        <w:jc w:val="both"/>
        <w:rPr>
          <w:rFonts w:ascii="Times New Roman" w:hAnsi="Times New Roman"/>
          <w:sz w:val="20"/>
        </w:rPr>
      </w:pPr>
      <w:r>
        <w:rPr>
          <w:rFonts w:ascii="Times New Roman" w:hAnsi="Times New Roman"/>
          <w:color w:val="000000"/>
          <w:sz w:val="24"/>
        </w:rPr>
        <w:t>(k) unless otherwise provided in the Plan or by the Company in its discretion, the Restricted Stock Units and the benefits evidenced by this Agreement do not create any entitlement to have the Restricted Stock Units or any such benefits transferred to, or assumed by,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another company nor to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if the Grantee resides and/or works in a country outside the United States,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Restricted Stock Units and any Shares subject to the Restricted Stock Units, and the income from and value of same, are not part of normal or expected compensation for any purpose;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the Company, the Employer nor any other Affiliate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acquired upon settlement.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Appendix</w:t>
      </w:r>
      <w:r>
        <w:rPr>
          <w:rFonts w:ascii="Times New Roman" w:hAnsi="Times New Roman"/>
          <w:color w:val="000000"/>
          <w:sz w:val="24"/>
        </w:rPr>
        <w:t>.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 apply to the Grantee, to the extent the Company determines that the application of such terms and conditions is necessary or advisable for legal or administrative reasons. The Appendix forms part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Language</w:t>
      </w:r>
      <w:r>
        <w:rPr>
          <w:rFonts w:ascii="Times New Roman" w:hAnsi="Times New Roman"/>
          <w:color w:val="000000"/>
          <w:sz w:val="24"/>
        </w:rPr>
        <w:t>. The Grantee acknowledges that the Grantee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 unless otherwise required under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Notices</w:t>
      </w:r>
      <w:r>
        <w:rPr>
          <w:rFonts w:ascii="Times New Roman" w:hAnsi="Times New Roman"/>
          <w:color w:val="000000"/>
          <w:sz w:val="24"/>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Waivers</w:t>
      </w:r>
      <w:r>
        <w:rPr>
          <w:rFonts w:ascii="Times New Roman" w:hAnsi="Times New Roman"/>
          <w:color w:val="000000"/>
          <w:sz w:val="24"/>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Choice of Law</w:t>
      </w:r>
      <w:r>
        <w:rPr>
          <w:rFonts w:ascii="Times New Roman" w:hAnsi="Times New Roman"/>
          <w:color w:val="000000"/>
          <w:sz w:val="24"/>
        </w:rPr>
        <w:t>. This Agreement shall be governed by, and construed in accordance with, the laws of the State of Delaware, applied without regard to conflict of law principles.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Venue</w:t>
      </w:r>
      <w:r>
        <w:rPr>
          <w:rFonts w:ascii="Times New Roman" w:hAnsi="Times New Roman"/>
          <w:color w:val="000000"/>
          <w:sz w:val="24"/>
        </w:rPr>
        <w:t>. For purposes of litigating any dispute that arises directly or indirectly from the relationship of the parties evidenced by this Agreement, the parties hereby submit to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Imposition of Other Requirements</w:t>
      </w:r>
      <w:r>
        <w:rPr>
          <w:rFonts w:ascii="Times New Roman" w:hAnsi="Times New Roman"/>
          <w:color w:val="000000"/>
          <w:sz w:val="24"/>
        </w:rPr>
        <w:t>. The Company reserves the right to impose other requirements on the Restricted Stock Units and the Shares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Electronic Delivery and Participation</w:t>
      </w:r>
      <w:r>
        <w:rPr>
          <w:rFonts w:ascii="Times New Roman" w:hAnsi="Times New Roman"/>
          <w:color w:val="000000"/>
          <w:sz w:val="24"/>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Compliance with Law</w:t>
      </w:r>
      <w:r>
        <w:rPr>
          <w:rFonts w:ascii="Times New Roman" w:hAnsi="Times New Roman"/>
          <w:color w:val="000000"/>
          <w:sz w:val="24"/>
        </w:rPr>
        <w:t>. Notwithstanding any other provision of the Plan or this Agreement, unless there is an available exemption from any registration, qualification, or other legal requirement applicable to the Shares, the Company shall not be required to permit the vesting of the Restricted Stock Units and/or deliver any Shares prior to the completion of any registration or qualification of the Shares under any U.S. or non-U.S. local, state or federal securities or other applicable law or under rulings or regulations of the U.S. Securities and Exchange Commission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Shares with the SEC or any state or non-U.S. securities commission or to seek approval or clearance from any governmental authority for the issuance or sale of the Shares subject to the Restricted Stock Units. Further, the Grantee agrees that the Company shall have unilateral authority to amend this Agreement without the Grantee’s consent to the extent necessary to comply with securities or other laws applicable to issuance of the Shares subject to the Restricted Stock Units.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Insider Trading Restrictions / Market Abuse Laws</w:t>
      </w:r>
      <w:r>
        <w:rPr>
          <w:rFonts w:ascii="Times New Roman" w:hAnsi="Times New Roman"/>
          <w:color w:val="000000"/>
          <w:sz w:val="24"/>
        </w:rPr>
        <w:t>. By accepting the Restricted Stock Units, the Grantee acknowledges that the Grantee is bound by all the terms and conditions of any Company’s insider trading policy as may be in effect from time to time. The Grantee further acknowledges that, depending on the Grantee’s country, the broker’s country or the country in which the Shares are listed, the Grantee may be or may become subject to insider trading restrictions and/or market abuse laws which may affect the Grantee’s ability to accept, acquire, sell or otherwise dispose of Shares, rights to Shares (</w:t>
      </w:r>
      <w:r>
        <w:rPr>
          <w:rFonts w:ascii="Times New Roman" w:hAnsi="Times New Roman"/>
          <w:i/>
          <w:color w:val="000000"/>
          <w:sz w:val="24"/>
        </w:rPr>
        <w:t>e.g.</w:t>
      </w:r>
      <w:r>
        <w:rPr>
          <w:rFonts w:ascii="Times New Roman" w:hAnsi="Times New Roman"/>
          <w:color w:val="000000"/>
          <w:sz w:val="24"/>
        </w:rPr>
        <w:t>, the Restricted Stock Units), or rights linked to the value of Shares under the Plan during such times as the Grantee is considered to have “inside information” regarding the Company (as defined by the laws in the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the Grantee’s personal advisor on this matter.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Foreign Asset/Account, Exchange Control and Tax Reporting</w:t>
      </w:r>
      <w:r>
        <w:rPr>
          <w:rFonts w:ascii="Times New Roman" w:hAnsi="Times New Roman"/>
          <w:color w:val="000000"/>
          <w:sz w:val="24"/>
        </w:rPr>
        <w:t>. Depending on the Grantee’s country, the Grantee may be subject to foreign asset/account, exchange control, tax reporting, or other requirements which may affect the Grantee’s ability acquire or hold Restricted Stock Units or Shares under the Plan or cash received from participating in the Plan (including dividends and the proceeds arising from the sale of Shares) in a brokerage/bank account outside the Grantee’s country. The applicable laws of the Grantee’s country may require that the Grantee report such Restricted Stock Units, Shares, accounts, assets, or transactions to the applicable authorities in such country and/or repatriate funds received in connection with the Plan to the Grantee’s country within a certain time period or according to certain procedures. The Grantee acknowledges that the Grantee is responsible for ensuring compliance with any applicable requirements and should consult the Grantee’s personal legal advisor to ensure compliance with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Clawback</w:t>
      </w:r>
      <w:r>
        <w:rPr>
          <w:rFonts w:ascii="Times New Roman" w:hAnsi="Times New Roman"/>
          <w:color w:val="000000"/>
          <w:sz w:val="24"/>
        </w:rPr>
        <w:t>. The Grantee acknowledges and agrees that this Award is subject in all respects to the Company’s Compensation Recovery Policy (the “</w:t>
      </w:r>
      <w:r>
        <w:rPr>
          <w:rFonts w:ascii="Times New Roman" w:hAnsi="Times New Roman"/>
          <w:b/>
          <w:i/>
          <w:color w:val="000000"/>
          <w:sz w:val="24"/>
        </w:rPr>
        <w:t>Clawback Policy</w:t>
      </w:r>
      <w:r>
        <w:rPr>
          <w:rFonts w:ascii="Times New Roman" w:hAnsi="Times New Roman"/>
          <w:color w:val="000000"/>
          <w:sz w:val="20"/>
        </w:rPr>
        <w:t>”</w:t>
      </w:r>
      <w:r>
        <w:rPr>
          <w:rFonts w:ascii="Times New Roman" w:hAnsi="Times New Roman"/>
          <w:color w:val="000000"/>
          <w:sz w:val="24"/>
        </w:rPr>
        <w:t>), to the extent applicable, including the Company’s ability to recoup Erroneously Awarded Compensation (as defined in the Clawback Policy) thereunder. Any action by the Company to recover Erroneously Awarded Compensation under the Clawback Policy from the Grantee shall not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This Paragraph 23 is a material term of this Agreement.</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HUBSPOT, INC.</w:t>
      </w:r>
    </w:p>
    <w:p>
      <w:pPr>
        <w:pStyle w:val="TextBody"/>
        <w:bidi w:val="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This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both"/>
        <w:rPr>
          <w:rFonts w:ascii="Times New Roman" w:hAnsi="Times New Roman"/>
          <w:color w:val="000000"/>
          <w:sz w:val="24"/>
        </w:rPr>
      </w:pPr>
      <w:r>
        <w:rPr>
          <w:rFonts w:ascii="Times New Roman" w:hAnsi="Times New Roman"/>
          <w:color w:val="000000"/>
          <w:sz w:val="24"/>
        </w:rPr>
        <w:t xml:space="preserve">Dated: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Grantee’s Signature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Grantee’s name and address:</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APPENDIX</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GLOBAL RESTRICTED Stock UNIT AWARD AGREEMENT</w:t>
        <w:br/>
        <w:t>UNDER THE HubSpot, inc.</w:t>
        <w:br/>
        <w:t>2024 STOCK OPTION AND INCENTIVE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but not defined in this Appendix shall have the same meanings assigned to them in the Plan and/or the Global Restricted Stock Unit Award Agreement.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w:t>
      </w:r>
      <w:r>
        <w:rPr>
          <w:rFonts w:ascii="Times New Roman" w:hAnsi="Times New Roman"/>
          <w:b/>
          <w:color w:val="000000"/>
          <w:sz w:val="24"/>
        </w:rPr>
        <w:t>May 2024</w:t>
      </w:r>
      <w:r>
        <w:rPr>
          <w:rFonts w:ascii="Times New Roman" w:hAnsi="Times New Roman"/>
          <w:color w:val="000000"/>
          <w:sz w:val="24"/>
        </w:rPr>
        <w:t>. Such laws are often complex and change frequently. As a result, the Company strongly recommends</w:t>
      </w:r>
      <w:r>
        <w:rPr>
          <w:rFonts w:ascii="Times New Roman" w:hAnsi="Times New Roman"/>
          <w:color w:val="000000"/>
          <w:sz w:val="20"/>
        </w:rPr>
        <w:t xml:space="preserve"> </w:t>
      </w:r>
      <w:r>
        <w:rPr>
          <w:rFonts w:ascii="Times New Roman" w:hAnsi="Times New Roman"/>
          <w:color w:val="000000"/>
          <w:sz w:val="24"/>
        </w:rPr>
        <w:t>that the Grantee not rely on the information noted herein as the only source of information relating to the consequences of participation in the Plan because the information may be out-of-date at the time the Grantee vests in the Restricted Stock Units or sells any Shares acquired under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information contained herein is general in nature and may not apply to the Grantee’s particular situation. As a result, the Company is not in a position to assure the Grantee of any particular result. Accordingly, the Grantee should seek appropriate professional advice as to how the relevant laws in the Grantee’s country may apply to the Grantee’s individual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ALL COUNTRIES OUTSIDE THE U.S., EUROPEAN UNION, EUROPEAN ECONOMIC AREA, AND UNITED KINGDOM</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Data Privacy Notification and Consent</w:t>
      </w:r>
      <w:r>
        <w:rPr>
          <w:rFonts w:ascii="Times New Roman" w:hAnsi="Times New Roman"/>
          <w:b/>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 By accepting the Award, the Grantee explicitly and unambiguously consents to the collection, use, and transfer, in electronic or other form, of the Grantee’s personal data as described in the Agreement by and among, as applicable, the Employer, the Company, and any Affiliates for the exclusive purpose of implementing, administering, and managing the Grantee’s participation in the Plan.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 The Grantee understands that the Company, the Employer, and any Affiliates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or directorships held in the Company, and details of all Restricted Stock Units or any other entitlement to shares awarded, canceled, vested, unvested, or outstanding in the Grantee’s favor (“Data”), for the purpose of implementing, administering and managing the Plan</w:t>
      </w:r>
    </w:p>
    <w:p>
      <w:pPr>
        <w:pStyle w:val="TextBody"/>
        <w:bidi w:val="0"/>
        <w:spacing w:before="0" w:after="240"/>
        <w:jc w:val="both"/>
        <w:rPr>
          <w:rFonts w:ascii="Times New Roman" w:hAnsi="Times New Roman"/>
          <w:sz w:val="20"/>
        </w:rPr>
      </w:pPr>
      <w:r>
        <w:rPr>
          <w:rFonts w:ascii="Times New Roman" w:hAnsi="Times New Roman"/>
          <w:b/>
          <w:i/>
          <w:color w:val="000000"/>
          <w:sz w:val="24"/>
        </w:rPr>
        <w:t>(c) The Grantee understands that Data will be transferred to Fidelity Stock Plan Services LLC, or such other stock plan service provider as may be selected by the Company in the future, which assists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may request a list with the names and addresses of any potential recipients of the Data by contacting the Grantee’s local human resources representative. The Grantee authorizes the Company, Fidelity Stock Plan Services LLC, and other possible recipients that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received upon vesting of the Restricted Stock Units may be deposited. The Grantee understands that Data will be held only as long as is necessary to implement, administer, and manage the Grantee’s participation in the Plan. The Grantee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the Grantee is providing the consents herein on a purely voluntary basis. If the Grantee does not consent, or if the Grantee later seeks to revoke the Grantee’s consent, the Grantee’s Service Relationship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the Grantee’s ability to participate in the Plan. For more information on the consequences of the Grantee’s refusal to consent or withdrawal of consent, the Grantee understands that the Grantee may contact the local human resources representative.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 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the Grantee will not be able to participate in the Plan if the Grantee fails to provide any such consent or agreement requested by the Company and/or the Employer.</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AUSTRALIA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xml:space="preserve">. This offer to participate in the Plan is being made under Division 1A, Part 7.12 of the </w:t>
      </w:r>
      <w:r>
        <w:rPr>
          <w:rFonts w:ascii="Times New Roman" w:hAnsi="Times New Roman"/>
          <w:i/>
          <w:color w:val="000000"/>
          <w:sz w:val="24"/>
        </w:rPr>
        <w:t>Corporations Act 2001 (Cth)</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Tax Information</w:t>
      </w:r>
      <w:r>
        <w:rPr>
          <w:rFonts w:ascii="Times New Roman" w:hAnsi="Times New Roman"/>
          <w:color w:val="000000"/>
          <w:sz w:val="24"/>
        </w:rPr>
        <w:t>. Subdivision 83A-C of the Income Tax Assessment Act, 1997 applies to the Restricted Stock Units granted under the Plan, such that the Restricted Stock Units are intended to be subject to deferred taxation.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b/>
          <w:color w:val="000000"/>
          <w:sz w:val="24"/>
        </w:rPr>
        <w:t xml:space="preserve">. </w:t>
      </w:r>
      <w:r>
        <w:rPr>
          <w:rFonts w:ascii="Times New Roman" w:hAnsi="Times New Roman"/>
          <w:color w:val="000000"/>
          <w:sz w:val="24"/>
        </w:rPr>
        <w:t>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BELGIUM</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CANADA</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Award Payable Only in Shares</w:t>
      </w:r>
      <w:r>
        <w:rPr>
          <w:rFonts w:ascii="Times New Roman" w:hAnsi="Times New Roman"/>
          <w:color w:val="000000"/>
          <w:sz w:val="24"/>
        </w:rPr>
        <w:t>. The Restricted Stock Units shall be paid in Shares only and do not provide the Grantee with any right to receive a cash payment.</w:t>
      </w:r>
    </w:p>
    <w:p>
      <w:pPr>
        <w:pStyle w:val="TextBody"/>
        <w:bidi w:val="0"/>
        <w:jc w:val="both"/>
        <w:rPr/>
      </w:pPr>
      <w:r>
        <w:rPr/>
        <w:t> </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The following terms and conditions apply if the Grantee resides in Quebec:</w:t>
      </w:r>
    </w:p>
    <w:p>
      <w:pPr>
        <w:pStyle w:val="TextBody"/>
        <w:bidi w:val="0"/>
        <w:jc w:val="both"/>
        <w:rPr>
          <w:rFonts w:ascii="Times New Roman" w:hAnsi="Times New Roman"/>
          <w:sz w:val="20"/>
        </w:rPr>
      </w:pPr>
      <w:r>
        <w:rPr>
          <w:rFonts w:ascii="Times New Roman" w:hAnsi="Times New Roman"/>
          <w:color w:val="000000"/>
          <w:sz w:val="24"/>
          <w:u w:val="single"/>
        </w:rPr>
        <w:t>Data Privacy</w:t>
      </w:r>
      <w:r>
        <w:rPr>
          <w:rFonts w:ascii="Times New Roman" w:hAnsi="Times New Roman"/>
          <w:color w:val="000000"/>
          <w:sz w:val="24"/>
        </w:rPr>
        <w:t>. The following provision supplements the “Data Privacy Notification and Consent” provision above in this Appendix:</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Grantee hereby authorizes the Company and the Company’s representatives to discuss with and obtain all relevant information from all personnel, professional or non-professional, involved in the administration and operation of the Plan for purposes that relate to the administration of the Plan. The Grantee acknowledges and agrees that the Grantee’s personal information, including any sensitive personal information, may be transferred or disclosed outside of the province of Quebec, including to the U.S. The Grantee further authorizes the Company, the Employer, its other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Affiliates, and the Administrator to disclose and discuss the Plan with their advisors. The Grantee further authorizes the Company, the Employer, its other Affiliates, and the Administrator to record all relevant information and to keep such information in the Grantee’s employee file. If applicable, the Grantee also acknowledges and authorizes the Company, the Employer, its other Affiliates, and the Administrator involved in the administration of the Plan to use technology for profiling purposes and to make automated decisions that may have an impact on the Grantee’s participation in the Plan or the administration of the Plan.</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Grantee is permitted to sell Shares acquired under the Plan through the designated broker appointed under the Plan, if any, provided the resale of Shares acquired under the Plan takes place outside Canada through the facilities of a stock exchange on which the Shares are listed. The Shares are currently listed on the New York Stock Exchange under the symbol “HUBS.”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COLOMBIA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Shares are not and will not be registered in the Colombian registry of publicly traded securities (</w:t>
      </w:r>
      <w:r>
        <w:rPr>
          <w:rFonts w:ascii="Times New Roman" w:hAnsi="Times New Roman"/>
          <w:i/>
          <w:color w:val="000000"/>
          <w:sz w:val="24"/>
        </w:rPr>
        <w:t>Registro Nacional de Valores y Emisores</w:t>
      </w:r>
      <w:r>
        <w:rPr>
          <w:rFonts w:ascii="Times New Roman" w:hAnsi="Times New Roman"/>
          <w:color w:val="000000"/>
          <w:sz w:val="24"/>
        </w:rPr>
        <w:t>) and, therefore, the Shares may not be offered to the public in Colombia. Nothing in the Plan, the Agreement, or any other document evidencing the grant of the Restricted Stock Units shall be construed as the making of a public offer of securities in Colombia.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is responsible for complying with any and all Colombian foreign exchange restrictions, approvals, and reporting requirements in connection with the Restricted Stock Units and any Shares acquired or funds received under the Plan. This may include reporting obligations to the Central Bank (</w:t>
      </w:r>
      <w:r>
        <w:rPr>
          <w:rFonts w:ascii="Times New Roman" w:hAnsi="Times New Roman"/>
          <w:i/>
          <w:color w:val="000000"/>
          <w:sz w:val="24"/>
        </w:rPr>
        <w:t>Banco de la República</w:t>
      </w:r>
      <w:r>
        <w:rPr>
          <w:rFonts w:ascii="Times New Roman" w:hAnsi="Times New Roman"/>
          <w:color w:val="000000"/>
          <w:sz w:val="24"/>
        </w:rPr>
        <w:t>). If applicable, the Grantee will be required to register the Grantee’s investment with the Central Bank, regardless of the value of investment. The Grantee should consult with a personal legal advisor regarding any obligations in connection with this reporting requirement.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FRANCE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rFonts w:ascii="Times New Roman" w:hAnsi="Times New Roman"/>
          <w:sz w:val="20"/>
        </w:rPr>
      </w:pPr>
      <w:r>
        <w:rPr>
          <w:rFonts w:ascii="Times New Roman" w:hAnsi="Times New Roman"/>
          <w:color w:val="000000"/>
          <w:sz w:val="24"/>
          <w:u w:val="single"/>
        </w:rPr>
        <w:t>Type of Grant</w:t>
      </w:r>
      <w:r>
        <w:rPr>
          <w:rFonts w:ascii="Times New Roman" w:hAnsi="Times New Roman"/>
          <w:color w:val="000000"/>
          <w:sz w:val="24"/>
        </w:rPr>
        <w:t>. The Restricted Stock Units are not granted as “French-qualified” awards and are not intended to qualify for the special tax and social security treatment applicable to shares granted for no consideration under Sections L. 225-197-1 to L. 225-197-5 and Sections L. 22-10-59 to L. 22-10-60 of the French Commercial Code, as amended.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Language</w:t>
      </w:r>
      <w:r>
        <w:rPr>
          <w:rFonts w:ascii="Times New Roman" w:hAnsi="Times New Roman"/>
          <w:color w:val="000000"/>
          <w:sz w:val="24"/>
        </w:rPr>
        <w:t>. By accepting the Restricted Stock Units, the Grantee confirms having read and understood the documents relating to the Restricted Stock Units, which were provided to the Grantee in English.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4"/>
        </w:rPr>
        <w:t xml:space="preserve">En acceptant l'attribution d’actions gratuites « Restricted </w:t>
      </w:r>
      <w:r>
        <w:rPr>
          <w:rFonts w:ascii="Times New Roman" w:hAnsi="Times New Roman"/>
          <w:color w:val="000000"/>
          <w:sz w:val="24"/>
        </w:rPr>
        <w:t xml:space="preserve">Stock </w:t>
      </w:r>
      <w:r>
        <w:rPr>
          <w:rFonts w:ascii="Times New Roman" w:hAnsi="Times New Roman"/>
          <w:i/>
          <w:color w:val="000000"/>
          <w:sz w:val="24"/>
        </w:rPr>
        <w:t xml:space="preserve">Units », le Grantee confirme avoir lu et compris les documents relatifs aux Restricted </w:t>
      </w:r>
      <w:r>
        <w:rPr>
          <w:rFonts w:ascii="Times New Roman" w:hAnsi="Times New Roman"/>
          <w:color w:val="000000"/>
          <w:sz w:val="24"/>
        </w:rPr>
        <w:t xml:space="preserve">Stock </w:t>
      </w:r>
      <w:r>
        <w:rPr>
          <w:rFonts w:ascii="Times New Roman" w:hAnsi="Times New Roman"/>
          <w:i/>
          <w:color w:val="000000"/>
          <w:sz w:val="24"/>
        </w:rPr>
        <w:t>Units qui ont été communiqués au Grantee en langue anglaise.</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GERMANY</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Certain transactions related to the Restricted Stock Units must be reported to the German Federal Bank (</w:t>
      </w:r>
      <w:r>
        <w:rPr>
          <w:rFonts w:ascii="Times New Roman" w:hAnsi="Times New Roman"/>
          <w:i/>
          <w:color w:val="000000"/>
          <w:sz w:val="24"/>
        </w:rPr>
        <w:t>Bundesbank</w:t>
      </w:r>
      <w:r>
        <w:rPr>
          <w:rFonts w:ascii="Times New Roman" w:hAnsi="Times New Roman"/>
          <w:color w:val="000000"/>
          <w:sz w:val="24"/>
        </w:rPr>
        <w:t>) if the value of the transaction exceeds €12,500 (the “</w:t>
      </w:r>
      <w:r>
        <w:rPr>
          <w:rFonts w:ascii="Times New Roman" w:hAnsi="Times New Roman"/>
          <w:b/>
          <w:i/>
          <w:color w:val="000000"/>
          <w:sz w:val="24"/>
        </w:rPr>
        <w:t>Threshold</w:t>
      </w:r>
      <w:r>
        <w:rPr>
          <w:rFonts w:ascii="Times New Roman" w:hAnsi="Times New Roman"/>
          <w:color w:val="000000"/>
          <w:sz w:val="20"/>
        </w:rPr>
        <w:t>”</w:t>
      </w:r>
      <w:r>
        <w:rPr>
          <w:rFonts w:ascii="Times New Roman" w:hAnsi="Times New Roman"/>
          <w:color w:val="000000"/>
          <w:sz w:val="24"/>
        </w:rPr>
        <w:t>). If the Grantee acquires Shares with a value in excess of the Threshold, the Employer will generally not report the acquisition of such Shares, and the Grantee may personally be obligated to report it to the Bundesbank.</w:t>
      </w:r>
    </w:p>
    <w:p>
      <w:pPr>
        <w:pStyle w:val="TextBody"/>
        <w:bidi w:val="0"/>
        <w:spacing w:before="0" w:after="240"/>
        <w:jc w:val="both"/>
        <w:rPr>
          <w:rFonts w:ascii="Times New Roman" w:hAnsi="Times New Roman"/>
          <w:sz w:val="20"/>
        </w:rPr>
      </w:pPr>
      <w:r>
        <w:rPr>
          <w:rFonts w:ascii="Times New Roman" w:hAnsi="Times New Roman"/>
          <w:color w:val="000000"/>
          <w:sz w:val="24"/>
        </w:rPr>
        <w:t>In addition, the Grantee will be required to report (i) any payment the Grantee makes or receives, (ii) any Shares withheld or sold by the Company to satisfy the Employer’s withholding obligations for Tax-Related Items, and (iii) any sale proceeds received when the Grantee subsequently sells the Shares, in either case if the value of the Shares exceeds the Threshold. Note that, if the Grantee reports the receipt of sale proceeds, the Grantee would not need to file a separate report when repatriating the sale proceeds to Germany.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report must be filed with the Bundesbank, either electronically using the “General Statistics Reporting Portal” (</w:t>
      </w:r>
      <w:r>
        <w:rPr>
          <w:rFonts w:ascii="Times New Roman" w:hAnsi="Times New Roman"/>
          <w:i/>
          <w:color w:val="000000"/>
          <w:sz w:val="24"/>
        </w:rPr>
        <w:t>Allgemeines Meldeportal Statistik</w:t>
      </w:r>
      <w:r>
        <w:rPr>
          <w:rFonts w:ascii="Times New Roman" w:hAnsi="Times New Roman"/>
          <w:color w:val="000000"/>
          <w:sz w:val="24"/>
        </w:rPr>
        <w:t xml:space="preserve">) available via the </w:t>
      </w:r>
      <w:r>
        <w:rPr>
          <w:rFonts w:ascii="Times New Roman" w:hAnsi="Times New Roman"/>
          <w:i/>
          <w:color w:val="000000"/>
          <w:sz w:val="24"/>
        </w:rPr>
        <w:t>Bundesbank’s</w:t>
      </w:r>
      <w:r>
        <w:rPr>
          <w:rFonts w:ascii="Times New Roman" w:hAnsi="Times New Roman"/>
          <w:color w:val="000000"/>
          <w:sz w:val="20"/>
        </w:rPr>
        <w:t xml:space="preserve"> </w:t>
      </w:r>
      <w:r>
        <w:rPr>
          <w:rFonts w:ascii="Times New Roman" w:hAnsi="Times New Roman"/>
          <w:color w:val="000000"/>
          <w:sz w:val="24"/>
        </w:rPr>
        <w:t>website (www.bundesbank.de) or by such other method (</w:t>
      </w:r>
      <w:r>
        <w:rPr>
          <w:rFonts w:ascii="Times New Roman" w:hAnsi="Times New Roman"/>
          <w:i/>
          <w:color w:val="000000"/>
          <w:sz w:val="24"/>
        </w:rPr>
        <w:t>e.g.</w:t>
      </w:r>
      <w:r>
        <w:rPr>
          <w:rFonts w:ascii="Times New Roman" w:hAnsi="Times New Roman"/>
          <w:color w:val="000000"/>
          <w:sz w:val="24"/>
        </w:rPr>
        <w:t xml:space="preserve">, email or telephone) as is permitted or required by the Bundesbank. The report must be submitted monthly or within such other time as is permitted or required by the Bundesbank. </w:t>
      </w:r>
      <w:r>
        <w:rPr>
          <w:rFonts w:ascii="Times New Roman" w:hAnsi="Times New Roman"/>
          <w:i/>
          <w:color w:val="000000"/>
          <w:sz w:val="24"/>
        </w:rPr>
        <w:t>The Grantee should consult a personal advisor to ensure compliance with applicable reporting obligations.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INDIA</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Due to Indian exchange control regulations, the proceeds from the sale of Shares acquired at vesting of the Restricted Stock Units and any cash dividends paid on Shares acquired under the Plan must be repatriated to India within a certain period of time, 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required under applicable regulations. The Grantee will receive a foreign inward remittance certificate (the “</w:t>
      </w:r>
      <w:r>
        <w:rPr>
          <w:rFonts w:ascii="Times New Roman" w:hAnsi="Times New Roman"/>
          <w:b/>
          <w:i/>
          <w:color w:val="000000"/>
          <w:sz w:val="24"/>
        </w:rPr>
        <w:t>FIRC</w:t>
      </w:r>
      <w:r>
        <w:rPr>
          <w:rFonts w:ascii="Times New Roman" w:hAnsi="Times New Roman"/>
          <w:color w:val="000000"/>
          <w:sz w:val="20"/>
        </w:rPr>
        <w:t>”</w:t>
      </w:r>
      <w:r>
        <w:rPr>
          <w:rFonts w:ascii="Times New Roman" w:hAnsi="Times New Roman"/>
          <w:color w:val="000000"/>
          <w:sz w:val="24"/>
        </w:rPr>
        <w:t>) from the bank where the Grantee deposits the foreign currency. The Grantee should maintain the FIRC as evidence of the repatriation of fund in the event the Reserve Bank of India, the Company, or the Employer requests proof of repatriation. The Grantee may be required to provide information regarding the Shares or funds related to participation in the Plan to the Company or the Employer to facilitate their compliance with filing requirements under exchange control laws in India. The Grantee should consult with a personal advisor in this regard.</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IRELAND</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Director Notification Information</w:t>
      </w:r>
      <w:r>
        <w:rPr>
          <w:rFonts w:ascii="Times New Roman" w:hAnsi="Times New Roman"/>
          <w:color w:val="000000"/>
          <w:sz w:val="24"/>
        </w:rPr>
        <w:t>. Directors, shadow directors, and secretaries of an Irish Affiliate must notify such Affiliate in writing upon (i) receiving or disposing of an interest in the Company (</w:t>
      </w:r>
      <w:r>
        <w:rPr>
          <w:rFonts w:ascii="Times New Roman" w:hAnsi="Times New Roman"/>
          <w:i/>
          <w:color w:val="000000"/>
          <w:sz w:val="24"/>
        </w:rPr>
        <w:t>e.g.</w:t>
      </w:r>
      <w:r>
        <w:rPr>
          <w:rFonts w:ascii="Times New Roman" w:hAnsi="Times New Roman"/>
          <w:color w:val="000000"/>
          <w:sz w:val="24"/>
        </w:rPr>
        <w:t>, the Restricted Stock Units, Shares,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a personal legal advisor as to whether or not this notification requirement applies.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JAPAN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If the Grantee acquires Shares valued at more than ¥100,000,000 in a single transaction, the Grantee must file a Securities Acquisition Report with the Ministry of Finance through the Bank of Japan within 20 days of the acquisition of the Shares.</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NETHERLANDS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country-specific provisions.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SINGAPORE</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Restrictions on Sale and Transferability</w:t>
      </w:r>
      <w:r>
        <w:rPr>
          <w:rFonts w:ascii="Times New Roman" w:hAnsi="Times New Roman"/>
          <w:color w:val="000000"/>
          <w:sz w:val="24"/>
        </w:rPr>
        <w:t>. The Grantee hereby agrees that any Shares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w:t>
      </w:r>
      <w:r>
        <w:rPr>
          <w:rFonts w:ascii="Times New Roman" w:hAnsi="Times New Roman"/>
          <w:b/>
          <w:i/>
          <w:color w:val="000000"/>
          <w:sz w:val="24"/>
        </w:rPr>
        <w:t>SFA</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The grant of the Restricted Stock Units is being made</w:t>
      </w:r>
      <w:r>
        <w:rPr>
          <w:rFonts w:ascii="Times New Roman" w:hAnsi="Times New Roman"/>
          <w:color w:val="000000"/>
          <w:sz w:val="20"/>
        </w:rPr>
        <w:t xml:space="preserve"> </w:t>
      </w:r>
      <w:r>
        <w:rPr>
          <w:rFonts w:ascii="Times New Roman" w:hAnsi="Times New Roman"/>
          <w:color w:val="000000"/>
          <w:sz w:val="24"/>
        </w:rPr>
        <w:t>pursuant to the “Qualifying Person” exemption under section 273(1)(f) of the SFA and is not made with a view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Shares being subsequently offered for sale to any other party. The Plan has not been lodged or registered as a prospectus with the Monetary Authority of Singapore.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u w:val="single"/>
        </w:rPr>
        <w:t>Director Notification Obligation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directors (including alternative directors, substitute directors, and shadow directors) of a Singaporean Affiliate are subject to certain notification requirements under the Singapore Companies Act. The directors must notify the Singaporean Affiliate in writing of an interest (</w:t>
      </w:r>
      <w:r>
        <w:rPr>
          <w:rFonts w:ascii="Times New Roman" w:hAnsi="Times New Roman"/>
          <w:i/>
          <w:color w:val="000000"/>
          <w:sz w:val="24"/>
        </w:rPr>
        <w:t>e.g.</w:t>
      </w:r>
      <w:r>
        <w:rPr>
          <w:rFonts w:ascii="Times New Roman" w:hAnsi="Times New Roman"/>
          <w:color w:val="000000"/>
          <w:sz w:val="24"/>
        </w:rPr>
        <w:t>, the Award or Shares) in the Company within two (2) business days of (i) its acquisition or disposal, (ii) any change in a previously-disclosed interest (</w:t>
      </w:r>
      <w:r>
        <w:rPr>
          <w:rFonts w:ascii="Times New Roman" w:hAnsi="Times New Roman"/>
          <w:i/>
          <w:color w:val="000000"/>
          <w:sz w:val="24"/>
        </w:rPr>
        <w:t>e.g.,</w:t>
      </w:r>
      <w:r>
        <w:rPr>
          <w:rFonts w:ascii="Times New Roman" w:hAnsi="Times New Roman"/>
          <w:color w:val="000000"/>
          <w:sz w:val="20"/>
        </w:rPr>
        <w:t xml:space="preserve"> </w:t>
      </w:r>
      <w:r>
        <w:rPr>
          <w:rFonts w:ascii="Times New Roman" w:hAnsi="Times New Roman"/>
          <w:color w:val="000000"/>
          <w:sz w:val="24"/>
        </w:rPr>
        <w:t>upon vesting of the Restricted Stock Units or when Shares acquired under the Plan are subsequently sold), or (iii) becoming a director.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SPAIN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Nature of Grant</w:t>
      </w:r>
      <w:r>
        <w:rPr>
          <w:rFonts w:ascii="Times New Roman" w:hAnsi="Times New Roman"/>
          <w:color w:val="000000"/>
          <w:sz w:val="24"/>
        </w:rPr>
        <w:t>. The following provision supplements Paragraph 10 of the Global Restricted Stock Unit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accepting the Restricted Stock Unit, Grantee consents to participation in the Plan and acknowledges that Grantee has received a copy of the Plan.</w:t>
      </w:r>
    </w:p>
    <w:p>
      <w:pPr>
        <w:pStyle w:val="TextBody"/>
        <w:bidi w:val="0"/>
        <w:spacing w:before="0" w:after="240"/>
        <w:jc w:val="both"/>
        <w:rPr>
          <w:rFonts w:ascii="Times New Roman" w:hAnsi="Times New Roman"/>
          <w:sz w:val="20"/>
        </w:rPr>
      </w:pPr>
      <w:r>
        <w:rPr>
          <w:rFonts w:ascii="Times New Roman" w:hAnsi="Times New Roman"/>
          <w:color w:val="000000"/>
          <w:sz w:val="24"/>
        </w:rPr>
        <w:t>Grantee understands and agrees that, as a condition of the grant of the Restricted Stock Unit, except as provided for in the Global Restricted Stock Unit Award Agreement, the termination of Grantee’s Service Relationship for any reason (including for the reasons herein) will automatically result in the loss of the Restricted Stock Unit that may have been granted and that have not vested on the date of 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particular, Grantee understands and agrees that any unvested Restricted Stock Unit as of Grantee’s termination date, unless otherwise specified in Global Restricted Stock Unit Award Agreement, will be forfeited without entitlement to the underlying Shares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hAnsi="Times New Roman"/>
          <w:i/>
          <w:color w:val="000000"/>
          <w:sz w:val="24"/>
        </w:rPr>
        <w:t>i</w:t>
      </w:r>
      <w:r>
        <w:rPr>
          <w:rFonts w:ascii="Times New Roman" w:hAnsi="Times New Roman"/>
          <w:color w:val="000000"/>
          <w:sz w:val="24"/>
        </w:rPr>
        <w:t>.</w:t>
      </w:r>
      <w:r>
        <w:rPr>
          <w:rFonts w:ascii="Times New Roman" w:hAnsi="Times New Roman"/>
          <w:i/>
          <w:color w:val="000000"/>
          <w:sz w:val="24"/>
        </w:rPr>
        <w:t>e</w:t>
      </w:r>
      <w:r>
        <w:rPr>
          <w:rFonts w:ascii="Times New Roman" w:hAnsi="Times New Roman"/>
          <w:color w:val="000000"/>
          <w:sz w:val="24"/>
        </w:rPr>
        <w:t>., subject to a “</w:t>
      </w:r>
      <w:r>
        <w:rPr>
          <w:rFonts w:ascii="Times New Roman" w:hAnsi="Times New Roman"/>
          <w:i/>
          <w:color w:val="000000"/>
          <w:sz w:val="24"/>
        </w:rPr>
        <w:t>despido improcedente</w:t>
      </w:r>
      <w:r>
        <w:rPr>
          <w:rFonts w:ascii="Times New Roman" w:hAnsi="Times New Roman"/>
          <w:color w:val="000000"/>
          <w:sz w:val="20"/>
        </w:rPr>
        <w:t>”</w:t>
      </w:r>
      <w:r>
        <w:rPr>
          <w:rFonts w:ascii="Times New Roman" w:hAnsi="Times New Roman"/>
          <w:color w:val="000000"/>
          <w:sz w:val="24"/>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Furthermore, the Grantee understands that the Company has unilaterally, gratuitously, and discretionally decided to grant the Restricted Stock Unit under the Plan to individuals who may be service providers of the Company or its Affiliates. The decision is a limited decision that is entered into upon the express assumption and condition that any grant will not economically or otherwise bind the Company on an ongoing basis other than to the extent set forth in the Global Restricted Stock Unit Award Agreement. Consequently, Grantee understands that the Restricted Stock Unit is granted on the assumption and condition that the Restricted Stock Unit and the Shares issued upon vesting shall not become a part of any employment or contract (with the Company, including the Employer) and shall not be considered a mandatory benefit, salary for any purposes (including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severance compensation), or any other right whatsoever. Furthermore, the Grantee understands and freely accepts that there is no guarantee that any benefit whatsoever will arise from the Restricted Stock Unit, which is gratuitous and discretionary, since the future value of the Restricted Stock Unit and the underlying Shares is unknown and unpredictable. In addition, Grantee understands that the grant of the Restricted Stock Unit would not be made to Grantee but for the assumptions and conditions referred to above; thus, Grantee acknowledges and freely accepts that should any or all of the assumptions be mistaken or should any of the conditions not be met for any reason, then any grant to Grantee shall be null and void.</w:t>
      </w:r>
      <w:r>
        <w:rPr>
          <w:rFonts w:ascii="Times New Roman" w:hAnsi="Times New Roman"/>
          <w:smallCaps/>
          <w:color w:val="000000"/>
          <w:sz w:val="20"/>
        </w:rPr>
        <w:t xml:space="preserve">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Securities Law Information</w:t>
      </w:r>
      <w:r>
        <w:rPr>
          <w:rFonts w:ascii="Times New Roman" w:hAnsi="Times New Roman"/>
          <w:color w:val="000000"/>
          <w:sz w:val="24"/>
        </w:rPr>
        <w:t xml:space="preserve">. No “offer of securities to the public,” as defined under Spanish law, has taken place or will take place in the Spanish territory. The Global Restricted Stock Unit Award Agreement (including this Appendix) has not been nor will it be registered with the </w:t>
      </w:r>
      <w:r>
        <w:rPr>
          <w:rFonts w:ascii="Times New Roman" w:hAnsi="Times New Roman"/>
          <w:i/>
          <w:color w:val="000000"/>
          <w:sz w:val="24"/>
        </w:rPr>
        <w:t>Comisión Nacional del Mercado de Valores</w:t>
      </w:r>
      <w:r>
        <w:rPr>
          <w:rFonts w:ascii="Times New Roman" w:hAnsi="Times New Roman"/>
          <w:color w:val="000000"/>
          <w:sz w:val="24"/>
        </w:rPr>
        <w:t>, and does not constitute a public offering prospectus.</w:t>
      </w:r>
    </w:p>
    <w:p>
      <w:pPr>
        <w:pStyle w:val="TextBody"/>
        <w:bidi w:val="0"/>
        <w:jc w:val="both"/>
        <w:rPr>
          <w:rFonts w:ascii="Times New Roman" w:hAnsi="Times New Roman"/>
          <w:sz w:val="20"/>
        </w:rPr>
      </w:pPr>
      <w:r>
        <w:rPr>
          <w:rFonts w:ascii="Times New Roman" w:hAnsi="Times New Roman"/>
          <w:color w:val="000000"/>
          <w:sz w:val="24"/>
          <w:u w:val="single"/>
        </w:rPr>
        <w:t>Exchange Control Information</w:t>
      </w:r>
      <w:r>
        <w:rPr>
          <w:rFonts w:ascii="Times New Roman" w:hAnsi="Times New Roman"/>
          <w:color w:val="000000"/>
          <w:sz w:val="24"/>
        </w:rPr>
        <w:t>. The Grantee will be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€1,000,000.</w:t>
      </w:r>
    </w:p>
    <w:p>
      <w:pPr>
        <w:pStyle w:val="TextBody"/>
        <w:bidi w:val="0"/>
        <w:jc w:val="left"/>
        <w:rPr/>
      </w:pPr>
      <w:r>
        <w:rPr/>
        <w:t> </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SWEDEN</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 supplements Paragraph 6 of the Global Restricted Stock Unit Award Agreement: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or to sell Shares otherwise deliverable to the Grantee upon settlement/vesting to satisfy Tax-Related Items, regardless of whether the Company and/or the Employer have an obligation to withhold such Tax-Related Items.</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UNITED KINGDOM</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u w:val="single"/>
        </w:rPr>
        <w:t>Responsibility for Taxes</w:t>
      </w:r>
      <w:r>
        <w:rPr>
          <w:rFonts w:ascii="Times New Roman" w:hAnsi="Times New Roman"/>
          <w:color w:val="000000"/>
          <w:sz w:val="24"/>
        </w:rPr>
        <w:t>. The following provisions supplement Paragraph 6 of the Global Restricted Stock Unit Award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Without limitation to Section 6 of the Global Restricted Stock Unit Award Agreement, the Grantee agrees that the Grantee is liable for all Tax-Related Items and hereby covenants to pay all such Tax-Related Items as and when requested by the Company or the Employer or by HM Revenue and Customs (“</w:t>
      </w:r>
      <w:r>
        <w:rPr>
          <w:rFonts w:ascii="Times New Roman" w:hAnsi="Times New Roman"/>
          <w:b/>
          <w:i/>
          <w:color w:val="000000"/>
          <w:sz w:val="24"/>
        </w:rPr>
        <w:t>HMRC</w:t>
      </w:r>
      <w:r>
        <w:rPr>
          <w:rFonts w:ascii="Times New Roman" w:hAnsi="Times New Roman"/>
          <w:color w:val="000000"/>
          <w:sz w:val="20"/>
        </w:rPr>
        <w:t>”</w:t>
      </w:r>
      <w:r>
        <w:rPr>
          <w:rFonts w:ascii="Times New Roman" w:hAnsi="Times New Roman"/>
          <w:color w:val="000000"/>
          <w:sz w:val="24"/>
        </w:rPr>
        <w:t>) (or any other tax authority or any other relevant authority). The Grantee also agrees to indemnify and keep indemnified the Company or the Employer against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Tax-Related Items that they are required to pay or withhold or have paid or will pay to HMRC (or any other tax authority or any other relevant authority) on the Grantee’s behalf.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w:t>
      </w:r>
      <w:r>
        <w:rPr>
          <w:rFonts w:ascii="Times New Roman" w:hAnsi="Times New Roman"/>
          <w:b/>
          <w:i/>
          <w:color w:val="000000"/>
          <w:sz w:val="24"/>
        </w:rPr>
        <w:t>NICs</w:t>
      </w:r>
      <w:r>
        <w:rPr>
          <w:rFonts w:ascii="Times New Roman" w:hAnsi="Times New Roman"/>
          <w:color w:val="000000"/>
          <w:sz w:val="20"/>
        </w:rPr>
        <w:t>”</w:t>
      </w:r>
      <w:r>
        <w:rPr>
          <w:rFonts w:ascii="Times New Roman" w:hAnsi="Times New Roman"/>
          <w:color w:val="000000"/>
          <w:sz w:val="24"/>
        </w:rPr>
        <w:t>)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Section 6 of the Global Restricted Stock Unit Award Agreement.</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hubs-ex10_2.htm"/>
      <w:bookmarkStart w:id="25" w:name="kshubsex10_2"/>
      <w:bookmarkEnd w:id="24"/>
      <w:bookmarkEnd w:id="25"/>
      <w:r>
        <w:rPr>
          <w:rFonts w:ascii="Times New Roman" w:hAnsi="Times New Roman"/>
          <w:b/>
          <w:color w:val="000000"/>
          <w:sz w:val="20"/>
        </w:rPr>
        <w:t>Exhibit 10.2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HUBSPOT,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AMENDED AND RESTATED NON-EMPLOYEE DIRECTOR COMPENSATION POLICY</w:t>
      </w:r>
    </w:p>
    <w:p>
      <w:pPr>
        <w:pStyle w:val="TextBody"/>
        <w:bidi w:val="0"/>
        <w:spacing w:before="240" w:after="283"/>
        <w:jc w:val="left"/>
        <w:rPr>
          <w:rFonts w:ascii="Times New Roman" w:hAnsi="Times New Roman"/>
          <w:sz w:val="20"/>
        </w:rPr>
      </w:pPr>
      <w:r>
        <w:rPr>
          <w:rFonts w:ascii="Times New Roman" w:hAnsi="Times New Roman"/>
          <w:color w:val="000000"/>
          <w:sz w:val="20"/>
        </w:rPr>
        <w:t>The purpose of this Amended and Restated Non-Employee Director Compensation Policy (the “</w:t>
      </w:r>
      <w:r>
        <w:rPr>
          <w:rFonts w:ascii="Times New Roman" w:hAnsi="Times New Roman"/>
          <w:b/>
          <w:color w:val="000000"/>
          <w:sz w:val="20"/>
        </w:rPr>
        <w:t>Policy</w:t>
      </w:r>
      <w:r>
        <w:rPr>
          <w:rFonts w:ascii="Times New Roman" w:hAnsi="Times New Roman"/>
          <w:color w:val="000000"/>
          <w:sz w:val="20"/>
        </w:rPr>
        <w:t>”) of HubSpot, Inc. (the “</w:t>
      </w:r>
      <w:r>
        <w:rPr>
          <w:rFonts w:ascii="Times New Roman" w:hAnsi="Times New Roman"/>
          <w:b/>
          <w:color w:val="000000"/>
          <w:sz w:val="20"/>
        </w:rPr>
        <w:t>Company</w:t>
      </w:r>
      <w:r>
        <w:rPr>
          <w:rFonts w:ascii="Times New Roman" w:hAnsi="Times New Roman"/>
          <w:color w:val="000000"/>
          <w:sz w:val="20"/>
        </w:rPr>
        <w:t>”), is to provide a total compensation package that enables the Company to attract and retain, on a long-term basis, high-caliber directors who are not employees or officers of the Company or its subsidiaries (“</w:t>
      </w:r>
      <w:r>
        <w:rPr>
          <w:rFonts w:ascii="Times New Roman" w:hAnsi="Times New Roman"/>
          <w:b/>
          <w:color w:val="000000"/>
          <w:sz w:val="20"/>
        </w:rPr>
        <w:t>Outside Directors</w:t>
      </w:r>
      <w:r>
        <w:rPr>
          <w:rFonts w:ascii="Times New Roman" w:hAnsi="Times New Roman"/>
          <w:color w:val="000000"/>
          <w:sz w:val="20"/>
        </w:rPr>
        <w:t>”). This Policy will become effective as of June 11, 2024 (the “Effective Date”). In furtherance of the purpose stated above, all Outside Directors shall be paid compensation for services provided to the Company as set forth below:</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Cash Retainers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Annual Retainer for Board Membership</w:t>
      </w:r>
      <w:r>
        <w:rPr>
          <w:rFonts w:ascii="Times New Roman" w:hAnsi="Times New Roman"/>
          <w:color w:val="000000"/>
          <w:sz w:val="20"/>
        </w:rPr>
        <w:t>: $50,000 for general availability and participation in meetings and conference calls of the Board of Directors the (“</w:t>
      </w:r>
      <w:r>
        <w:rPr>
          <w:rFonts w:ascii="Times New Roman" w:hAnsi="Times New Roman"/>
          <w:b/>
          <w:color w:val="000000"/>
          <w:sz w:val="20"/>
        </w:rPr>
        <w:t>Board</w:t>
      </w:r>
      <w:r>
        <w:rPr>
          <w:rFonts w:ascii="Times New Roman" w:hAnsi="Times New Roman"/>
          <w:color w:val="000000"/>
          <w:sz w:val="20"/>
        </w:rPr>
        <w:t>”), to be paid quarterly in advance. No additional compensation will be paid for attending individual meetings of the Board.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Retainer for Lead Independent Director</w:t>
      </w:r>
      <w:r>
        <w:rPr>
          <w:rFonts w:ascii="Times New Roman" w:hAnsi="Times New Roman"/>
          <w:color w:val="000000"/>
          <w:sz w:val="20"/>
        </w:rPr>
        <w:t>: $25,000 to be paid quarterly, in advance.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Additional Retainers for Committee Membership to be paid quarterly, in advance:</w:t>
      </w:r>
    </w:p>
    <w:tbl>
      <w:tblPr>
        <w:tblW w:w="6683" w:type="dxa"/>
        <w:jc w:val="left"/>
        <w:tblInd w:w="0" w:type="dxa"/>
        <w:tblLayout w:type="fixed"/>
        <w:tblCellMar>
          <w:top w:w="28" w:type="dxa"/>
          <w:left w:w="28" w:type="dxa"/>
          <w:bottom w:w="28" w:type="dxa"/>
          <w:right w:w="28" w:type="dxa"/>
        </w:tblCellMar>
      </w:tblPr>
      <w:tblGrid>
        <w:gridCol w:w="5356"/>
        <w:gridCol w:w="109"/>
        <w:gridCol w:w="211"/>
        <w:gridCol w:w="676"/>
        <w:gridCol w:w="331"/>
      </w:tblGrid>
      <w:tr>
        <w:trPr/>
        <w:tc>
          <w:tcPr>
            <w:tcW w:w="5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356" w:type="dxa"/>
            <w:tcBorders/>
            <w:shd w:fill="CCEEFF" w:val="clear"/>
            <w:tcMar>
              <w:top w:w="0" w:type="dxa"/>
              <w:left w:w="0" w:type="dxa"/>
              <w:bottom w:w="0" w:type="dxa"/>
              <w:right w:w="0" w:type="dxa"/>
            </w:tcM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Audit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Audit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356" w:type="dxa"/>
            <w:tcBorders/>
            <w:shd w:fill="CCEEFF" w:val="clear"/>
            <w:tcMar>
              <w:top w:w="0" w:type="dxa"/>
              <w:left w:w="0" w:type="dxa"/>
              <w:bottom w:w="0" w:type="dxa"/>
              <w:right w:w="0" w:type="dxa"/>
            </w:tcM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Compensation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Compensation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31"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356" w:type="dxa"/>
            <w:tcBorders/>
            <w:shd w:fill="CCEEFF" w:val="clear"/>
            <w:tcMar>
              <w:top w:w="0" w:type="dxa"/>
              <w:left w:w="0" w:type="dxa"/>
              <w:bottom w:w="0" w:type="dxa"/>
              <w:right w:w="0" w:type="dxa"/>
            </w:tcM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Nominating and Corporate Governance Committee Chairperson: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Nominating and Corporate Governance Committee 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Note: Chairperson retainers are in addition to member retainers. No equity retainers shall be paid as compensation for committee membership. No additional compensation will be paid for attending individual committee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Directors shall be entitled to retain any retainer fees paid in advance with respect to the quarter in which the Outside Director ceases to be a director or ceases to serve on a committee, as committee Chair or as Lead Independent Director.</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Equity Retainers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Annual equity grants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On the date of each annual meeting of stockholders of the Company (each, an “</w:t>
      </w:r>
      <w:r>
        <w:rPr>
          <w:rFonts w:ascii="Times New Roman" w:hAnsi="Times New Roman"/>
          <w:b/>
          <w:color w:val="000000"/>
          <w:sz w:val="20"/>
        </w:rPr>
        <w:t>Annual Meeting</w:t>
      </w:r>
      <w:r>
        <w:rPr>
          <w:rFonts w:ascii="Times New Roman" w:hAnsi="Times New Roman"/>
          <w:color w:val="000000"/>
          <w:sz w:val="20"/>
        </w:rPr>
        <w:t>”), each Outside Director will receive an annual equity award (the “</w:t>
      </w:r>
      <w:r>
        <w:rPr>
          <w:rFonts w:ascii="Times New Roman" w:hAnsi="Times New Roman"/>
          <w:b/>
          <w:color w:val="000000"/>
          <w:sz w:val="20"/>
        </w:rPr>
        <w:t>Annual Grant</w:t>
      </w:r>
      <w:r>
        <w:rPr>
          <w:rFonts w:ascii="Times New Roman" w:hAnsi="Times New Roman"/>
          <w:color w:val="000000"/>
          <w:sz w:val="20"/>
        </w:rPr>
        <w:t>”) with a Value of $250,000. Annual Grants will be in the form of restricted stock units (“</w:t>
      </w:r>
      <w:r>
        <w:rPr>
          <w:rFonts w:ascii="Times New Roman" w:hAnsi="Times New Roman"/>
          <w:b/>
          <w:color w:val="000000"/>
          <w:sz w:val="20"/>
        </w:rPr>
        <w:t>RSUs</w:t>
      </w:r>
      <w:r>
        <w:rPr>
          <w:rFonts w:ascii="Times New Roman" w:hAnsi="Times New Roman"/>
          <w:color w:val="000000"/>
          <w:sz w:val="20"/>
        </w:rPr>
        <w:t>”). Annual Grants will vest in equal quarterly installments over a one-year period from the grant date, with the final installment vesting on the earlier of (i) the first anniversary of the date of grant or (ii) the date of the next Annual Meeting following the date of grant, provided, however, that all vesting shall cease if the Outside Director ceases to serve as a member of the Board, unless the Board determines that the circumstances warrant continuation of vesting. Newly elected Outside Directors will receive a pro-rated Annual Grant in connection with their appointment or election to the Board.</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Value</w:t>
      </w:r>
      <w:r>
        <w:rPr>
          <w:rFonts w:ascii="Times New Roman" w:hAnsi="Times New Roman"/>
          <w:color w:val="000000"/>
          <w:sz w:val="20"/>
        </w:rPr>
        <w:t>: For purposes of this Policy, “</w:t>
      </w:r>
      <w:r>
        <w:rPr>
          <w:rFonts w:ascii="Times New Roman" w:hAnsi="Times New Roman"/>
          <w:b/>
          <w:color w:val="000000"/>
          <w:sz w:val="20"/>
        </w:rPr>
        <w:t>Value</w:t>
      </w:r>
      <w:r>
        <w:rPr>
          <w:rFonts w:ascii="Times New Roman" w:hAnsi="Times New Roman"/>
          <w:color w:val="000000"/>
          <w:sz w:val="20"/>
        </w:rPr>
        <w:t>” means with respect to RSUs, the product of (A) the 30-trading day trailing average of the closing price of one share of the Company’s common stock on the New York Stock Exchange (or such other market on which the Company’s common stock is then principally listed) on the grant date, and (B) the aggregate number of shares of common stock underlying such award.</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Acceleration of Equity Awards</w:t>
      </w:r>
      <w:r>
        <w:rPr>
          <w:rFonts w:ascii="Times New Roman" w:hAnsi="Times New Roman"/>
          <w:color w:val="000000"/>
          <w:sz w:val="20"/>
        </w:rPr>
        <w:t>: All unvested equity awards held by Outside Directors will accelerate and immediately vest if the Outside Director’s service relationship ends within three months prior to or twelve months following a Sale Event (as defined in the Company’s 2024 Stock Option and Incentive Plan).</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reimburse all reasonable out-of-pocket expenses incurred by non-employee directors in attending meetings of the Board or any Committee.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Last reviewed and amended: June 11,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hubs-ex31_1.htm"/>
      <w:bookmarkStart w:id="27" w:name="kshubs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hubs-ex31_2.htm"/>
      <w:bookmarkStart w:id="29" w:name="kshub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8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hubs-ex32_1.htm"/>
      <w:bookmarkStart w:id="31" w:name="kshub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Quarterly Report on Form 10-Q of HubSpot, Inc. for the period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2024</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247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6"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Quarterly Report on Form 10-Q of HubSpot, Inc. for the period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2024</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pPr>
            <w:r>
              <w:rPr/>
              <w:t> </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156459016013204/hubs-ex31_768.htm" TargetMode="External"/><Relationship Id="rId3" Type="http://schemas.openxmlformats.org/officeDocument/2006/relationships/hyperlink" Target="https://www.sec.gov/Archives/edgar/data/1404655/000095017024073731/hubs-ex3_1.htm" TargetMode="External"/><Relationship Id="rId4" Type="http://schemas.openxmlformats.org/officeDocument/2006/relationships/hyperlink" Target="https://www.sec.gov/Archives/edgar/data/1404655/000095017024073731/hubs-ex3_1.htm" TargetMode="External"/><Relationship Id="rId5" Type="http://schemas.openxmlformats.org/officeDocument/2006/relationships/hyperlink" Target="https://www.sec.gov/Archives/edgar/data/1404655/000095017024051323/hubs-ex3_1.htm" TargetMode="External"/><Relationship Id="rId6" Type="http://schemas.openxmlformats.org/officeDocument/2006/relationships/hyperlink" Target="https://www.sec.gov/Archives/edgar/data/1404655/000095017024051323/hubs-ex3_1.htm" TargetMode="External"/><Relationship Id="rId7" Type="http://schemas.openxmlformats.org/officeDocument/2006/relationships/hyperlink" Target="https://www.sec.gov/Archives/edgar/data/1404655/000119312514353746/d697256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70908</Words>
  <Characters>383257</Characters>
  <CharactersWithSpaces>455471</CharactersWithSpaces>
  <Paragraphs>9468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