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 2026</w:t>
      </w:r>
    </w:p>
    <w:p>
      <w:pPr>
        <w:spacing w:after="0" w:line="30" w:lineRule="exact"/>
        <w:rPr>
          <w:sz w:val="24"/>
          <w:szCs w:val="24"/>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 xml:space="preserve">Registration Statement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HubSpot,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20" w:type="dxa"/>
        <w:tblCellMar>
          <w:top w:w="0" w:type="dxa"/>
          <w:left w:w="0" w:type="dxa"/>
          <w:bottom w:w="0" w:type="dxa"/>
          <w:right w:w="0" w:type="dxa"/>
        </w:tblCellMar>
      </w:tblPr>
      <w:tr>
        <w:trPr>
          <w:trHeight w:val="211"/>
        </w:trPr>
        <w:tc>
          <w:tcPr>
            <w:tcW w:w="386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w w:val="98"/>
              </w:rPr>
              <w:t>20-2632791</w:t>
            </w:r>
          </w:p>
        </w:tc>
      </w:tr>
      <w:tr>
        <w:trPr>
          <w:trHeight w:val="147"/>
        </w:trPr>
        <w:tc>
          <w:tcPr>
            <w:tcW w:w="3860" w:type="dxa"/>
            <w:vAlign w:val="bottom"/>
          </w:tcPr>
          <w:p>
            <w:pPr>
              <w:jc w:val="center"/>
              <w:ind w:right="192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4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860" w:type="dxa"/>
            <w:vAlign w:val="bottom"/>
          </w:tcPr>
          <w:p>
            <w:pPr>
              <w:jc w:val="center"/>
              <w:ind w:right="19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Canal Park</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02141</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482-7768</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Yamini Rangan</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Canal Park</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02141</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482-7768</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4" w:lineRule="exact"/>
        <w:rPr>
          <w:sz w:val="24"/>
          <w:szCs w:val="24"/>
          <w:color w:val="auto"/>
        </w:rPr>
      </w:pPr>
    </w:p>
    <w:tbl>
      <w:tblPr>
        <w:tblLayout w:type="fixed"/>
        <w:tblInd w:w="164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50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1"/>
        </w:trPr>
        <w:tc>
          <w:tcPr>
            <w:tcW w:w="282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Mark T. Bettencourt, Esq.</w:t>
            </w:r>
          </w:p>
        </w:tc>
        <w:tc>
          <w:tcPr>
            <w:tcW w:w="5060" w:type="dxa"/>
            <w:vAlign w:val="bottom"/>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Erika Fisher, Esq.</w:t>
            </w:r>
          </w:p>
        </w:tc>
      </w:tr>
      <w:tr>
        <w:trPr>
          <w:trHeight w:val="214"/>
        </w:trPr>
        <w:tc>
          <w:tcPr>
            <w:tcW w:w="2820" w:type="dxa"/>
            <w:vAlign w:val="bottom"/>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w w:val="97"/>
              </w:rPr>
              <w:t>Joseph C. Theis, Jr., Esq.</w:t>
            </w:r>
          </w:p>
        </w:tc>
        <w:tc>
          <w:tcPr>
            <w:tcW w:w="5060" w:type="dxa"/>
            <w:vAlign w:val="bottom"/>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7"/>
              </w:rPr>
              <w:t>Chief Legal Officer</w:t>
            </w:r>
          </w:p>
        </w:tc>
      </w:tr>
      <w:tr>
        <w:trPr>
          <w:trHeight w:val="214"/>
        </w:trPr>
        <w:tc>
          <w:tcPr>
            <w:tcW w:w="282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Justin S. Anslow, Esq.</w:t>
            </w:r>
          </w:p>
        </w:tc>
        <w:tc>
          <w:tcPr>
            <w:tcW w:w="5060" w:type="dxa"/>
            <w:vAlign w:val="bottom"/>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HubSpot, Inc.</w:t>
            </w:r>
          </w:p>
        </w:tc>
      </w:tr>
      <w:tr>
        <w:trPr>
          <w:trHeight w:val="214"/>
        </w:trPr>
        <w:tc>
          <w:tcPr>
            <w:tcW w:w="2820" w:type="dxa"/>
            <w:vAlign w:val="bottom"/>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w w:val="98"/>
              </w:rPr>
              <w:t>Goodwin Procter LLP</w:t>
            </w:r>
          </w:p>
        </w:tc>
        <w:tc>
          <w:tcPr>
            <w:tcW w:w="5060" w:type="dxa"/>
            <w:vAlign w:val="bottom"/>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9"/>
              </w:rPr>
              <w:t>Two Canal Park</w:t>
            </w:r>
          </w:p>
        </w:tc>
      </w:tr>
      <w:tr>
        <w:trPr>
          <w:trHeight w:val="214"/>
        </w:trPr>
        <w:tc>
          <w:tcPr>
            <w:tcW w:w="2820" w:type="dxa"/>
            <w:vAlign w:val="bottom"/>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w w:val="97"/>
              </w:rPr>
              <w:t>100 Northern Avenue</w:t>
            </w:r>
          </w:p>
        </w:tc>
        <w:tc>
          <w:tcPr>
            <w:tcW w:w="5060" w:type="dxa"/>
            <w:vAlign w:val="bottom"/>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02141</w:t>
            </w:r>
          </w:p>
        </w:tc>
      </w:tr>
      <w:tr>
        <w:trPr>
          <w:trHeight w:val="214"/>
        </w:trPr>
        <w:tc>
          <w:tcPr>
            <w:tcW w:w="282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Boston, Massachusetts 02210</w:t>
            </w:r>
          </w:p>
        </w:tc>
        <w:tc>
          <w:tcPr>
            <w:tcW w:w="5060" w:type="dxa"/>
            <w:vAlign w:val="bottom"/>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7"/>
              </w:rPr>
              <w:t>(888) 482-7768</w:t>
            </w:r>
          </w:p>
        </w:tc>
      </w:tr>
      <w:tr>
        <w:trPr>
          <w:trHeight w:val="237"/>
        </w:trPr>
        <w:tc>
          <w:tcPr>
            <w:tcW w:w="282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236855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left="6" w:firstLine="436"/>
        <w:spacing w:after="0" w:line="257" w:lineRule="auto"/>
        <w:rPr>
          <w:sz w:val="20"/>
          <w:szCs w:val="20"/>
          <w:color w:val="auto"/>
        </w:rPr>
      </w:pPr>
      <w:r>
        <w:rPr>
          <w:rFonts w:ascii="Times New Roman" w:cs="Times New Roman" w:eastAsia="Times New Roman" w:hAnsi="Times New Roman"/>
          <w:sz w:val="18"/>
          <w:szCs w:val="18"/>
          <w:color w:val="auto"/>
        </w:rPr>
        <w:t>This Registration Statement on Form S-8 is being filed to register an additional 2,300,000 shares of common stock, $0.001 par value per share (the “Common Stock”), of HubSpot, Inc. (the “Registrant”), to be issued under the Registrant’s 2024 Stock Option and Incentive Plan (the “2024 Plan”). On June 15, 2026, pursuant to an amendment to the 2024 Plan, the number of shares of Common Stock reserved and available for issuance under the 2024 Plan increased by 2,300,000 shares. This Registration Statement registers these additional 2,300,000 shares of Common Stock.</w:t>
      </w:r>
    </w:p>
    <w:p>
      <w:pPr>
        <w:spacing w:after="0" w:line="182" w:lineRule="exact"/>
        <w:rPr>
          <w:sz w:val="20"/>
          <w:szCs w:val="20"/>
          <w:color w:val="auto"/>
        </w:rPr>
      </w:pPr>
    </w:p>
    <w:p>
      <w:pPr>
        <w:ind w:left="6" w:right="20" w:firstLine="436"/>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shares described above are of the same class as other securities relating to the 2024 Plan for which the Registrant’s registration statement filed on Form S-8, File No. </w:t>
      </w:r>
      <w:hyperlink r:id="rId17">
        <w:r>
          <w:rPr>
            <w:rFonts w:ascii="Times New Roman" w:cs="Times New Roman" w:eastAsia="Times New Roman" w:hAnsi="Times New Roman"/>
            <w:sz w:val="18"/>
            <w:szCs w:val="18"/>
            <w:u w:val="single" w:color="auto"/>
            <w:color w:val="0000EE"/>
          </w:rPr>
          <w:t>333-280539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Securities and Exchange Commission (the “SEC”) on June 27, 2024) is effective. Pursuant to General Instruction E to Form S-8, the contents of the Registrant’s prior registration statement on Form S-8, File No. </w:t>
      </w:r>
      <w:hyperlink r:id="rId17">
        <w:r>
          <w:rPr>
            <w:rFonts w:ascii="Times New Roman" w:cs="Times New Roman" w:eastAsia="Times New Roman" w:hAnsi="Times New Roman"/>
            <w:sz w:val="18"/>
            <w:szCs w:val="18"/>
            <w:u w:val="single" w:color="auto"/>
            <w:color w:val="0000EE"/>
          </w:rPr>
          <w:t>333-280539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27, 2024), relating to the 2024 Plan, are incorporated herein by reference, except to the extent supplemented or amended or superseded by the information set forth herein.</w:t>
      </w:r>
    </w:p>
    <w:p>
      <w:pPr>
        <w:spacing w:after="0" w:line="3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020" w:type="dxa"/>
            <w:vAlign w:val="bottom"/>
          </w:tcPr>
          <w:p>
            <w:pPr>
              <w:jc w:val="center"/>
              <w:ind w:right="244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7"/>
        </w:trPr>
        <w:tc>
          <w:tcPr>
            <w:tcW w:w="3020" w:type="dxa"/>
            <w:vAlign w:val="bottom"/>
          </w:tcPr>
          <w:p>
            <w:pPr>
              <w:jc w:val="center"/>
              <w:ind w:right="2449"/>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-8890</wp:posOffset>
            </wp:positionV>
            <wp:extent cx="6336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336665" cy="8255"/>
                    </a:xfrm>
                    <a:prstGeom prst="rect">
                      <a:avLst/>
                    </a:prstGeom>
                    <a:noFill/>
                  </pic:spPr>
                </pic:pic>
              </a:graphicData>
            </a:graphic>
          </wp:anchor>
        </w:drawing>
      </w:r>
    </w:p>
    <w:p>
      <w:pPr>
        <w:spacing w:after="0" w:line="53" w:lineRule="exact"/>
        <w:rPr>
          <w:sz w:val="20"/>
          <w:szCs w:val="20"/>
          <w:color w:val="auto"/>
        </w:rPr>
      </w:pPr>
    </w:p>
    <w:p>
      <w:pPr>
        <w:ind w:left="926" w:right="680" w:hanging="926"/>
        <w:spacing w:after="0" w:line="277" w:lineRule="auto"/>
        <w:tabs>
          <w:tab w:leader="none" w:pos="9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19">
        <w:r>
          <w:rPr>
            <w:rFonts w:ascii="Times New Roman" w:cs="Times New Roman" w:eastAsia="Times New Roman" w:hAnsi="Times New Roman"/>
            <w:sz w:val="18"/>
            <w:szCs w:val="18"/>
            <w:u w:val="single" w:color="auto"/>
            <w:color w:val="0000EE"/>
          </w:rPr>
          <w:t xml:space="preserve">Eighth Amended and Restated Certificate of Incorporation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herein by reference to Exhibit 3.1 to the</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Registrant’s Form 8-K filed on June 10, 2025).</w:t>
      </w:r>
    </w:p>
    <w:p>
      <w:pPr>
        <w:spacing w:after="0" w:line="56" w:lineRule="exact"/>
        <w:rPr>
          <w:rFonts w:ascii="Times New Roman" w:cs="Times New Roman" w:eastAsia="Times New Roman" w:hAnsi="Times New Roman"/>
          <w:sz w:val="18"/>
          <w:szCs w:val="18"/>
          <w:u w:val="single" w:color="auto"/>
          <w:color w:val="0000EE"/>
        </w:rPr>
      </w:pPr>
    </w:p>
    <w:p>
      <w:pPr>
        <w:ind w:left="926" w:right="180" w:hanging="926"/>
        <w:spacing w:after="0" w:line="277" w:lineRule="auto"/>
        <w:tabs>
          <w:tab w:leader="none" w:pos="9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0">
        <w:r>
          <w:rPr>
            <w:rFonts w:ascii="Times New Roman" w:cs="Times New Roman" w:eastAsia="Times New Roman" w:hAnsi="Times New Roman"/>
            <w:sz w:val="18"/>
            <w:szCs w:val="18"/>
            <w:u w:val="single" w:color="auto"/>
            <w:color w:val="0000EE"/>
          </w:rPr>
          <w:t xml:space="preserve">Sixth Amended and Restated Bylaws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herein by reference to Exhibit 3.2 to the Registrant’s Form 8-K filed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on June 10, 2025).</w:t>
      </w:r>
    </w:p>
    <w:p>
      <w:pPr>
        <w:spacing w:after="0" w:line="56" w:lineRule="exact"/>
        <w:rPr>
          <w:rFonts w:ascii="Times New Roman" w:cs="Times New Roman" w:eastAsia="Times New Roman" w:hAnsi="Times New Roman"/>
          <w:sz w:val="18"/>
          <w:szCs w:val="18"/>
          <w:u w:val="single" w:color="auto"/>
          <w:color w:val="0000EE"/>
        </w:rPr>
      </w:pPr>
    </w:p>
    <w:p>
      <w:pPr>
        <w:ind w:left="926" w:right="380" w:hanging="926"/>
        <w:spacing w:after="0" w:line="277" w:lineRule="auto"/>
        <w:tabs>
          <w:tab w:leader="none" w:pos="9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21">
        <w:r>
          <w:rPr>
            <w:rFonts w:ascii="Times New Roman" w:cs="Times New Roman" w:eastAsia="Times New Roman" w:hAnsi="Times New Roman"/>
            <w:sz w:val="18"/>
            <w:szCs w:val="18"/>
            <w:u w:val="single" w:color="auto"/>
            <w:color w:val="0000EE"/>
          </w:rPr>
          <w:t xml:space="preserve">Amendment No. 1 to the Sixth Amended and Restated Bylaws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herein by reference to Exhibit 3.1 to the</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Registrant’s Form 8-K filed on March 11, 2026).</w:t>
      </w:r>
    </w:p>
    <w:p>
      <w:pPr>
        <w:spacing w:after="0" w:line="56" w:lineRule="exact"/>
        <w:rPr>
          <w:rFonts w:ascii="Times New Roman" w:cs="Times New Roman" w:eastAsia="Times New Roman" w:hAnsi="Times New Roman"/>
          <w:sz w:val="18"/>
          <w:szCs w:val="18"/>
          <w:u w:val="single" w:color="auto"/>
          <w:color w:val="0000EE"/>
        </w:rPr>
      </w:pPr>
    </w:p>
    <w:p>
      <w:pPr>
        <w:ind w:left="926" w:right="180" w:hanging="926"/>
        <w:spacing w:after="0" w:line="277" w:lineRule="auto"/>
        <w:tabs>
          <w:tab w:leader="none" w:pos="9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22">
        <w:r>
          <w:rPr>
            <w:rFonts w:ascii="Times New Roman" w:cs="Times New Roman" w:eastAsia="Times New Roman" w:hAnsi="Times New Roman"/>
            <w:sz w:val="18"/>
            <w:szCs w:val="18"/>
            <w:u w:val="single" w:color="auto"/>
            <w:color w:val="0000EE"/>
          </w:rPr>
          <w:t xml:space="preserve">Specimen common stock certificate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herein by reference to Exhibit 4.1 to the Registrant’s Amendment No. 1 to Registration</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Statement on Form S-1 (SEC File No. 333-198333) filed on September 26, 2014).</w:t>
      </w:r>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Goodwin Procter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Goodwin Procter LLP (included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PricewaterhouseCoopers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(contained on signature page hereto).</w:t>
      </w:r>
    </w:p>
    <w:p>
      <w:pPr>
        <w:spacing w:after="0" w:line="125" w:lineRule="exact"/>
        <w:rPr>
          <w:rFonts w:ascii="Times New Roman" w:cs="Times New Roman" w:eastAsia="Times New Roman" w:hAnsi="Times New Roman"/>
          <w:sz w:val="17"/>
          <w:szCs w:val="17"/>
          <w:color w:val="auto"/>
        </w:rPr>
      </w:pPr>
    </w:p>
    <w:p>
      <w:pPr>
        <w:ind w:left="926" w:right="140" w:hanging="926"/>
        <w:spacing w:after="0" w:line="277" w:lineRule="auto"/>
        <w:tabs>
          <w:tab w:leader="none" w:pos="9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23">
        <w:r>
          <w:rPr>
            <w:rFonts w:ascii="Times New Roman" w:cs="Times New Roman" w:eastAsia="Times New Roman" w:hAnsi="Times New Roman"/>
            <w:sz w:val="18"/>
            <w:szCs w:val="18"/>
            <w:u w:val="single" w:color="auto"/>
            <w:color w:val="0000EE"/>
          </w:rPr>
          <w:t xml:space="preserve">HubSpot, Inc. 2024 Stock Option and Incentive Plan, and forms of restricted stock and option agreements thereunder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herein</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by reference to Exhibit 10.1 to the Registrant’s Form 8-K filed on June 14, 2024).</w:t>
      </w:r>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99.2</w:t>
      </w:r>
      <w:hyperlink r:id="rId24">
        <w:r>
          <w:rPr>
            <w:rFonts w:ascii="Times New Roman" w:cs="Times New Roman" w:eastAsia="Times New Roman" w:hAnsi="Times New Roman"/>
            <w:sz w:val="17"/>
            <w:szCs w:val="17"/>
            <w:u w:val="single" w:color="auto"/>
            <w:color w:val="0000EE"/>
          </w:rPr>
          <w:t xml:space="preserve">Form of PSU Agreement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EE"/>
        </w:rPr>
        <w:t xml:space="preserve"> </w:t>
      </w:r>
      <w:r>
        <w:rPr>
          <w:rFonts w:ascii="Times New Roman" w:cs="Times New Roman" w:eastAsia="Times New Roman" w:hAnsi="Times New Roman"/>
          <w:sz w:val="17"/>
          <w:szCs w:val="17"/>
          <w:color w:val="000000"/>
        </w:rPr>
        <w:t>herein by reference to Exhibit 10.1 to the Registrant’s Form 10-Q filed on May 7, 2026).</w:t>
      </w:r>
    </w:p>
    <w:p>
      <w:pPr>
        <w:spacing w:after="0" w:line="125" w:lineRule="exact"/>
        <w:rPr>
          <w:rFonts w:ascii="Times New Roman" w:cs="Times New Roman" w:eastAsia="Times New Roman" w:hAnsi="Times New Roman"/>
          <w:sz w:val="17"/>
          <w:szCs w:val="17"/>
          <w:u w:val="single" w:color="auto"/>
          <w:color w:val="0000EE"/>
        </w:rPr>
      </w:pPr>
    </w:p>
    <w:p>
      <w:pPr>
        <w:ind w:left="926" w:right="420" w:hanging="926"/>
        <w:spacing w:after="0" w:line="277" w:lineRule="auto"/>
        <w:tabs>
          <w:tab w:leader="none" w:pos="93"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25">
        <w:r>
          <w:rPr>
            <w:rFonts w:ascii="Times New Roman" w:cs="Times New Roman" w:eastAsia="Times New Roman" w:hAnsi="Times New Roman"/>
            <w:sz w:val="18"/>
            <w:szCs w:val="18"/>
            <w:u w:val="single" w:color="auto"/>
            <w:color w:val="0000EE"/>
          </w:rPr>
          <w:t xml:space="preserve">Amendment No. 1 to the HubSpot, Inc. 2024 Stock Option and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herein by reference to Exhibit 10.1 to the</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Registrant’s Form 8-K filed on June 16, 2026).</w:t>
      </w:r>
    </w:p>
    <w:p>
      <w:pPr>
        <w:spacing w:after="0" w:line="57" w:lineRule="exact"/>
        <w:rPr>
          <w:rFonts w:ascii="Times New Roman" w:cs="Times New Roman" w:eastAsia="Times New Roman" w:hAnsi="Times New Roman"/>
          <w:sz w:val="17"/>
          <w:szCs w:val="17"/>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886"/>
          </w:cols>
          <w:pgMar w:left="494" w:top="264" w:right="51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July 1,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24"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15875</wp:posOffset>
            </wp:positionV>
            <wp:extent cx="2570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jc w:val="center"/>
        <w:ind w:right="5560"/>
        <w:spacing w:after="0"/>
        <w:rPr>
          <w:sz w:val="20"/>
          <w:szCs w:val="20"/>
          <w:color w:val="auto"/>
        </w:rPr>
      </w:pPr>
      <w:r>
        <w:rPr>
          <w:rFonts w:ascii="Times New Roman" w:cs="Times New Roman" w:eastAsia="Times New Roman" w:hAnsi="Times New Roman"/>
          <w:sz w:val="18"/>
          <w:szCs w:val="18"/>
          <w:b w:val="1"/>
          <w:bCs w:val="1"/>
          <w:color w:val="auto"/>
        </w:rPr>
        <w:t>Erika Fisher</w:t>
      </w:r>
    </w:p>
    <w:p>
      <w:pPr>
        <w:spacing w:after="0" w:line="20" w:lineRule="exact"/>
        <w:rPr>
          <w:sz w:val="20"/>
          <w:szCs w:val="20"/>
          <w:color w:val="auto"/>
        </w:rPr>
      </w:pPr>
    </w:p>
    <w:p>
      <w:pPr>
        <w:jc w:val="center"/>
        <w:ind w:right="5560"/>
        <w:spacing w:after="0"/>
        <w:rPr>
          <w:sz w:val="20"/>
          <w:szCs w:val="20"/>
          <w:color w:val="auto"/>
        </w:rPr>
      </w:pPr>
      <w:r>
        <w:rPr>
          <w:rFonts w:ascii="Times New Roman" w:cs="Times New Roman" w:eastAsia="Times New Roman" w:hAnsi="Times New Roman"/>
          <w:sz w:val="18"/>
          <w:szCs w:val="18"/>
          <w:b w:val="1"/>
          <w:bCs w:val="1"/>
          <w:i w:val="1"/>
          <w:iCs w:val="1"/>
          <w:color w:val="auto"/>
        </w:rPr>
        <w:t>Chief Legal Officer</w:t>
      </w:r>
    </w:p>
    <w:p>
      <w:pPr>
        <w:sectPr>
          <w:pgSz w:w="11900" w:h="16838" w:orient="portrait"/>
          <w:cols w:equalWidth="0" w:num="1">
            <w:col w:w="10260"/>
          </w:cols>
          <w:pgMar w:left="500" w:top="264" w:right="11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 AND SIGNATURES</w:t>
      </w:r>
    </w:p>
    <w:p>
      <w:pPr>
        <w:spacing w:after="0" w:line="22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Yamini Rangan, Kate Bueker, and Erika Fisher, and each of them, as his or her true and lawful attorneys-in-fact and agents, with full power of substitution and resubstitution, for him or her and in his or her name, place and stead, in any and all capacities, to sign the Registration Statement on Form S-8 of HubSpot, Inc., and any or all amendments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85"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Yamini Rangan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Yamini Rangan</w:t>
            </w:r>
          </w:p>
        </w:tc>
        <w:tc>
          <w:tcPr>
            <w:tcW w:w="120" w:type="dxa"/>
            <w:vAlign w:val="bottom"/>
          </w:tcPr>
          <w:p>
            <w:pPr>
              <w:spacing w:after="0"/>
              <w:rPr>
                <w:sz w:val="20"/>
                <w:szCs w:val="20"/>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Kate Bueker</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Kate Bueker</w:t>
            </w:r>
          </w:p>
        </w:tc>
        <w:tc>
          <w:tcPr>
            <w:tcW w:w="120" w:type="dxa"/>
            <w:vAlign w:val="bottom"/>
          </w:tcPr>
          <w:p>
            <w:pPr>
              <w:spacing w:after="0"/>
              <w:rPr>
                <w:sz w:val="20"/>
                <w:szCs w:val="20"/>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Lorrie Norrington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Chairperson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Lorrie Norrington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Dharmesh Shah</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Technology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Dharmesh Shah</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Anagnost</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Andrew Anagnost</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Mike Berry</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Mike Berry</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Brian Halligan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Brian Halligan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Claire Hughes Johnson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Claire Hughes Johnson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Clara Shih</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Clara Shih</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Simons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Jay Simons</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Jill Ward</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Jill Ward</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ectPr>
          <w:pgSz w:w="11900" w:h="16838" w:orient="portrait"/>
          <w:cols w:equalWidth="0" w:num="1">
            <w:col w:w="10900"/>
          </w:cols>
          <w:pgMar w:left="500" w:top="264"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1696720" cy="373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696720" cy="37338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10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color w:val="auto"/>
        </w:rPr>
        <w:t>goodwinlaw.com</w:t>
      </w:r>
    </w:p>
    <w:p>
      <w:pPr>
        <w:spacing w:after="0" w:line="3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color w:val="auto"/>
        </w:rPr>
        <w:t>+1 617 570 1000</w:t>
      </w:r>
    </w:p>
    <w:p>
      <w:pPr>
        <w:spacing w:after="0" w:line="1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color w:val="auto"/>
        </w:rPr>
        <w:t>+1 617 523 1231</w:t>
      </w:r>
    </w:p>
    <w:p>
      <w:pPr>
        <w:spacing w:after="0" w:line="226"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color w:val="auto"/>
        </w:rPr>
        <w:t>July 1,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HubSpot,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Canal Park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02141</w:t>
      </w:r>
    </w:p>
    <w:p>
      <w:pPr>
        <w:spacing w:after="0" w:line="2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have acted as your counsel in connection with your filing of a Registration Statement on Form S-8 (the “Registration Statement”) pursuant to the Securities Act of 1933, as amended (the “Securities Act”), on or about the date hereof relating to an aggregate of 2,300,000 shares (the “Shares”) of Common Stock, par value $0.001 per share (“Common Stock”), of HubSpot, Inc., a Delaware corporation (the “Company”), that may be issued pursuant to the Company’s 2024 Stock Option and Incentive Plan, as amended (the “Plan”).</w:t>
      </w:r>
    </w:p>
    <w:p>
      <w:pPr>
        <w:spacing w:after="0" w:line="18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6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00"/>
          </w:cols>
          <w:pgMar w:left="500" w:top="117"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HubSpot, Inc. of our report dated February 11, 2026 relating to the financial statements and the effectiveness of internal control over financial reporting, which appears in HubSpot, Inc.’s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ectPr>
          <w:pgSz w:w="11900" w:h="16838" w:orient="portrait"/>
          <w:cols w:equalWidth="0" w:num="1">
            <w:col w:w="10900"/>
          </w:cols>
          <w:pgMar w:left="500" w:top="117" w:right="499"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HUBSPOT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2024</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Option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and</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2,300,000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$ 174.75</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$ 55,505.85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401,925,000.00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$ 55,505.85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401,925,000.00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$ 55,505.85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line="236" w:lineRule="auto"/>
        <w:tabs>
          <w:tab w:leader="none" w:pos="800" w:val="left"/>
        </w:tabs>
        <w:numPr>
          <w:ilvl w:val="0"/>
          <w:numId w:val="3"/>
        </w:numPr>
        <w:rPr>
          <w:rFonts w:ascii="Arial" w:cs="Arial" w:eastAsia="Arial" w:hAnsi="Arial"/>
          <w:sz w:val="27"/>
          <w:szCs w:val="27"/>
          <w:color w:val="auto"/>
          <w:vertAlign w:val="superscript"/>
        </w:rPr>
      </w:pPr>
      <w:r>
        <w:rPr>
          <w:rFonts w:ascii="Arial" w:cs="Arial" w:eastAsia="Arial" w:hAnsi="Arial"/>
          <w:sz w:val="21"/>
          <w:szCs w:val="21"/>
          <w:color w:val="auto"/>
        </w:rPr>
        <w:t>1a. Pursuant to Rule 416(a) under the Securities Act of 1933, as amended (the "Securities Act"), this registration statement on Form S-8 shall also cover any additional shares of common stock, $0.001 par value per share ("Common Stock"), of HubSpot, Inc. (the "Registrant"), which become issuable under the Registrant's 2024 Stock Option and Incentive Plan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 described herein. 1b. The price of $174.75 per share, which is the average of the high and low sale prices of the common stock of the registrant on the New York Stock Exchange on June 25, 2026, is set forth solely for purposes of calculating the registration fee pursuant to Rules 457(c) and (h) of the Securities Act and has been used as these shares are without a fixed price. 1c. Registration fee calculated pursuant to Section 6(b)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87630</wp:posOffset>
            </wp:positionV>
            <wp:extent cx="6387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3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png"/><Relationship Id="rId17" Type="http://schemas.openxmlformats.org/officeDocument/2006/relationships/hyperlink" Target="http://www.sec.gov/Archives/edgar/data/1404655/000095017024078599/hubs-s-8-2024_equity_pla.htm" TargetMode="External"/><Relationship Id="rId19" Type="http://schemas.openxmlformats.org/officeDocument/2006/relationships/hyperlink" Target="http://www.sec.gov/Archives/edgar/data/1404655/000095017025084424/hubs-ex3_1.htm" TargetMode="External"/><Relationship Id="rId20" Type="http://schemas.openxmlformats.org/officeDocument/2006/relationships/hyperlink" Target="http://www.sec.gov/Archives/edgar/data/1404655/000095017025084424/hubs-ex3_2.htm" TargetMode="External"/><Relationship Id="rId21" Type="http://schemas.openxmlformats.org/officeDocument/2006/relationships/hyperlink" Target="http://www.sec.gov/Archives/edgar/data/1404655/000119312526102426/hubs-ex3_1.htm" TargetMode="External"/><Relationship Id="rId22" Type="http://schemas.openxmlformats.org/officeDocument/2006/relationships/hyperlink" Target="http://www.sec.gov/Archives/edgar/data/1404655/000119312514353746/d697256dex41.htm" TargetMode="External"/><Relationship Id="rId23" Type="http://schemas.openxmlformats.org/officeDocument/2006/relationships/hyperlink" Target="http://www.sec.gov/Archives/edgar/data/1404655/000095017024073731/hubs-ex10_1.htm" TargetMode="External"/><Relationship Id="rId24" Type="http://schemas.openxmlformats.org/officeDocument/2006/relationships/hyperlink" Target="http://www.sec.gov/Archives/edgar/data/1404655/000119312526212122/hubs-ex10_1.htm" TargetMode="External"/><Relationship Id="rId25" Type="http://schemas.openxmlformats.org/officeDocument/2006/relationships/hyperlink" Target="http://www.sec.gov/Archives/edgar/data/1404655/000119312526272643/hubs-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2026-07-01T15:25:27Z</dcterms:created>
  <dcterms:modified xsi:type="dcterms:W3CDTF">2026-07-01T15:25:27Z</dcterms:modified>
</cp:coreProperties>
</file>