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8"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3120" w:type="dxa"/>
        <w:tblCellMar>
          <w:top w:w="0" w:type="dxa"/>
          <w:left w:w="0" w:type="dxa"/>
          <w:bottom w:w="0" w:type="dxa"/>
          <w:right w:w="0" w:type="dxa"/>
        </w:tblCellMar>
      </w:tblPr>
      <w:tr>
        <w:trPr>
          <w:trHeight w:val="184"/>
        </w:trPr>
        <w:tc>
          <w:tcPr>
            <w:tcW w:w="308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80" w:type="dxa"/>
            <w:vAlign w:val="bottom"/>
          </w:tcPr>
          <w:p>
            <w:pPr>
              <w:ind w:left="40"/>
              <w:spacing w:after="0"/>
              <w:rPr>
                <w:sz w:val="20"/>
                <w:szCs w:val="20"/>
                <w:color w:val="auto"/>
              </w:rPr>
            </w:pPr>
            <w:r>
              <w:rPr>
                <w:rFonts w:ascii="Arial" w:cs="Arial" w:eastAsia="Arial" w:hAnsi="Arial"/>
                <w:sz w:val="16"/>
                <w:szCs w:val="16"/>
                <w:b w:val="1"/>
                <w:bCs w:val="1"/>
                <w:color w:val="auto"/>
                <w:w w:val="98"/>
              </w:rPr>
              <w:t>TO</w:t>
            </w:r>
          </w:p>
        </w:tc>
      </w:tr>
      <w:tr>
        <w:trPr>
          <w:trHeight w:val="285"/>
        </w:trPr>
        <w:tc>
          <w:tcPr>
            <w:tcW w:w="4160" w:type="dxa"/>
            <w:vAlign w:val="bottom"/>
            <w:gridSpan w:val="3"/>
          </w:tcPr>
          <w:p>
            <w:pPr>
              <w:ind w:left="1000"/>
              <w:spacing w:after="0"/>
              <w:rPr>
                <w:sz w:val="20"/>
                <w:szCs w:val="20"/>
                <w:color w:val="auto"/>
              </w:rPr>
            </w:pPr>
            <w:r>
              <w:rPr>
                <w:rFonts w:ascii="Arial" w:cs="Arial" w:eastAsia="Arial" w:hAnsi="Arial"/>
                <w:sz w:val="16"/>
                <w:szCs w:val="16"/>
                <w:b w:val="1"/>
                <w:bCs w:val="1"/>
                <w:color w:val="auto"/>
              </w:rPr>
              <w:t>COMMISSION FILE NUMBER 001-36680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132080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466"/>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5"/>
          </w:tcPr>
          <w:p>
            <w:pPr>
              <w:jc w:val="center"/>
              <w:ind w:right="520"/>
              <w:spacing w:after="0"/>
              <w:rPr>
                <w:sz w:val="20"/>
                <w:szCs w:val="20"/>
                <w:color w:val="auto"/>
              </w:rPr>
            </w:pPr>
            <w:r>
              <w:rPr>
                <w:rFonts w:ascii="Arial" w:cs="Arial" w:eastAsia="Arial" w:hAnsi="Arial"/>
                <w:sz w:val="40"/>
                <w:szCs w:val="40"/>
                <w:b w:val="1"/>
                <w:bCs w:val="1"/>
                <w:color w:val="auto"/>
                <w:w w:val="91"/>
              </w:rPr>
              <w:t>HubSpot, Inc.</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80" w:type="dxa"/>
            <w:vAlign w:val="bottom"/>
            <w:gridSpan w:val="7"/>
          </w:tcPr>
          <w:p>
            <w:pPr>
              <w:jc w:val="center"/>
              <w:ind w:left="349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80" w:type="dxa"/>
            <w:vAlign w:val="bottom"/>
            <w:gridSpan w:val="2"/>
            <w:vMerge w:val="restart"/>
          </w:tcPr>
          <w:p>
            <w:pPr>
              <w:jc w:val="center"/>
              <w:ind w:left="1359"/>
              <w:spacing w:after="0"/>
              <w:rPr>
                <w:sz w:val="20"/>
                <w:szCs w:val="20"/>
                <w:color w:val="auto"/>
              </w:rPr>
            </w:pPr>
            <w:r>
              <w:rPr>
                <w:rFonts w:ascii="Arial" w:cs="Arial" w:eastAsia="Arial" w:hAnsi="Arial"/>
                <w:sz w:val="16"/>
                <w:szCs w:val="16"/>
                <w:b w:val="1"/>
                <w:bCs w:val="1"/>
                <w:color w:val="auto"/>
                <w:w w:val="91"/>
              </w:rPr>
              <w:t>Delaware</w:t>
            </w:r>
          </w:p>
        </w:tc>
        <w:tc>
          <w:tcPr>
            <w:tcW w:w="4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vMerge w:val="restart"/>
          </w:tcPr>
          <w:p>
            <w:pPr>
              <w:jc w:val="center"/>
              <w:ind w:right="1859"/>
              <w:spacing w:after="0"/>
              <w:rPr>
                <w:sz w:val="20"/>
                <w:szCs w:val="20"/>
                <w:color w:val="auto"/>
              </w:rPr>
            </w:pPr>
            <w:r>
              <w:rPr>
                <w:rFonts w:ascii="Arial" w:cs="Arial" w:eastAsia="Arial" w:hAnsi="Arial"/>
                <w:sz w:val="16"/>
                <w:szCs w:val="16"/>
                <w:b w:val="1"/>
                <w:bCs w:val="1"/>
                <w:color w:val="auto"/>
                <w:w w:val="91"/>
              </w:rPr>
              <w:t>20-2632791</w:t>
            </w:r>
          </w:p>
        </w:tc>
        <w:tc>
          <w:tcPr>
            <w:tcW w:w="0" w:type="dxa"/>
            <w:vAlign w:val="bottom"/>
          </w:tcPr>
          <w:p>
            <w:pPr>
              <w:spacing w:after="0"/>
              <w:rPr>
                <w:sz w:val="1"/>
                <w:szCs w:val="1"/>
                <w:color w:val="auto"/>
              </w:rPr>
            </w:pPr>
          </w:p>
        </w:tc>
      </w:tr>
      <w:tr>
        <w:trPr>
          <w:trHeight w:val="371"/>
        </w:trPr>
        <w:tc>
          <w:tcPr>
            <w:tcW w:w="40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80" w:type="dxa"/>
            <w:vAlign w:val="bottom"/>
            <w:gridSpan w:val="2"/>
          </w:tcPr>
          <w:p>
            <w:pPr>
              <w:jc w:val="center"/>
              <w:ind w:left="1359"/>
              <w:spacing w:after="0" w:line="162" w:lineRule="exact"/>
              <w:rPr>
                <w:sz w:val="20"/>
                <w:szCs w:val="20"/>
                <w:color w:val="auto"/>
              </w:rPr>
            </w:pPr>
            <w:r>
              <w:rPr>
                <w:rFonts w:ascii="Arial" w:cs="Arial" w:eastAsia="Arial" w:hAnsi="Arial"/>
                <w:sz w:val="16"/>
                <w:szCs w:val="16"/>
                <w:b w:val="1"/>
                <w:bCs w:val="1"/>
                <w:color w:val="auto"/>
                <w:w w:val="92"/>
              </w:rPr>
              <w:t>(State or other jurisdiction of</w:t>
            </w:r>
          </w:p>
        </w:tc>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jc w:val="center"/>
              <w:ind w:right="1859"/>
              <w:spacing w:after="0" w:line="162" w:lineRule="exact"/>
              <w:rPr>
                <w:sz w:val="20"/>
                <w:szCs w:val="20"/>
                <w:color w:val="auto"/>
              </w:rPr>
            </w:pPr>
            <w:r>
              <w:rPr>
                <w:rFonts w:ascii="Arial" w:cs="Arial" w:eastAsia="Arial" w:hAnsi="Arial"/>
                <w:sz w:val="16"/>
                <w:szCs w:val="16"/>
                <w:b w:val="1"/>
                <w:bCs w:val="1"/>
                <w:color w:val="auto"/>
                <w:w w:val="96"/>
              </w:rPr>
              <w:t>(I.R.S. Employer</w:t>
            </w:r>
          </w:p>
        </w:tc>
        <w:tc>
          <w:tcPr>
            <w:tcW w:w="0" w:type="dxa"/>
            <w:vAlign w:val="bottom"/>
          </w:tcPr>
          <w:p>
            <w:pPr>
              <w:spacing w:after="0"/>
              <w:rPr>
                <w:sz w:val="1"/>
                <w:szCs w:val="1"/>
                <w:color w:val="auto"/>
              </w:rPr>
            </w:pPr>
          </w:p>
        </w:tc>
      </w:tr>
      <w:tr>
        <w:trPr>
          <w:trHeight w:val="210"/>
        </w:trPr>
        <w:tc>
          <w:tcPr>
            <w:tcW w:w="4080" w:type="dxa"/>
            <w:vAlign w:val="bottom"/>
            <w:gridSpan w:val="2"/>
          </w:tcPr>
          <w:p>
            <w:pPr>
              <w:jc w:val="center"/>
              <w:ind w:left="1359"/>
              <w:spacing w:after="0"/>
              <w:rPr>
                <w:sz w:val="20"/>
                <w:szCs w:val="20"/>
                <w:color w:val="auto"/>
              </w:rPr>
            </w:pPr>
            <w:r>
              <w:rPr>
                <w:rFonts w:ascii="Arial" w:cs="Arial" w:eastAsia="Arial" w:hAnsi="Arial"/>
                <w:sz w:val="16"/>
                <w:szCs w:val="16"/>
                <w:b w:val="1"/>
                <w:bCs w:val="1"/>
                <w:color w:val="auto"/>
                <w:w w:val="92"/>
              </w:rPr>
              <w:t>incorporation or organization)</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jc w:val="center"/>
              <w:ind w:right="1859"/>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262"/>
        </w:trPr>
        <w:tc>
          <w:tcPr>
            <w:tcW w:w="4080" w:type="dxa"/>
            <w:vAlign w:val="bottom"/>
            <w:gridSpan w:val="2"/>
          </w:tcPr>
          <w:p>
            <w:pPr>
              <w:jc w:val="center"/>
              <w:ind w:left="1339"/>
              <w:spacing w:after="0"/>
              <w:rPr>
                <w:sz w:val="20"/>
                <w:szCs w:val="20"/>
                <w:color w:val="auto"/>
              </w:rPr>
            </w:pPr>
            <w:r>
              <w:rPr>
                <w:rFonts w:ascii="Arial" w:cs="Arial" w:eastAsia="Arial" w:hAnsi="Arial"/>
                <w:sz w:val="16"/>
                <w:szCs w:val="16"/>
                <w:b w:val="1"/>
                <w:bCs w:val="1"/>
                <w:color w:val="auto"/>
                <w:w w:val="91"/>
              </w:rPr>
              <w:t>25 First Street</w:t>
            </w:r>
          </w:p>
        </w:tc>
        <w:tc>
          <w:tcPr>
            <w:tcW w:w="4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80" w:type="dxa"/>
            <w:vAlign w:val="bottom"/>
            <w:gridSpan w:val="2"/>
          </w:tcPr>
          <w:p>
            <w:pPr>
              <w:jc w:val="center"/>
              <w:ind w:left="1339"/>
              <w:spacing w:after="0" w:line="175" w:lineRule="exact"/>
              <w:rPr>
                <w:sz w:val="20"/>
                <w:szCs w:val="20"/>
                <w:color w:val="auto"/>
              </w:rPr>
            </w:pPr>
            <w:r>
              <w:rPr>
                <w:rFonts w:ascii="Arial" w:cs="Arial" w:eastAsia="Arial" w:hAnsi="Arial"/>
                <w:sz w:val="16"/>
                <w:szCs w:val="16"/>
                <w:b w:val="1"/>
                <w:bCs w:val="1"/>
                <w:color w:val="auto"/>
                <w:w w:val="89"/>
              </w:rPr>
              <w:t>Cambridge, Massachusetts</w:t>
            </w:r>
          </w:p>
        </w:tc>
        <w:tc>
          <w:tcPr>
            <w:tcW w:w="2660" w:type="dxa"/>
            <w:vAlign w:val="bottom"/>
            <w:gridSpan w:val="2"/>
          </w:tcPr>
          <w:p>
            <w:pPr>
              <w:jc w:val="right"/>
              <w:ind w:right="859"/>
              <w:spacing w:after="0" w:line="175" w:lineRule="exact"/>
              <w:rPr>
                <w:sz w:val="20"/>
                <w:szCs w:val="20"/>
                <w:color w:val="auto"/>
              </w:rPr>
            </w:pPr>
            <w:r>
              <w:rPr>
                <w:rFonts w:ascii="Arial" w:cs="Arial" w:eastAsia="Arial" w:hAnsi="Arial"/>
                <w:sz w:val="16"/>
                <w:szCs w:val="16"/>
                <w:b w:val="1"/>
                <w:bCs w:val="1"/>
                <w:color w:val="auto"/>
              </w:rPr>
              <w:t>02141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gridSpan w:val="2"/>
          </w:tcPr>
          <w:p>
            <w:pPr>
              <w:ind w:left="1320"/>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420" w:type="dxa"/>
            <w:vAlign w:val="bottom"/>
          </w:tcPr>
          <w:p>
            <w:pPr>
              <w:spacing w:after="0"/>
              <w:rPr>
                <w:sz w:val="18"/>
                <w:szCs w:val="18"/>
                <w:color w:val="auto"/>
              </w:rPr>
            </w:pPr>
          </w:p>
        </w:tc>
        <w:tc>
          <w:tcPr>
            <w:tcW w:w="3180" w:type="dxa"/>
            <w:vAlign w:val="bottom"/>
            <w:gridSpan w:val="4"/>
          </w:tcPr>
          <w:p>
            <w:pPr>
              <w:ind w:left="1280"/>
              <w:spacing w:after="0"/>
              <w:rPr>
                <w:sz w:val="20"/>
                <w:szCs w:val="20"/>
                <w:color w:val="auto"/>
              </w:rPr>
            </w:pPr>
            <w:r>
              <w:rPr>
                <w:rFonts w:ascii="Arial" w:cs="Arial" w:eastAsia="Arial" w:hAnsi="Arial"/>
                <w:sz w:val="16"/>
                <w:szCs w:val="16"/>
                <w:b w:val="1"/>
                <w:bCs w:val="1"/>
                <w:color w:val="auto"/>
              </w:rPr>
              <w:t>(Zip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93"/>
              </w:rPr>
              <w:t>(888) 482-7768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80" w:type="dxa"/>
            <w:vAlign w:val="bottom"/>
            <w:gridSpan w:val="7"/>
          </w:tcPr>
          <w:p>
            <w:pPr>
              <w:jc w:val="center"/>
              <w:ind w:left="34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gridSpan w:val="7"/>
          </w:tcPr>
          <w:p>
            <w:pPr>
              <w:jc w:val="center"/>
              <w:ind w:left="347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4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Title of each class</w:t>
            </w:r>
          </w:p>
        </w:tc>
        <w:tc>
          <w:tcPr>
            <w:tcW w:w="420" w:type="dxa"/>
            <w:vAlign w:val="bottom"/>
          </w:tcPr>
          <w:p>
            <w:pPr>
              <w:spacing w:after="0"/>
              <w:rPr>
                <w:sz w:val="24"/>
                <w:szCs w:val="24"/>
                <w:color w:val="auto"/>
              </w:rPr>
            </w:pPr>
          </w:p>
        </w:tc>
        <w:tc>
          <w:tcPr>
            <w:tcW w:w="3180" w:type="dxa"/>
            <w:vAlign w:val="bottom"/>
            <w:gridSpan w:val="4"/>
          </w:tcPr>
          <w:p>
            <w:pPr>
              <w:jc w:val="center"/>
              <w:ind w:right="900"/>
              <w:spacing w:after="0"/>
              <w:rPr>
                <w:sz w:val="20"/>
                <w:szCs w:val="20"/>
                <w:color w:val="auto"/>
              </w:rPr>
            </w:pPr>
            <w:r>
              <w:rPr>
                <w:rFonts w:ascii="Arial" w:cs="Arial" w:eastAsia="Arial" w:hAnsi="Arial"/>
                <w:sz w:val="16"/>
                <w:szCs w:val="16"/>
                <w:b w:val="1"/>
                <w:bCs w:val="1"/>
                <w:color w:val="auto"/>
                <w:w w:val="91"/>
              </w:rPr>
              <w:t>Trading Symbol(s)</w:t>
            </w:r>
          </w:p>
        </w:tc>
        <w:tc>
          <w:tcPr>
            <w:tcW w:w="356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6"/>
              </w:rPr>
              <w:t>HUBS</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123825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ind w:firstLine="509"/>
        <w:spacing w:after="0" w:line="16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80" w:firstLine="50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300" w:firstLine="509"/>
        <w:spacing w:after="0" w:line="23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6"/>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54" w:lineRule="exact"/>
        <w:rPr>
          <w:sz w:val="24"/>
          <w:szCs w:val="24"/>
          <w:color w:val="auto"/>
        </w:rPr>
      </w:pPr>
    </w:p>
    <w:p>
      <w:pPr>
        <w:jc w:val="both"/>
        <w:ind w:right="80"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ind w:left="520" w:right="204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48,019,203 shares of the registrant’s Common Stock issued and outstanding as of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80" w:type="dxa"/>
            <w:vAlign w:val="bottom"/>
            <w:gridSpan w:val="12"/>
          </w:tcPr>
          <w:p>
            <w:pPr>
              <w:jc w:val="center"/>
              <w:ind w:right="3740"/>
              <w:spacing w:after="0"/>
              <w:rPr>
                <w:sz w:val="20"/>
                <w:szCs w:val="20"/>
                <w:color w:val="auto"/>
              </w:rPr>
            </w:pPr>
            <w:r>
              <w:rPr>
                <w:rFonts w:ascii="Arial" w:cs="Arial" w:eastAsia="Arial" w:hAnsi="Arial"/>
                <w:sz w:val="18"/>
                <w:szCs w:val="18"/>
                <w:b w:val="1"/>
                <w:bCs w:val="1"/>
                <w:color w:val="auto"/>
                <w:w w:val="98"/>
              </w:rPr>
              <w:t>HUBSPOT, INC.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gridSpan w:val="12"/>
          </w:tcPr>
          <w:p>
            <w:pPr>
              <w:jc w:val="center"/>
              <w:ind w:right="3740"/>
              <w:spacing w:after="0"/>
              <w:rPr>
                <w:sz w:val="20"/>
                <w:szCs w:val="20"/>
                <w:color w:val="auto"/>
              </w:rPr>
            </w:pPr>
            <w:r>
              <w:rPr>
                <w:rFonts w:ascii="Arial" w:cs="Arial" w:eastAsia="Arial" w:hAnsi="Arial"/>
                <w:sz w:val="18"/>
                <w:szCs w:val="18"/>
                <w:b w:val="1"/>
                <w:bCs w:val="1"/>
                <w:color w:val="auto"/>
                <w:w w:val="8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40" w:type="dxa"/>
            <w:vAlign w:val="bottom"/>
            <w:tcBorders>
              <w:bottom w:val="single" w:sz="8" w:color="0000FF"/>
            </w:tcBorders>
            <w:gridSpan w:val="6"/>
          </w:tcPr>
          <w:p>
            <w:pPr>
              <w:jc w:val="center"/>
              <w:spacing w:after="0"/>
              <w:rPr>
                <w:rFonts w:ascii="Arial" w:cs="Arial" w:eastAsia="Arial" w:hAnsi="Arial"/>
                <w:sz w:val="18"/>
                <w:szCs w:val="18"/>
                <w:b w:val="1"/>
                <w:bCs w:val="1"/>
                <w:color w:val="0000FF"/>
                <w:w w:val="95"/>
              </w:rPr>
            </w:pPr>
            <w:hyperlink w:anchor="page5">
              <w:r>
                <w:rPr>
                  <w:rFonts w:ascii="Arial" w:cs="Arial" w:eastAsia="Arial" w:hAnsi="Arial"/>
                  <w:sz w:val="18"/>
                  <w:szCs w:val="18"/>
                  <w:b w:val="1"/>
                  <w:bCs w:val="1"/>
                  <w:color w:val="0000FF"/>
                  <w:w w:val="95"/>
                </w:rPr>
                <w:t>Part I — Financial Information</w:t>
              </w:r>
            </w:hyperlink>
          </w:p>
        </w:tc>
        <w:tc>
          <w:tcPr>
            <w:tcW w:w="364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460" w:type="dxa"/>
            <w:vAlign w:val="bottom"/>
            <w:gridSpan w:val="21"/>
          </w:tcPr>
          <w:p>
            <w:pPr>
              <w:spacing w:after="0"/>
              <w:rPr>
                <w:sz w:val="20"/>
                <w:szCs w:val="20"/>
                <w:color w:val="auto"/>
              </w:rPr>
            </w:pPr>
            <w:r>
              <w:rPr>
                <w:rFonts w:ascii="Arial" w:cs="Arial" w:eastAsia="Arial" w:hAnsi="Arial"/>
                <w:sz w:val="18"/>
                <w:szCs w:val="18"/>
                <w:color w:val="auto"/>
              </w:rPr>
              <w:t>Item 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Unaudited Consolidated Financial Statements:</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0" w:type="dxa"/>
            <w:vAlign w:val="bottom"/>
          </w:tcPr>
          <w:p>
            <w:pPr>
              <w:spacing w:after="0"/>
              <w:rPr>
                <w:sz w:val="24"/>
                <w:szCs w:val="24"/>
                <w:color w:val="auto"/>
              </w:rPr>
            </w:pPr>
          </w:p>
        </w:tc>
        <w:tc>
          <w:tcPr>
            <w:tcW w:w="934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Consolidated Balance Sheets as of June 30, 2022 and December 31, 2021</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20" w:type="dxa"/>
            <w:vAlign w:val="bottom"/>
          </w:tcPr>
          <w:p>
            <w:pPr>
              <w:spacing w:after="0"/>
              <w:rPr>
                <w:sz w:val="24"/>
                <w:szCs w:val="24"/>
                <w:color w:val="auto"/>
              </w:rPr>
            </w:pPr>
          </w:p>
        </w:tc>
        <w:tc>
          <w:tcPr>
            <w:tcW w:w="934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Consolidated Statements of Operations for the Three and Six Months Ended June 30, 2022 and 2021</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8040" w:type="dxa"/>
            <w:vAlign w:val="bottom"/>
            <w:tcBorders>
              <w:top w:val="single" w:sz="8" w:color="0000FF"/>
            </w:tcBorders>
            <w:gridSpan w:val="16"/>
          </w:tcPr>
          <w:p>
            <w:pPr>
              <w:spacing w:after="0" w:line="169"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Unaudited Consolidated Statements of Comprehensive Loss for the Three and Six Months Ended June 30, 2022</w:t>
              </w:r>
            </w:hyperlink>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tcPr>
          <w:p>
            <w:pPr>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and 2021</w:t>
              </w:r>
            </w:hyperlink>
          </w:p>
        </w:tc>
        <w:tc>
          <w:tcPr>
            <w:tcW w:w="74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44"/>
        </w:trPr>
        <w:tc>
          <w:tcPr>
            <w:tcW w:w="1120" w:type="dxa"/>
            <w:vAlign w:val="bottom"/>
          </w:tcPr>
          <w:p>
            <w:pPr>
              <w:spacing w:after="0"/>
              <w:rPr>
                <w:sz w:val="24"/>
                <w:szCs w:val="24"/>
                <w:color w:val="auto"/>
              </w:rPr>
            </w:pPr>
          </w:p>
        </w:tc>
        <w:tc>
          <w:tcPr>
            <w:tcW w:w="810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Unaudited Consolidated Statements of Cash Flows for the Three and Six Months Ended June 30, 2022 and 2021</w:t>
              </w:r>
            </w:hyperlink>
          </w:p>
        </w:tc>
        <w:tc>
          <w:tcPr>
            <w:tcW w:w="6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44"/>
        </w:trPr>
        <w:tc>
          <w:tcPr>
            <w:tcW w:w="112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20"/>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Unaudited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6460" w:type="dxa"/>
            <w:vAlign w:val="bottom"/>
            <w:gridSpan w:val="15"/>
            <w:vMerge w:val="restart"/>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2880" w:type="dxa"/>
            <w:vAlign w:val="bottom"/>
            <w:gridSpan w:val="5"/>
            <w:vMerge w:val="restart"/>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40"/>
        </w:trPr>
        <w:tc>
          <w:tcPr>
            <w:tcW w:w="112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6460" w:type="dxa"/>
            <w:vAlign w:val="bottom"/>
            <w:tcBorders>
              <w:bottom w:val="single" w:sz="8" w:color="0000FF"/>
            </w:tcBorders>
            <w:gridSpan w:val="15"/>
            <w:vMerge w:val="continue"/>
          </w:tcPr>
          <w:p>
            <w:pPr>
              <w:spacing w:after="0"/>
              <w:rPr>
                <w:sz w:val="11"/>
                <w:szCs w:val="11"/>
                <w:color w:val="auto"/>
              </w:rPr>
            </w:pPr>
          </w:p>
        </w:tc>
        <w:tc>
          <w:tcPr>
            <w:tcW w:w="2880" w:type="dxa"/>
            <w:vAlign w:val="bottom"/>
            <w:gridSpan w:val="5"/>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120" w:type="dxa"/>
            <w:vAlign w:val="bottom"/>
            <w:vMerge w:val="continue"/>
          </w:tcPr>
          <w:p>
            <w:pPr>
              <w:spacing w:after="0"/>
              <w:rPr>
                <w:sz w:val="18"/>
                <w:szCs w:val="18"/>
                <w:color w:val="auto"/>
              </w:rPr>
            </w:pPr>
          </w:p>
        </w:tc>
        <w:tc>
          <w:tcPr>
            <w:tcW w:w="9340" w:type="dxa"/>
            <w:vAlign w:val="bottom"/>
            <w:gridSpan w:val="20"/>
            <w:vMerge w:val="restart"/>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35"/>
        </w:trPr>
        <w:tc>
          <w:tcPr>
            <w:tcW w:w="112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9340" w:type="dxa"/>
            <w:vAlign w:val="bottom"/>
            <w:gridSpan w:val="20"/>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4300" w:type="dxa"/>
            <w:vAlign w:val="bottom"/>
            <w:tcBorders>
              <w:top w:val="single" w:sz="8" w:color="0000FF"/>
            </w:tcBorders>
            <w:gridSpan w:val="10"/>
            <w:vMerge w:val="restart"/>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5040" w:type="dxa"/>
            <w:vAlign w:val="bottom"/>
            <w:gridSpan w:val="10"/>
            <w:vMerge w:val="restart"/>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4300" w:type="dxa"/>
            <w:vAlign w:val="bottom"/>
            <w:gridSpan w:val="10"/>
            <w:vMerge w:val="continue"/>
          </w:tcPr>
          <w:p>
            <w:pPr>
              <w:spacing w:after="0"/>
              <w:rPr>
                <w:sz w:val="11"/>
                <w:szCs w:val="11"/>
                <w:color w:val="auto"/>
              </w:rPr>
            </w:pPr>
          </w:p>
        </w:tc>
        <w:tc>
          <w:tcPr>
            <w:tcW w:w="5040" w:type="dxa"/>
            <w:vAlign w:val="bottom"/>
            <w:gridSpan w:val="10"/>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1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80" w:type="dxa"/>
            <w:vAlign w:val="bottom"/>
            <w:gridSpan w:val="12"/>
          </w:tcPr>
          <w:p>
            <w:pPr>
              <w:jc w:val="center"/>
              <w:ind w:right="3740"/>
              <w:spacing w:after="0"/>
              <w:rPr>
                <w:rFonts w:ascii="Arial" w:cs="Arial" w:eastAsia="Arial" w:hAnsi="Arial"/>
                <w:sz w:val="18"/>
                <w:szCs w:val="18"/>
                <w:b w:val="1"/>
                <w:bCs w:val="1"/>
                <w:color w:val="0000FF"/>
                <w:w w:val="97"/>
              </w:rPr>
            </w:pPr>
            <w:hyperlink w:anchor="page35">
              <w:r>
                <w:rPr>
                  <w:rFonts w:ascii="Arial" w:cs="Arial" w:eastAsia="Arial" w:hAnsi="Arial"/>
                  <w:sz w:val="18"/>
                  <w:szCs w:val="18"/>
                  <w:b w:val="1"/>
                  <w:bCs w:val="1"/>
                  <w:color w:val="0000FF"/>
                  <w:w w:val="97"/>
                </w:rPr>
                <w:t>Part II — Other Information</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80" w:type="dxa"/>
            <w:vAlign w:val="bottom"/>
            <w:gridSpan w:val="9"/>
          </w:tcPr>
          <w:p>
            <w:pPr>
              <w:spacing w:after="0"/>
              <w:rPr>
                <w:sz w:val="20"/>
                <w:szCs w:val="20"/>
                <w:color w:val="auto"/>
              </w:rPr>
            </w:pPr>
            <w:r>
              <w:rPr>
                <w:rFonts w:ascii="Arial" w:cs="Arial" w:eastAsia="Arial" w:hAnsi="Arial"/>
                <w:sz w:val="18"/>
                <w:szCs w:val="18"/>
                <w:color w:val="auto"/>
              </w:rPr>
              <w:t>Item 1.</w:t>
            </w:r>
          </w:p>
        </w:tc>
        <w:tc>
          <w:tcPr>
            <w:tcW w:w="2240" w:type="dxa"/>
            <w:vAlign w:val="bottom"/>
            <w:tcBorders>
              <w:top w:val="single" w:sz="8" w:color="0000FF"/>
            </w:tcBorders>
            <w:gridSpan w:val="4"/>
          </w:tcPr>
          <w:p>
            <w:pPr>
              <w:spacing w:after="0"/>
              <w:rPr>
                <w:sz w:val="24"/>
                <w:szCs w:val="24"/>
                <w:color w:val="auto"/>
              </w:rPr>
            </w:pPr>
          </w:p>
        </w:tc>
        <w:tc>
          <w:tcPr>
            <w:tcW w:w="3740" w:type="dxa"/>
            <w:vAlign w:val="bottom"/>
            <w:gridSpan w:val="8"/>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9"/>
        </w:trPr>
        <w:tc>
          <w:tcPr>
            <w:tcW w:w="112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1340" w:type="dxa"/>
            <w:vAlign w:val="bottom"/>
            <w:tcBorders>
              <w:bottom w:val="single" w:sz="8" w:color="0000FF"/>
            </w:tcBorders>
            <w:gridSpan w:val="4"/>
          </w:tcPr>
          <w:p>
            <w:pPr>
              <w:spacing w:after="0" w:line="189" w:lineRule="exact"/>
              <w:rPr>
                <w:rFonts w:ascii="Arial" w:cs="Arial" w:eastAsia="Arial" w:hAnsi="Arial"/>
                <w:sz w:val="18"/>
                <w:szCs w:val="18"/>
                <w:color w:val="0000FF"/>
                <w:w w:val="88"/>
              </w:rPr>
            </w:pPr>
            <w:hyperlink w:anchor="page35">
              <w:r>
                <w:rPr>
                  <w:rFonts w:ascii="Arial" w:cs="Arial" w:eastAsia="Arial" w:hAnsi="Arial"/>
                  <w:sz w:val="18"/>
                  <w:szCs w:val="18"/>
                  <w:color w:val="0000FF"/>
                  <w:w w:val="88"/>
                </w:rPr>
                <w:t>Legal Proceedings</w:t>
              </w:r>
            </w:hyperlink>
          </w:p>
        </w:tc>
        <w:tc>
          <w:tcPr>
            <w:tcW w:w="8000" w:type="dxa"/>
            <w:vAlign w:val="bottom"/>
            <w:gridSpan w:val="16"/>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9340" w:type="dxa"/>
            <w:vAlign w:val="bottom"/>
            <w:gridSpan w:val="20"/>
            <w:vMerge w:val="restart"/>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35"/>
        </w:trPr>
        <w:tc>
          <w:tcPr>
            <w:tcW w:w="112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20"/>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9340" w:type="dxa"/>
            <w:vAlign w:val="bottom"/>
            <w:gridSpan w:val="20"/>
            <w:vMerge w:val="restart"/>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Unregistered Sales of Equity Securities and Use of Proceeds</w:t>
              </w:r>
            </w:hyperlink>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35"/>
        </w:trPr>
        <w:tc>
          <w:tcPr>
            <w:tcW w:w="112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9340" w:type="dxa"/>
            <w:vAlign w:val="bottom"/>
            <w:gridSpan w:val="20"/>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120" w:type="dxa"/>
            <w:vAlign w:val="bottom"/>
            <w:vMerge w:val="continue"/>
          </w:tcPr>
          <w:p>
            <w:pPr>
              <w:spacing w:after="0"/>
              <w:rPr>
                <w:sz w:val="18"/>
                <w:szCs w:val="18"/>
                <w:color w:val="auto"/>
              </w:rPr>
            </w:pPr>
          </w:p>
        </w:tc>
        <w:tc>
          <w:tcPr>
            <w:tcW w:w="2260" w:type="dxa"/>
            <w:vAlign w:val="bottom"/>
            <w:tcBorders>
              <w:top w:val="single" w:sz="8" w:color="0000FF"/>
            </w:tcBorders>
            <w:gridSpan w:val="6"/>
            <w:vMerge w:val="restart"/>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Default Upon Senior Securities</w:t>
              </w:r>
            </w:hyperlink>
          </w:p>
        </w:tc>
        <w:tc>
          <w:tcPr>
            <w:tcW w:w="2080" w:type="dxa"/>
            <w:vAlign w:val="bottom"/>
            <w:tcBorders>
              <w:top w:val="single" w:sz="8" w:color="0000FF"/>
            </w:tcBorders>
            <w:gridSpan w:val="5"/>
            <w:vMerge w:val="restart"/>
          </w:tcPr>
          <w:p>
            <w:pPr>
              <w:spacing w:after="0"/>
              <w:rPr>
                <w:sz w:val="18"/>
                <w:szCs w:val="18"/>
                <w:color w:val="auto"/>
              </w:rPr>
            </w:pPr>
          </w:p>
        </w:tc>
        <w:tc>
          <w:tcPr>
            <w:tcW w:w="5000" w:type="dxa"/>
            <w:vAlign w:val="bottom"/>
            <w:gridSpan w:val="9"/>
            <w:vMerge w:val="restart"/>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40"/>
        </w:trPr>
        <w:tc>
          <w:tcPr>
            <w:tcW w:w="112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260" w:type="dxa"/>
            <w:vAlign w:val="bottom"/>
            <w:tcBorders>
              <w:bottom w:val="single" w:sz="8" w:color="0000FF"/>
            </w:tcBorders>
            <w:gridSpan w:val="6"/>
            <w:vMerge w:val="continue"/>
          </w:tcPr>
          <w:p>
            <w:pPr>
              <w:spacing w:after="0"/>
              <w:rPr>
                <w:sz w:val="11"/>
                <w:szCs w:val="11"/>
                <w:color w:val="auto"/>
              </w:rPr>
            </w:pPr>
          </w:p>
        </w:tc>
        <w:tc>
          <w:tcPr>
            <w:tcW w:w="2080" w:type="dxa"/>
            <w:vAlign w:val="bottom"/>
            <w:gridSpan w:val="5"/>
            <w:vMerge w:val="continue"/>
          </w:tcPr>
          <w:p>
            <w:pPr>
              <w:spacing w:after="0"/>
              <w:rPr>
                <w:sz w:val="11"/>
                <w:szCs w:val="11"/>
                <w:color w:val="auto"/>
              </w:rPr>
            </w:pPr>
          </w:p>
        </w:tc>
        <w:tc>
          <w:tcPr>
            <w:tcW w:w="5000" w:type="dxa"/>
            <w:vAlign w:val="bottom"/>
            <w:gridSpan w:val="9"/>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1780" w:type="dxa"/>
            <w:vAlign w:val="bottom"/>
            <w:gridSpan w:val="5"/>
            <w:vMerge w:val="restart"/>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Mine Safety Disclosures</w:t>
              </w:r>
            </w:hyperlink>
          </w:p>
        </w:tc>
        <w:tc>
          <w:tcPr>
            <w:tcW w:w="7560" w:type="dxa"/>
            <w:vAlign w:val="bottom"/>
            <w:gridSpan w:val="15"/>
            <w:vMerge w:val="restart"/>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40"/>
        </w:trPr>
        <w:tc>
          <w:tcPr>
            <w:tcW w:w="112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1780" w:type="dxa"/>
            <w:vAlign w:val="bottom"/>
            <w:tcBorders>
              <w:bottom w:val="single" w:sz="8" w:color="0000FF"/>
            </w:tcBorders>
            <w:gridSpan w:val="5"/>
            <w:vMerge w:val="continue"/>
          </w:tcPr>
          <w:p>
            <w:pPr>
              <w:spacing w:after="0"/>
              <w:rPr>
                <w:sz w:val="11"/>
                <w:szCs w:val="11"/>
                <w:color w:val="auto"/>
              </w:rPr>
            </w:pPr>
          </w:p>
        </w:tc>
        <w:tc>
          <w:tcPr>
            <w:tcW w:w="7560" w:type="dxa"/>
            <w:vAlign w:val="bottom"/>
            <w:gridSpan w:val="15"/>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1320" w:type="dxa"/>
            <w:vAlign w:val="bottom"/>
            <w:gridSpan w:val="3"/>
            <w:vMerge w:val="restart"/>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Other Information</w:t>
              </w:r>
            </w:hyperlink>
          </w:p>
        </w:tc>
        <w:tc>
          <w:tcPr>
            <w:tcW w:w="8020" w:type="dxa"/>
            <w:vAlign w:val="bottom"/>
            <w:gridSpan w:val="17"/>
            <w:vMerge w:val="restart"/>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40"/>
        </w:trPr>
        <w:tc>
          <w:tcPr>
            <w:tcW w:w="112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1320" w:type="dxa"/>
            <w:vAlign w:val="bottom"/>
            <w:tcBorders>
              <w:bottom w:val="single" w:sz="8" w:color="0000FF"/>
            </w:tcBorders>
            <w:gridSpan w:val="3"/>
            <w:vMerge w:val="continue"/>
          </w:tcPr>
          <w:p>
            <w:pPr>
              <w:spacing w:after="0"/>
              <w:rPr>
                <w:sz w:val="11"/>
                <w:szCs w:val="11"/>
                <w:color w:val="auto"/>
              </w:rPr>
            </w:pPr>
          </w:p>
        </w:tc>
        <w:tc>
          <w:tcPr>
            <w:tcW w:w="8020" w:type="dxa"/>
            <w:vAlign w:val="bottom"/>
            <w:gridSpan w:val="17"/>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9340" w:type="dxa"/>
            <w:vAlign w:val="bottom"/>
            <w:gridSpan w:val="20"/>
            <w:vMerge w:val="restart"/>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Exhibits</w:t>
              </w:r>
            </w:hyperlink>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9340" w:type="dxa"/>
            <w:vAlign w:val="bottom"/>
            <w:gridSpan w:val="20"/>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auto"/>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482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jc w:val="right"/>
        <w:spacing w:after="0" w:line="219" w:lineRule="auto"/>
        <w:rPr>
          <w:sz w:val="20"/>
          <w:szCs w:val="20"/>
          <w:color w:val="auto"/>
        </w:rPr>
      </w:pPr>
      <w:r>
        <w:rPr>
          <w:rFonts w:ascii="Arial" w:cs="Arial" w:eastAsia="Arial" w:hAnsi="Arial"/>
          <w:sz w:val="18"/>
          <w:szCs w:val="18"/>
          <w:color w:val="auto"/>
        </w:rPr>
        <w:t>61</w:t>
      </w:r>
    </w:p>
    <w:p>
      <w:pPr>
        <w:spacing w:after="0" w:line="204" w:lineRule="auto"/>
        <w:rPr>
          <w:sz w:val="20"/>
          <w:szCs w:val="20"/>
          <w:color w:val="auto"/>
        </w:rPr>
      </w:pPr>
      <w:r>
        <w:rPr>
          <w:rFonts w:ascii="Arial" w:cs="Arial" w:eastAsia="Arial" w:hAnsi="Arial"/>
          <w:sz w:val="18"/>
          <w:szCs w:val="18"/>
          <w:color w:val="auto"/>
        </w:rPr>
        <w:t>EX-31.1</w:t>
      </w:r>
    </w:p>
    <w:p>
      <w:pPr>
        <w:ind w:left="1120"/>
        <w:spacing w:after="0" w:line="219" w:lineRule="auto"/>
        <w:rPr>
          <w:sz w:val="20"/>
          <w:szCs w:val="20"/>
          <w:color w:val="auto"/>
        </w:rPr>
      </w:pPr>
      <w:r>
        <w:rPr>
          <w:rFonts w:ascii="Arial" w:cs="Arial" w:eastAsia="Arial" w:hAnsi="Arial"/>
          <w:sz w:val="18"/>
          <w:szCs w:val="18"/>
          <w:color w:val="auto"/>
        </w:rPr>
        <w:t>CERTIFICATION OF THE CEO PURSUANT TO SECTION 302</w:t>
      </w:r>
    </w:p>
    <w:p>
      <w:pPr>
        <w:spacing w:after="0" w:line="203" w:lineRule="auto"/>
        <w:rPr>
          <w:sz w:val="20"/>
          <w:szCs w:val="20"/>
          <w:color w:val="auto"/>
        </w:rPr>
      </w:pPr>
      <w:r>
        <w:rPr>
          <w:rFonts w:ascii="Arial" w:cs="Arial" w:eastAsia="Arial" w:hAnsi="Arial"/>
          <w:sz w:val="18"/>
          <w:szCs w:val="18"/>
          <w:color w:val="auto"/>
        </w:rPr>
        <w:t>EX-31.2</w:t>
      </w:r>
    </w:p>
    <w:p>
      <w:pPr>
        <w:ind w:left="1120"/>
        <w:spacing w:after="0" w:line="219" w:lineRule="auto"/>
        <w:rPr>
          <w:sz w:val="20"/>
          <w:szCs w:val="20"/>
          <w:color w:val="auto"/>
        </w:rPr>
      </w:pPr>
      <w:r>
        <w:rPr>
          <w:rFonts w:ascii="Arial" w:cs="Arial" w:eastAsia="Arial" w:hAnsi="Arial"/>
          <w:sz w:val="18"/>
          <w:szCs w:val="18"/>
          <w:color w:val="auto"/>
        </w:rPr>
        <w:t>CERTIFICATION OF THE CFO PURSUANT TO SECTION 302</w:t>
      </w:r>
    </w:p>
    <w:p>
      <w:pPr>
        <w:spacing w:after="0" w:line="204" w:lineRule="auto"/>
        <w:rPr>
          <w:sz w:val="20"/>
          <w:szCs w:val="20"/>
          <w:color w:val="auto"/>
        </w:rPr>
      </w:pPr>
      <w:r>
        <w:rPr>
          <w:rFonts w:ascii="Arial" w:cs="Arial" w:eastAsia="Arial" w:hAnsi="Arial"/>
          <w:sz w:val="18"/>
          <w:szCs w:val="18"/>
          <w:color w:val="auto"/>
        </w:rPr>
        <w:t>EX-32.1</w:t>
      </w:r>
    </w:p>
    <w:p>
      <w:pPr>
        <w:ind w:left="1120"/>
        <w:spacing w:after="0"/>
        <w:rPr>
          <w:sz w:val="20"/>
          <w:szCs w:val="20"/>
          <w:color w:val="auto"/>
        </w:rPr>
      </w:pPr>
      <w:r>
        <w:rPr>
          <w:rFonts w:ascii="Arial" w:cs="Arial" w:eastAsia="Arial" w:hAnsi="Arial"/>
          <w:sz w:val="18"/>
          <w:szCs w:val="18"/>
          <w:color w:val="auto"/>
        </w:rPr>
        <w:t>CERTIFICATION OF THE CEO AND CFO PURSUANT TO 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703580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2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96"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margin and operating expenses;</w:t>
      </w:r>
    </w:p>
    <w:p>
      <w:pPr>
        <w:spacing w:after="0" w:line="167"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44"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impact of the COVID-19 pandemic on our business, operations, and the markets in which we and our partners and customers operate;</w:t>
      </w:r>
    </w:p>
    <w:p>
      <w:pPr>
        <w:spacing w:after="0" w:line="89"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44" w:lineRule="exact"/>
        <w:rPr>
          <w:rFonts w:ascii="Arial" w:cs="Arial" w:eastAsia="Arial" w:hAnsi="Arial"/>
          <w:sz w:val="18"/>
          <w:szCs w:val="18"/>
          <w:color w:val="auto"/>
        </w:rPr>
      </w:pPr>
    </w:p>
    <w:p>
      <w:pPr>
        <w:ind w:left="1020" w:right="340" w:hanging="503"/>
        <w:spacing w:after="0" w:line="29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55"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4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44"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183"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5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 w:name="page4"/>
    <w:bookmarkEnd w:id="3"/>
    <w:p>
      <w:pPr>
        <w:ind w:right="960"/>
        <w:spacing w:after="0" w:line="261" w:lineRule="auto"/>
        <w:rPr>
          <w:sz w:val="20"/>
          <w:szCs w:val="20"/>
          <w:color w:val="auto"/>
        </w:rPr>
      </w:pPr>
      <w:r>
        <w:rPr>
          <w:rFonts w:ascii="Arial" w:cs="Arial" w:eastAsia="Arial" w:hAnsi="Arial"/>
          <w:sz w:val="18"/>
          <w:szCs w:val="18"/>
          <w:color w:val="auto"/>
        </w:rPr>
        <w:t>10-Q to reflect events or circumstances after the date of this Quarterly Report on Form 10-Q or to reflect new information or the occurrence of unanticipated events, except as required by law.</w:t>
      </w:r>
    </w:p>
    <w:p>
      <w:pPr>
        <w:spacing w:after="0" w:line="144"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In this Quarterly Report on Form 10-Q, the terms “HubSpot,” “we,” “us,” and “our” refer to HubSpot, Inc. and its subsidiaries, unless the context indicates otherwise.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89" w:lineRule="exact"/>
        <w:rPr>
          <w:sz w:val="20"/>
          <w:szCs w:val="20"/>
          <w:color w:val="auto"/>
        </w:rPr>
      </w:pPr>
    </w:p>
    <w:p>
      <w:pPr>
        <w:ind w:firstLine="749"/>
        <w:spacing w:after="0" w:line="294" w:lineRule="auto"/>
        <w:rPr>
          <w:sz w:val="20"/>
          <w:szCs w:val="20"/>
          <w:color w:val="auto"/>
        </w:rPr>
      </w:pPr>
      <w:r>
        <w:rPr>
          <w:rFonts w:ascii="Arial" w:cs="Arial" w:eastAsia="Arial" w:hAnsi="Arial"/>
          <w:sz w:val="16"/>
          <w:szCs w:val="16"/>
          <w:i w:val="1"/>
          <w:iCs w:val="1"/>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66" w:lineRule="exact"/>
        <w:rPr>
          <w:sz w:val="20"/>
          <w:szCs w:val="20"/>
          <w:color w:val="auto"/>
        </w:rPr>
      </w:pPr>
    </w:p>
    <w:p>
      <w:pPr>
        <w:ind w:left="1020" w:right="3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customer renewals, the addition of new customers, increased revenue from existing customers and the continued growth of the market for a CRM Platform.</w:t>
      </w:r>
    </w:p>
    <w:p>
      <w:pPr>
        <w:spacing w:after="0" w:line="103"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114"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89"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requirements, our CRM Platform may become less competitive.</w:t>
      </w:r>
    </w:p>
    <w:p>
      <w:pPr>
        <w:spacing w:after="0" w:line="103" w:lineRule="exact"/>
        <w:rPr>
          <w:rFonts w:ascii="Arial" w:cs="Arial" w:eastAsia="Arial" w:hAnsi="Arial"/>
          <w:sz w:val="18"/>
          <w:szCs w:val="18"/>
          <w:color w:val="auto"/>
        </w:rPr>
      </w:pPr>
    </w:p>
    <w:p>
      <w:pPr>
        <w:ind w:left="1020" w:right="40" w:hanging="503"/>
        <w:spacing w:after="0" w:line="32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56"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fluctuations in currency exchange rates that could adversely affect our financial results,</w:t>
      </w:r>
    </w:p>
    <w:p>
      <w:pPr>
        <w:spacing w:after="0" w:line="130"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economic downturn may lead to decreased demand for our products and services and otherwise harm our business and results of operations,</w:t>
      </w:r>
    </w:p>
    <w:p>
      <w:pPr>
        <w:spacing w:after="0" w:line="103" w:lineRule="exact"/>
        <w:rPr>
          <w:rFonts w:ascii="Arial" w:cs="Arial" w:eastAsia="Arial" w:hAnsi="Arial"/>
          <w:sz w:val="18"/>
          <w:szCs w:val="18"/>
          <w:color w:val="auto"/>
        </w:rPr>
      </w:pPr>
    </w:p>
    <w:p>
      <w:pPr>
        <w:ind w:left="1020" w:right="80" w:hanging="503"/>
        <w:spacing w:after="0" w:line="291"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79" w:lineRule="exact"/>
        <w:rPr>
          <w:rFonts w:ascii="Arial" w:cs="Arial" w:eastAsia="Arial" w:hAnsi="Arial"/>
          <w:sz w:val="17"/>
          <w:szCs w:val="17"/>
          <w:color w:val="auto"/>
        </w:rPr>
      </w:pPr>
    </w:p>
    <w:p>
      <w:pPr>
        <w:ind w:left="1020" w:right="160" w:hanging="503"/>
        <w:spacing w:after="0" w:line="291"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65" w:lineRule="exact"/>
        <w:rPr>
          <w:rFonts w:ascii="Arial" w:cs="Arial" w:eastAsia="Arial" w:hAnsi="Arial"/>
          <w:sz w:val="17"/>
          <w:szCs w:val="17"/>
          <w:color w:val="auto"/>
        </w:rPr>
      </w:pPr>
    </w:p>
    <w:p>
      <w:pPr>
        <w:ind w:left="1020" w:right="16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achieve profitability in the future.</w:t>
      </w:r>
    </w:p>
    <w:p>
      <w:pPr>
        <w:spacing w:after="0" w:line="144"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89"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capital in the future may be limited, and our failure to raise capital when needed could prevent us from growing.</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305,664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377,013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940,379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820,962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Accounts receivable — net of allowance for doubtful accounts of $2,041 and</w:t>
            </w:r>
          </w:p>
        </w:tc>
        <w:tc>
          <w:tcPr>
            <w:tcW w:w="32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165,950</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157,362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$1,768 at June 30, 2022 and December 31, 2021, respectively</w:t>
            </w:r>
          </w:p>
        </w:tc>
        <w:tc>
          <w:tcPr>
            <w:tcW w:w="32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Deferred commission expense</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63,526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59,849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56,260</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38,388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1,531,779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1,453,574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162,660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174,895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102,556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96,134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Capitalized software development costs, net</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50,228</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263,602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280,828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commission expense, net of current portion</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49,287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49,197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29,244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18,767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45,883</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2,273,959</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2,174,854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11,822</w:t>
            </w:r>
          </w:p>
        </w:tc>
        <w:tc>
          <w:tcPr>
            <w:tcW w:w="3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 costs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55,757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96,263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74,457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Convertible senior notes</w:t>
            </w:r>
          </w:p>
        </w:tc>
        <w:tc>
          <w:tcPr>
            <w:tcW w:w="3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28,744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26,364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469,576</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430,414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662,162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617,474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264,234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283,873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 net of current portion</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4,511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4,473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18,353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Convertible senior notes, net of current portion</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453,232</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383,101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1,402,492</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1,301,055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1,477,770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1,436,089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(11,017 )</w:t>
            </w:r>
          </w:p>
        </w:tc>
        <w:tc>
          <w:tcPr>
            <w:tcW w:w="22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(1,339 )</w:t>
            </w: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(595,334 )</w:t>
            </w:r>
          </w:p>
        </w:tc>
        <w:tc>
          <w:tcPr>
            <w:tcW w:w="2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(560,998 )</w:t>
            </w:r>
          </w:p>
        </w:tc>
        <w:tc>
          <w:tcPr>
            <w:tcW w:w="0" w:type="dxa"/>
            <w:vAlign w:val="bottom"/>
          </w:tcPr>
          <w:p>
            <w:pPr>
              <w:spacing w:after="0"/>
              <w:rPr>
                <w:sz w:val="1"/>
                <w:szCs w:val="1"/>
                <w:color w:val="auto"/>
              </w:rPr>
            </w:pPr>
          </w:p>
        </w:tc>
      </w:tr>
      <w:tr>
        <w:trPr>
          <w:trHeight w:val="196"/>
        </w:trPr>
        <w:tc>
          <w:tcPr>
            <w:tcW w:w="7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871,467</w:t>
            </w: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873,799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2,273,959</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2,174,854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-4222750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-4222750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-2922270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-2905125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-1864995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-1864995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-1076325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-1076325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Three Months Ended June 30,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w w:val="92"/>
              </w:rPr>
              <w:t>For the Six Months Ended June 30,</w:t>
            </w:r>
          </w:p>
        </w:tc>
        <w:tc>
          <w:tcPr>
            <w:tcW w:w="100" w:type="dxa"/>
            <w:vAlign w:val="bottom"/>
          </w:tcPr>
          <w:p>
            <w:pPr>
              <w:spacing w:after="0"/>
              <w:rPr>
                <w:sz w:val="14"/>
                <w:szCs w:val="14"/>
                <w:color w:val="auto"/>
              </w:rPr>
            </w:pPr>
          </w:p>
        </w:tc>
      </w:tr>
      <w:tr>
        <w:trPr>
          <w:trHeight w:val="169"/>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79"/>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412,401</w:t>
            </w: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300,423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797,356</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570,686</w:t>
            </w:r>
          </w:p>
        </w:tc>
        <w:tc>
          <w:tcPr>
            <w:tcW w:w="100" w:type="dxa"/>
            <w:vAlign w:val="bottom"/>
          </w:tcPr>
          <w:p>
            <w:pPr>
              <w:spacing w:after="0"/>
              <w:rPr>
                <w:sz w:val="17"/>
                <w:szCs w:val="17"/>
                <w:color w:val="auto"/>
              </w:rPr>
            </w:pPr>
          </w:p>
        </w:tc>
      </w:tr>
      <w:tr>
        <w:trPr>
          <w:trHeight w:val="203"/>
        </w:trPr>
        <w:tc>
          <w:tcPr>
            <w:tcW w:w="60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Professional services and other</w:t>
            </w: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9,354</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10,365</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19,998</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21,467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1"/>
        </w:trPr>
        <w:tc>
          <w:tcPr>
            <w:tcW w:w="6060" w:type="dxa"/>
            <w:vAlign w:val="bottom"/>
          </w:tcPr>
          <w:p>
            <w:pPr>
              <w:ind w:left="56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421,755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310,788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817,354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592,153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-143510</wp:posOffset>
            </wp:positionV>
            <wp:extent cx="768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-143510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-143510</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-143510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p>
      <w:pPr>
        <w:jc w:val="center"/>
        <w:ind w:right="4040"/>
        <w:spacing w:after="0"/>
        <w:rPr>
          <w:sz w:val="20"/>
          <w:szCs w:val="20"/>
          <w:color w:val="auto"/>
        </w:rPr>
      </w:pPr>
      <w:r>
        <w:rPr>
          <w:rFonts w:ascii="Arial" w:cs="Arial" w:eastAsia="Arial" w:hAnsi="Arial"/>
          <w:sz w:val="16"/>
          <w:szCs w:val="16"/>
          <w:color w:val="auto"/>
        </w:rPr>
        <w:t>Cost of revenues: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Subscription</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Professional services and other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cost of revenues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profit</w:t>
      </w:r>
    </w:p>
    <w:p>
      <w:pPr>
        <w:ind w:left="20"/>
        <w:spacing w:after="0" w:line="234" w:lineRule="auto"/>
        <w:rPr>
          <w:sz w:val="20"/>
          <w:szCs w:val="20"/>
          <w:color w:val="auto"/>
        </w:rPr>
      </w:pPr>
      <w:r>
        <w:rPr>
          <w:rFonts w:ascii="Arial" w:cs="Arial" w:eastAsia="Arial" w:hAnsi="Arial"/>
          <w:sz w:val="18"/>
          <w:szCs w:val="18"/>
          <w:color w:val="auto"/>
        </w:rPr>
        <w:t>Operating expenses:</w:t>
      </w:r>
    </w:p>
    <w:p>
      <w:pPr>
        <w:ind w:left="200"/>
        <w:spacing w:after="0" w:line="235" w:lineRule="auto"/>
        <w:rPr>
          <w:sz w:val="20"/>
          <w:szCs w:val="20"/>
          <w:color w:val="auto"/>
        </w:rPr>
      </w:pPr>
      <w:r>
        <w:rPr>
          <w:rFonts w:ascii="Arial" w:cs="Arial" w:eastAsia="Arial" w:hAnsi="Arial"/>
          <w:sz w:val="18"/>
          <w:szCs w:val="18"/>
          <w:color w:val="auto"/>
        </w:rPr>
        <w:t>Research and development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Sales and marketing</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operating expenses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operations</w:t>
      </w:r>
    </w:p>
    <w:p>
      <w:pPr>
        <w:ind w:left="20"/>
        <w:spacing w:after="0" w:line="234" w:lineRule="auto"/>
        <w:rPr>
          <w:sz w:val="20"/>
          <w:szCs w:val="20"/>
          <w:color w:val="auto"/>
        </w:rPr>
      </w:pPr>
      <w:r>
        <w:rPr>
          <w:rFonts w:ascii="Arial" w:cs="Arial" w:eastAsia="Arial" w:hAnsi="Arial"/>
          <w:sz w:val="18"/>
          <w:szCs w:val="18"/>
          <w:color w:val="auto"/>
        </w:rPr>
        <w:t>Other expense:</w:t>
      </w:r>
    </w:p>
    <w:p>
      <w:pPr>
        <w:ind w:left="200"/>
        <w:spacing w:after="0" w:line="235" w:lineRule="auto"/>
        <w:rPr>
          <w:sz w:val="20"/>
          <w:szCs w:val="20"/>
          <w:color w:val="auto"/>
        </w:rPr>
      </w:pPr>
      <w:r>
        <w:rPr>
          <w:rFonts w:ascii="Arial" w:cs="Arial" w:eastAsia="Arial" w:hAnsi="Arial"/>
          <w:sz w:val="18"/>
          <w:szCs w:val="18"/>
          <w:color w:val="auto"/>
        </w:rPr>
        <w:t>Interest income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(expense) income</w:t>
      </w:r>
    </w:p>
    <w:p>
      <w:pPr>
        <w:spacing w:after="0" w:line="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other (expense) income</w:t>
      </w:r>
    </w:p>
    <w:p>
      <w:pPr>
        <w:ind w:left="20"/>
        <w:spacing w:after="0"/>
        <w:rPr>
          <w:sz w:val="20"/>
          <w:szCs w:val="20"/>
          <w:color w:val="auto"/>
        </w:rPr>
      </w:pPr>
      <w:r>
        <w:rPr>
          <w:rFonts w:ascii="Arial" w:cs="Arial" w:eastAsia="Arial" w:hAnsi="Arial"/>
          <w:sz w:val="18"/>
          <w:szCs w:val="18"/>
          <w:color w:val="auto"/>
        </w:rPr>
        <w:t>Loss before income tax expense</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expense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per share, basic and diluted</w:t>
      </w:r>
    </w:p>
    <w:p>
      <w:pPr>
        <w:ind w:left="120" w:right="1860" w:hanging="89"/>
        <w:spacing w:after="0" w:line="268" w:lineRule="auto"/>
        <w:rPr>
          <w:sz w:val="20"/>
          <w:szCs w:val="20"/>
          <w:color w:val="auto"/>
        </w:rPr>
      </w:pPr>
      <w:r>
        <w:rPr>
          <w:rFonts w:ascii="Arial" w:cs="Arial" w:eastAsia="Arial" w:hAnsi="Arial"/>
          <w:sz w:val="16"/>
          <w:szCs w:val="16"/>
          <w:color w:val="auto"/>
        </w:rPr>
        <w:t>Weighted average common shares used in computing basic and diluted net loss per share: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64,431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51,134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123,816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94,986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78,931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62,877</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151,869</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117,611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342,824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247,911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665,485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118,914</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211,650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140,500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224,262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157,799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421,396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298,817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395,074</w:t>
            </w:r>
          </w:p>
        </w:tc>
        <w:tc>
          <w:tcPr>
            <w:tcW w:w="26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264,513</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728,890</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506,177</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(52,250</w:t>
            </w:r>
          </w:p>
        </w:tc>
        <w:tc>
          <w:tcPr>
            <w:tcW w:w="2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(16,602</w:t>
            </w:r>
          </w:p>
        </w:tc>
        <w:tc>
          <w:tcPr>
            <w:tcW w:w="22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(63,405</w:t>
            </w:r>
          </w:p>
        </w:tc>
        <w:tc>
          <w:tcPr>
            <w:tcW w:w="24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(31,635</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(949 )</w:t>
            </w:r>
          </w:p>
        </w:tc>
        <w:tc>
          <w:tcPr>
            <w:tcW w:w="300" w:type="dxa"/>
            <w:vAlign w:val="bottom"/>
          </w:tcPr>
          <w:p>
            <w:pPr>
              <w:spacing w:after="0"/>
              <w:rPr>
                <w:sz w:val="17"/>
                <w:szCs w:val="17"/>
                <w:color w:val="auto"/>
              </w:rPr>
            </w:pPr>
          </w:p>
        </w:tc>
        <w:tc>
          <w:tcPr>
            <w:tcW w:w="102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(7,179 )</w:t>
            </w:r>
          </w:p>
        </w:tc>
        <w:tc>
          <w:tcPr>
            <w:tcW w:w="300" w:type="dxa"/>
            <w:vAlign w:val="bottom"/>
          </w:tcPr>
          <w:p>
            <w:pPr>
              <w:spacing w:after="0"/>
              <w:rPr>
                <w:sz w:val="17"/>
                <w:szCs w:val="17"/>
                <w:color w:val="auto"/>
              </w:rPr>
            </w:pPr>
          </w:p>
        </w:tc>
        <w:tc>
          <w:tcPr>
            <w:tcW w:w="10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(1,898 )</w:t>
            </w:r>
          </w:p>
        </w:tc>
        <w:tc>
          <w:tcPr>
            <w:tcW w:w="2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(16,578 )</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(3,091 )</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(1,990</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(6,310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1,268</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(14,574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(54,240</w:t>
            </w:r>
          </w:p>
        </w:tc>
        <w:tc>
          <w:tcPr>
            <w:tcW w:w="26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(22,912</w:t>
            </w:r>
          </w:p>
        </w:tc>
        <w:tc>
          <w:tcPr>
            <w:tcW w:w="220" w:type="dxa"/>
            <w:vAlign w:val="bottom"/>
          </w:tcPr>
          <w:p>
            <w:pPr>
              <w:jc w:val="right"/>
              <w:ind w:right="81"/>
              <w:spacing w:after="0" w:line="181" w:lineRule="exact"/>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(62,137</w:t>
            </w:r>
          </w:p>
        </w:tc>
        <w:tc>
          <w:tcPr>
            <w:tcW w:w="24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(46,209</w:t>
            </w:r>
          </w:p>
        </w:tc>
        <w:tc>
          <w:tcPr>
            <w:tcW w:w="60" w:type="dxa"/>
            <w:vAlign w:val="bottom"/>
          </w:tcPr>
          <w:p>
            <w:pPr>
              <w:jc w:val="right"/>
              <w:spacing w:after="0" w:line="18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(2,121 )</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(1,660 )</w:t>
            </w:r>
          </w:p>
        </w:tc>
        <w:tc>
          <w:tcPr>
            <w:tcW w:w="3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(3,565 )</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(1,522 )</w:t>
            </w:r>
          </w:p>
        </w:tc>
        <w:tc>
          <w:tcPr>
            <w:tcW w:w="0" w:type="dxa"/>
            <w:vAlign w:val="bottom"/>
          </w:tcPr>
          <w:p>
            <w:pPr>
              <w:spacing w:after="0"/>
              <w:rPr>
                <w:sz w:val="1"/>
                <w:szCs w:val="1"/>
                <w:color w:val="auto"/>
              </w:rPr>
            </w:pPr>
          </w:p>
        </w:tc>
      </w:tr>
      <w:tr>
        <w:trPr>
          <w:trHeight w:val="196"/>
        </w:trPr>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(56,361</w:t>
            </w:r>
          </w:p>
        </w:tc>
        <w:tc>
          <w:tcPr>
            <w:tcW w:w="26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(24,572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(65,702</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(47,731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1"/>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22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47,815</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46,777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47,697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-2665095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-2391410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-2125345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-1868170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-1593850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-1328420</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-1071245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-796925</wp:posOffset>
            </wp:positionV>
            <wp:extent cx="71323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-530860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-248285</wp:posOffset>
            </wp:positionV>
            <wp:extent cx="713232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5340" w:space="720"/>
            <w:col w:w="5180"/>
          </w:cols>
          <w:pgMar w:left="320" w:top="324" w:right="3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520" w:type="dxa"/>
            <w:vAlign w:val="bottom"/>
            <w:gridSpan w:val="6"/>
          </w:tcPr>
          <w:p>
            <w:pPr>
              <w:jc w:val="right"/>
              <w:ind w:right="270"/>
              <w:spacing w:after="0"/>
              <w:rPr>
                <w:sz w:val="20"/>
                <w:szCs w:val="20"/>
                <w:color w:val="auto"/>
              </w:rPr>
            </w:pPr>
            <w:r>
              <w:rPr>
                <w:rFonts w:ascii="Arial" w:cs="Arial" w:eastAsia="Arial" w:hAnsi="Arial"/>
                <w:sz w:val="14"/>
                <w:szCs w:val="14"/>
                <w:b w:val="1"/>
                <w:bCs w:val="1"/>
                <w:color w:val="auto"/>
                <w:w w:val="94"/>
              </w:rPr>
              <w:t>For the Three Months Ended June</w:t>
            </w:r>
          </w:p>
        </w:tc>
        <w:tc>
          <w:tcPr>
            <w:tcW w:w="2260" w:type="dxa"/>
            <w:vAlign w:val="bottom"/>
            <w:gridSpan w:val="6"/>
          </w:tcPr>
          <w:p>
            <w:pPr>
              <w:jc w:val="right"/>
              <w:ind w:right="141"/>
              <w:spacing w:after="0"/>
              <w:rPr>
                <w:sz w:val="20"/>
                <w:szCs w:val="20"/>
                <w:color w:val="auto"/>
              </w:rPr>
            </w:pPr>
            <w:r>
              <w:rPr>
                <w:rFonts w:ascii="Arial" w:cs="Arial" w:eastAsia="Arial" w:hAnsi="Arial"/>
                <w:sz w:val="14"/>
                <w:szCs w:val="14"/>
                <w:b w:val="1"/>
                <w:bCs w:val="1"/>
                <w:color w:val="auto"/>
                <w:w w:val="96"/>
              </w:rPr>
              <w:t>For the Six Months Ended June</w:t>
            </w: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(56,361</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(24,572</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(65,702</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(47,731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(2,669 )</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(3,025 )</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(1,955 )</w:t>
            </w:r>
          </w:p>
        </w:tc>
        <w:tc>
          <w:tcPr>
            <w:tcW w:w="0" w:type="dxa"/>
            <w:vAlign w:val="bottom"/>
          </w:tcPr>
          <w:p>
            <w:pPr>
              <w:spacing w:after="0"/>
              <w:rPr>
                <w:sz w:val="1"/>
                <w:szCs w:val="1"/>
                <w:color w:val="auto"/>
              </w:rPr>
            </w:pPr>
          </w:p>
        </w:tc>
      </w:tr>
      <w:tr>
        <w:trPr>
          <w:trHeight w:val="162"/>
        </w:trPr>
        <w:tc>
          <w:tcPr>
            <w:tcW w:w="6460" w:type="dxa"/>
            <w:vAlign w:val="bottom"/>
          </w:tcPr>
          <w:p>
            <w:pPr>
              <w:ind w:left="200"/>
              <w:spacing w:after="0" w:line="162" w:lineRule="exact"/>
              <w:rPr>
                <w:sz w:val="20"/>
                <w:szCs w:val="20"/>
                <w:color w:val="auto"/>
              </w:rPr>
            </w:pPr>
            <w:r>
              <w:rPr>
                <w:rFonts w:ascii="Arial" w:cs="Arial" w:eastAsia="Arial" w:hAnsi="Arial"/>
                <w:sz w:val="18"/>
                <w:szCs w:val="18"/>
                <w:color w:val="auto"/>
              </w:rPr>
              <w:t>Changes in unrealized loss on investments, net of income taxes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300"/>
              <w:spacing w:after="0" w:line="176" w:lineRule="exact"/>
              <w:rPr>
                <w:sz w:val="20"/>
                <w:szCs w:val="20"/>
                <w:color w:val="auto"/>
              </w:rPr>
            </w:pPr>
            <w:r>
              <w:rPr>
                <w:rFonts w:ascii="Arial" w:cs="Arial" w:eastAsia="Arial" w:hAnsi="Arial"/>
                <w:sz w:val="18"/>
                <w:szCs w:val="18"/>
                <w:color w:val="auto"/>
              </w:rPr>
              <w:t>of $0 for the three and six months ended June 30, 2022, ($7) and ($43)</w:t>
            </w:r>
          </w:p>
        </w:tc>
        <w:tc>
          <w:tcPr>
            <w:tcW w:w="220" w:type="dxa"/>
            <w:vAlign w:val="bottom"/>
          </w:tcPr>
          <w:p>
            <w:pPr>
              <w:spacing w:after="0"/>
              <w:rPr>
                <w:sz w:val="15"/>
                <w:szCs w:val="15"/>
                <w:color w:val="auto"/>
              </w:rPr>
            </w:pPr>
          </w:p>
        </w:tc>
        <w:tc>
          <w:tcPr>
            <w:tcW w:w="102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(2,652 )</w:t>
            </w:r>
          </w:p>
        </w:tc>
        <w:tc>
          <w:tcPr>
            <w:tcW w:w="240" w:type="dxa"/>
            <w:vAlign w:val="bottom"/>
          </w:tcPr>
          <w:p>
            <w:pPr>
              <w:spacing w:after="0"/>
              <w:rPr>
                <w:sz w:val="15"/>
                <w:szCs w:val="15"/>
                <w:color w:val="auto"/>
              </w:rPr>
            </w:pPr>
          </w:p>
        </w:tc>
        <w:tc>
          <w:tcPr>
            <w:tcW w:w="104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(180 )</w:t>
            </w:r>
          </w:p>
        </w:tc>
        <w:tc>
          <w:tcPr>
            <w:tcW w:w="200" w:type="dxa"/>
            <w:vAlign w:val="bottom"/>
          </w:tcPr>
          <w:p>
            <w:pPr>
              <w:spacing w:after="0"/>
              <w:rPr>
                <w:sz w:val="15"/>
                <w:szCs w:val="15"/>
                <w:color w:val="auto"/>
              </w:rPr>
            </w:pPr>
          </w:p>
        </w:tc>
        <w:tc>
          <w:tcPr>
            <w:tcW w:w="9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(6,653 )</w:t>
            </w:r>
          </w:p>
        </w:tc>
        <w:tc>
          <w:tcPr>
            <w:tcW w:w="22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03"/>
        </w:trPr>
        <w:tc>
          <w:tcPr>
            <w:tcW w:w="6460" w:type="dxa"/>
            <w:vAlign w:val="bottom"/>
          </w:tcPr>
          <w:p>
            <w:pPr>
              <w:ind w:left="300"/>
              <w:spacing w:after="0" w:line="202" w:lineRule="exact"/>
              <w:rPr>
                <w:sz w:val="20"/>
                <w:szCs w:val="20"/>
                <w:color w:val="auto"/>
              </w:rPr>
            </w:pPr>
            <w:r>
              <w:rPr>
                <w:rFonts w:ascii="Arial" w:cs="Arial" w:eastAsia="Arial" w:hAnsi="Arial"/>
                <w:sz w:val="18"/>
                <w:szCs w:val="18"/>
                <w:color w:val="auto"/>
              </w:rPr>
              <w:t>for the three and six months ended June 30, 2021</w:t>
            </w: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36"/>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(61,682</w:t>
            </w:r>
          </w:p>
        </w:tc>
        <w:tc>
          <w:tcPr>
            <w:tcW w:w="260" w:type="dxa"/>
            <w:vAlign w:val="bottom"/>
            <w:tcBorders>
              <w:bottom w:val="single" w:sz="8" w:color="CFF0FC"/>
            </w:tcBorders>
            <w:shd w:val="clear" w:color="auto" w:fill="CFF0FC"/>
          </w:tcPr>
          <w:p>
            <w:pPr>
              <w:jc w:val="right"/>
              <w:ind w:right="121"/>
              <w:spacing w:after="0" w:line="183" w:lineRule="exact"/>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(24,218</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(75,380</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(50,106</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-25400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HubSpot,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100" w:type="dxa"/>
            <w:vAlign w:val="bottom"/>
            <w:gridSpan w:val="2"/>
          </w:tcPr>
          <w:p>
            <w:pPr>
              <w:jc w:val="center"/>
              <w:ind w:left="358"/>
              <w:spacing w:after="0"/>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240" w:type="dxa"/>
            <w:vAlign w:val="bottom"/>
            <w:gridSpan w:val="3"/>
          </w:tcPr>
          <w:p>
            <w:pPr>
              <w:jc w:val="center"/>
              <w:ind w:left="238"/>
              <w:spacing w:after="0" w:line="135" w:lineRule="exact"/>
              <w:rPr>
                <w:sz w:val="20"/>
                <w:szCs w:val="20"/>
                <w:color w:val="auto"/>
              </w:rPr>
            </w:pPr>
            <w:r>
              <w:rPr>
                <w:rFonts w:ascii="Arial" w:cs="Arial" w:eastAsia="Arial" w:hAnsi="Arial"/>
                <w:sz w:val="13"/>
                <w:szCs w:val="13"/>
                <w:b w:val="1"/>
                <w:bCs w:val="1"/>
                <w:color w:val="auto"/>
                <w:w w:val="87"/>
              </w:rPr>
              <w:t>Stock, $0.001</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w w:val="89"/>
              </w:rPr>
              <w:t>Treasury Stock, $0.001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235"/>
              <w:spacing w:after="0"/>
              <w:rPr>
                <w:sz w:val="20"/>
                <w:szCs w:val="20"/>
                <w:color w:val="auto"/>
              </w:rPr>
            </w:pPr>
            <w:r>
              <w:rPr>
                <w:rFonts w:ascii="Arial" w:cs="Arial" w:eastAsia="Arial" w:hAnsi="Arial"/>
                <w:sz w:val="13"/>
                <w:szCs w:val="13"/>
                <w:b w:val="1"/>
                <w:bCs w:val="1"/>
                <w:color w:val="auto"/>
                <w:w w:val="85"/>
              </w:rPr>
              <w:t>Accumulated</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100" w:type="dxa"/>
            <w:vAlign w:val="bottom"/>
            <w:tcBorders>
              <w:bottom w:val="single" w:sz="8" w:color="auto"/>
            </w:tcBorders>
            <w:gridSpan w:val="2"/>
          </w:tcPr>
          <w:p>
            <w:pPr>
              <w:jc w:val="center"/>
              <w:ind w:left="378"/>
              <w:spacing w:after="0"/>
              <w:rPr>
                <w:sz w:val="20"/>
                <w:szCs w:val="20"/>
                <w:color w:val="auto"/>
              </w:rPr>
            </w:pPr>
            <w:r>
              <w:rPr>
                <w:rFonts w:ascii="Arial" w:cs="Arial" w:eastAsia="Arial" w:hAnsi="Arial"/>
                <w:sz w:val="13"/>
                <w:szCs w:val="13"/>
                <w:b w:val="1"/>
                <w:bCs w:val="1"/>
                <w:color w:val="auto"/>
                <w:w w:val="87"/>
              </w:rPr>
              <w:t>Par Value</w:t>
            </w: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3"/>
                <w:szCs w:val="13"/>
                <w:b w:val="1"/>
                <w:bCs w:val="1"/>
                <w:color w:val="auto"/>
              </w:rPr>
              <w:t>Par Value</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100" w:type="dxa"/>
            <w:vAlign w:val="bottom"/>
            <w:gridSpan w:val="2"/>
          </w:tcPr>
          <w:p>
            <w:pPr>
              <w:ind w:left="260"/>
              <w:spacing w:after="0" w:line="142"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2"/>
                <w:szCs w:val="12"/>
                <w:color w:val="auto"/>
              </w:rPr>
            </w:pPr>
          </w:p>
        </w:tc>
        <w:tc>
          <w:tcPr>
            <w:tcW w:w="300" w:type="dxa"/>
            <w:vAlign w:val="bottom"/>
          </w:tcPr>
          <w:p>
            <w:pPr>
              <w:jc w:val="right"/>
              <w:ind w:right="96"/>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660" w:type="dxa"/>
            <w:vAlign w:val="bottom"/>
          </w:tcPr>
          <w:p>
            <w:pPr>
              <w:jc w:val="right"/>
              <w:ind w:right="78"/>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116"/>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80"/>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2"/>
                <w:szCs w:val="12"/>
                <w:color w:val="auto"/>
              </w:rPr>
            </w:pPr>
          </w:p>
        </w:tc>
        <w:tc>
          <w:tcPr>
            <w:tcW w:w="1040" w:type="dxa"/>
            <w:vAlign w:val="bottom"/>
            <w:gridSpan w:val="2"/>
          </w:tcPr>
          <w:p>
            <w:pPr>
              <w:jc w:val="right"/>
              <w:ind w:right="395"/>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84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Balances at December 31, 2021</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47,390</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1,436,089</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(1,339</w:t>
            </w: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(560,998</w:t>
            </w:r>
          </w:p>
        </w:tc>
        <w:tc>
          <w:tcPr>
            <w:tcW w:w="2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873,799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stock under stock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00" w:type="dxa"/>
            <w:vAlign w:val="bottom"/>
          </w:tcPr>
          <w:p>
            <w:pPr>
              <w:ind w:left="100"/>
              <w:spacing w:after="0"/>
              <w:rPr>
                <w:sz w:val="20"/>
                <w:szCs w:val="20"/>
                <w:color w:val="auto"/>
              </w:rPr>
            </w:pPr>
            <w:r>
              <w:rPr>
                <w:rFonts w:ascii="Arial" w:cs="Arial" w:eastAsia="Arial" w:hAnsi="Arial"/>
                <w:sz w:val="17"/>
                <w:szCs w:val="17"/>
                <w:color w:val="auto"/>
              </w:rPr>
              <w:t>plans</w:t>
            </w:r>
          </w:p>
        </w:tc>
        <w:tc>
          <w:tcPr>
            <w:tcW w:w="880" w:type="dxa"/>
            <w:vAlign w:val="bottom"/>
          </w:tcPr>
          <w:p>
            <w:pPr>
              <w:jc w:val="right"/>
              <w:spacing w:after="0"/>
              <w:rPr>
                <w:sz w:val="20"/>
                <w:szCs w:val="20"/>
                <w:color w:val="auto"/>
              </w:rPr>
            </w:pPr>
            <w:r>
              <w:rPr>
                <w:rFonts w:ascii="Arial" w:cs="Arial" w:eastAsia="Arial" w:hAnsi="Arial"/>
                <w:sz w:val="17"/>
                <w:szCs w:val="17"/>
                <w:color w:val="auto"/>
              </w:rPr>
              <w:t>250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Restricted stock units taxes paid in cash</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(4,354 )</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(4,354 )</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46,436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46,436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Conversion of the 2025 Notes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(691 )</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(691 )</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8" w:lineRule="exact"/>
              <w:rPr>
                <w:sz w:val="20"/>
                <w:szCs w:val="20"/>
                <w:color w:val="auto"/>
              </w:rPr>
            </w:pPr>
            <w:r>
              <w:rPr>
                <w:rFonts w:ascii="Arial" w:cs="Arial" w:eastAsia="Arial" w:hAnsi="Arial"/>
                <w:sz w:val="17"/>
                <w:szCs w:val="17"/>
                <w:color w:val="auto"/>
              </w:rPr>
              <w:t>Cumulative adjustment from adoption of</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00" w:type="dxa"/>
            <w:vAlign w:val="bottom"/>
          </w:tcPr>
          <w:p>
            <w:pPr>
              <w:ind w:left="100"/>
              <w:spacing w:after="0"/>
              <w:rPr>
                <w:sz w:val="20"/>
                <w:szCs w:val="20"/>
                <w:color w:val="auto"/>
              </w:rPr>
            </w:pPr>
            <w:r>
              <w:rPr>
                <w:rFonts w:ascii="Arial" w:cs="Arial" w:eastAsia="Arial" w:hAnsi="Arial"/>
                <w:sz w:val="17"/>
                <w:szCs w:val="17"/>
                <w:color w:val="auto"/>
              </w:rPr>
              <w:t>convertible debt standard (Note 8)</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(101,167 )</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31,366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(69,801 )</w:t>
            </w: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Cumulative translation adjustment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(356 )</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(356 )</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8" w:lineRule="exact"/>
              <w:rPr>
                <w:sz w:val="20"/>
                <w:szCs w:val="20"/>
                <w:color w:val="auto"/>
              </w:rPr>
            </w:pPr>
            <w:r>
              <w:rPr>
                <w:rFonts w:ascii="Arial" w:cs="Arial" w:eastAsia="Arial" w:hAnsi="Arial"/>
                <w:sz w:val="17"/>
                <w:szCs w:val="17"/>
                <w:color w:val="auto"/>
              </w:rPr>
              <w:t>Unrealized loss on investments, net of</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00" w:type="dxa"/>
            <w:vAlign w:val="bottom"/>
          </w:tcPr>
          <w:p>
            <w:pPr>
              <w:ind w:left="100"/>
              <w:spacing w:after="0"/>
              <w:rPr>
                <w:sz w:val="20"/>
                <w:szCs w:val="20"/>
                <w:color w:val="auto"/>
              </w:rPr>
            </w:pPr>
            <w:r>
              <w:rPr>
                <w:rFonts w:ascii="Arial" w:cs="Arial" w:eastAsia="Arial" w:hAnsi="Arial"/>
                <w:sz w:val="17"/>
                <w:szCs w:val="17"/>
                <w:color w:val="auto"/>
              </w:rPr>
              <w:t>income taxes of $0</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(4,001 )</w:t>
            </w:r>
          </w:p>
        </w:tc>
        <w:tc>
          <w:tcPr>
            <w:tcW w:w="100" w:type="dxa"/>
            <w:vAlign w:val="bottom"/>
          </w:tcPr>
          <w:p>
            <w:pPr>
              <w:spacing w:after="0"/>
              <w:rPr>
                <w:sz w:val="18"/>
                <w:szCs w:val="18"/>
                <w:color w:val="auto"/>
              </w:rPr>
            </w:pP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(4,001 )</w:t>
            </w:r>
          </w:p>
        </w:tc>
        <w:tc>
          <w:tcPr>
            <w:tcW w:w="0" w:type="dxa"/>
            <w:vAlign w:val="bottom"/>
          </w:tcPr>
          <w:p>
            <w:pPr>
              <w:spacing w:after="0"/>
              <w:rPr>
                <w:sz w:val="1"/>
                <w:szCs w:val="1"/>
                <w:color w:val="auto"/>
              </w:rPr>
            </w:pPr>
          </w:p>
        </w:tc>
      </w:tr>
      <w:tr>
        <w:trPr>
          <w:trHeight w:val="204"/>
        </w:trPr>
        <w:tc>
          <w:tcPr>
            <w:tcW w:w="3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(9,341 )</w:t>
            </w: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(9,341 )</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7"/>
                <w:szCs w:val="17"/>
                <w:color w:val="auto"/>
              </w:rPr>
              <w:t>Balances at March 31, 2022</w:t>
            </w:r>
          </w:p>
        </w:tc>
        <w:tc>
          <w:tcPr>
            <w:tcW w:w="880" w:type="dxa"/>
            <w:vAlign w:val="bottom"/>
          </w:tcPr>
          <w:p>
            <w:pPr>
              <w:jc w:val="right"/>
              <w:spacing w:after="0"/>
              <w:rPr>
                <w:sz w:val="20"/>
                <w:szCs w:val="20"/>
                <w:color w:val="auto"/>
              </w:rPr>
            </w:pPr>
            <w:r>
              <w:rPr>
                <w:rFonts w:ascii="Arial" w:cs="Arial" w:eastAsia="Arial" w:hAnsi="Arial"/>
                <w:sz w:val="17"/>
                <w:szCs w:val="17"/>
                <w:color w:val="auto"/>
              </w:rPr>
              <w:t>47,640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910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1,378,457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(5,696 )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35"/>
              <w:spacing w:after="0"/>
              <w:rPr>
                <w:sz w:val="20"/>
                <w:szCs w:val="20"/>
                <w:color w:val="auto"/>
              </w:rPr>
            </w:pPr>
            <w:r>
              <w:rPr>
                <w:rFonts w:ascii="Arial" w:cs="Arial" w:eastAsia="Arial" w:hAnsi="Arial"/>
                <w:sz w:val="17"/>
                <w:szCs w:val="17"/>
                <w:color w:val="auto"/>
              </w:rPr>
              <w:t>(538,973 )</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833,836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00" w:type="dxa"/>
            <w:vAlign w:val="bottom"/>
            <w:shd w:val="clear" w:color="auto" w:fill="CFF0FC"/>
          </w:tcPr>
          <w:p>
            <w:pPr>
              <w:ind w:left="20"/>
              <w:spacing w:after="0" w:line="138" w:lineRule="exact"/>
              <w:rPr>
                <w:sz w:val="20"/>
                <w:szCs w:val="20"/>
                <w:color w:val="auto"/>
              </w:rPr>
            </w:pPr>
            <w:r>
              <w:rPr>
                <w:rFonts w:ascii="Arial" w:cs="Arial" w:eastAsia="Arial" w:hAnsi="Arial"/>
                <w:sz w:val="16"/>
                <w:szCs w:val="16"/>
                <w:color w:val="auto"/>
              </w:rPr>
              <w:t>Issuance of common stock under stock</w:t>
            </w: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2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plans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18,548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7"/>
                <w:szCs w:val="17"/>
                <w:color w:val="auto"/>
              </w:rPr>
              <w:t>Restricted stock units taxes paid in cash</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(3,409 )</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(3,409 )</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84,113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84,113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7"/>
                <w:szCs w:val="17"/>
                <w:color w:val="auto"/>
              </w:rPr>
              <w:t>Conversion of the 2022 Notes</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(60,422 )</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(60,422 )</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Settlement of Convertible Note Hedges</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60,483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7"/>
                <w:szCs w:val="17"/>
                <w:color w:val="auto"/>
              </w:rPr>
              <w:t>Cumulative translation adjustment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(2,669 )</w:t>
            </w:r>
          </w:p>
        </w:tc>
        <w:tc>
          <w:tcPr>
            <w:tcW w:w="100" w:type="dxa"/>
            <w:vAlign w:val="bottom"/>
          </w:tcPr>
          <w:p>
            <w:pPr>
              <w:spacing w:after="0"/>
              <w:rPr>
                <w:sz w:val="17"/>
                <w:szCs w:val="17"/>
                <w:color w:val="auto"/>
              </w:rPr>
            </w:pPr>
          </w:p>
        </w:tc>
        <w:tc>
          <w:tcPr>
            <w:tcW w:w="10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(2,669 )</w:t>
            </w:r>
          </w:p>
        </w:tc>
        <w:tc>
          <w:tcPr>
            <w:tcW w:w="0" w:type="dxa"/>
            <w:vAlign w:val="bottom"/>
          </w:tcPr>
          <w:p>
            <w:pPr>
              <w:spacing w:after="0"/>
              <w:rPr>
                <w:sz w:val="1"/>
                <w:szCs w:val="1"/>
                <w:color w:val="auto"/>
              </w:rPr>
            </w:pPr>
          </w:p>
        </w:tc>
      </w:tr>
      <w:tr>
        <w:trPr>
          <w:trHeight w:val="158"/>
        </w:trPr>
        <w:tc>
          <w:tcPr>
            <w:tcW w:w="320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Unrealized loss on investments, net of</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income taxes of $0</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(2,652 )</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(2,652 )</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35"/>
              <w:spacing w:after="0"/>
              <w:rPr>
                <w:sz w:val="20"/>
                <w:szCs w:val="20"/>
                <w:color w:val="auto"/>
              </w:rPr>
            </w:pPr>
            <w:r>
              <w:rPr>
                <w:rFonts w:ascii="Arial" w:cs="Arial" w:eastAsia="Arial" w:hAnsi="Arial"/>
                <w:sz w:val="17"/>
                <w:szCs w:val="17"/>
                <w:color w:val="auto"/>
              </w:rPr>
              <w:t>(56,361 )</w:t>
            </w:r>
          </w:p>
        </w:tc>
        <w:tc>
          <w:tcPr>
            <w:tcW w:w="2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(56,361 )</w:t>
            </w:r>
          </w:p>
        </w:tc>
        <w:tc>
          <w:tcPr>
            <w:tcW w:w="0" w:type="dxa"/>
            <w:vAlign w:val="bottom"/>
          </w:tcPr>
          <w:p>
            <w:pPr>
              <w:spacing w:after="0"/>
              <w:rPr>
                <w:sz w:val="1"/>
                <w:szCs w:val="1"/>
                <w:color w:val="auto"/>
              </w:rPr>
            </w:pPr>
          </w:p>
        </w:tc>
      </w:tr>
      <w:tr>
        <w:trPr>
          <w:trHeight w:val="236"/>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Balances at June 30, 2022</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47,896</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1,477,770</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(11,017</w:t>
            </w: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(595,334</w:t>
            </w:r>
          </w:p>
        </w:tc>
        <w:tc>
          <w:tcPr>
            <w:tcW w:w="20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871,467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-1573530</wp:posOffset>
            </wp:positionV>
            <wp:extent cx="768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-1573530</wp:posOffset>
            </wp:positionV>
            <wp:extent cx="7683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-1573530</wp:posOffset>
            </wp:positionV>
            <wp:extent cx="768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-1573530</wp:posOffset>
            </wp:positionV>
            <wp:extent cx="7747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-1573530</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-1573530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-1573530</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-1573530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-25400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-25400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-25400</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140" w:type="dxa"/>
            <w:vAlign w:val="bottom"/>
            <w:gridSpan w:val="3"/>
          </w:tcPr>
          <w:p>
            <w:pPr>
              <w:jc w:val="center"/>
              <w:ind w:left="279"/>
              <w:spacing w:after="0"/>
              <w:rPr>
                <w:sz w:val="20"/>
                <w:szCs w:val="20"/>
                <w:color w:val="auto"/>
              </w:rPr>
            </w:pPr>
            <w:r>
              <w:rPr>
                <w:rFonts w:ascii="Arial" w:cs="Arial" w:eastAsia="Arial" w:hAnsi="Arial"/>
                <w:sz w:val="13"/>
                <w:szCs w:val="13"/>
                <w:b w:val="1"/>
                <w:bCs w:val="1"/>
                <w:color w:val="auto"/>
                <w:w w:val="88"/>
              </w:rPr>
              <w:t>Common</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140" w:type="dxa"/>
            <w:vAlign w:val="bottom"/>
            <w:gridSpan w:val="3"/>
          </w:tcPr>
          <w:p>
            <w:pPr>
              <w:jc w:val="center"/>
              <w:ind w:left="259"/>
              <w:spacing w:after="0" w:line="135" w:lineRule="exact"/>
              <w:rPr>
                <w:sz w:val="20"/>
                <w:szCs w:val="20"/>
                <w:color w:val="auto"/>
              </w:rPr>
            </w:pPr>
            <w:r>
              <w:rPr>
                <w:rFonts w:ascii="Arial" w:cs="Arial" w:eastAsia="Arial" w:hAnsi="Arial"/>
                <w:sz w:val="13"/>
                <w:szCs w:val="13"/>
                <w:b w:val="1"/>
                <w:bCs w:val="1"/>
                <w:color w:val="auto"/>
                <w:w w:val="87"/>
              </w:rPr>
              <w:t>Stock, $0.001</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4"/>
          </w:tcPr>
          <w:p>
            <w:pPr>
              <w:jc w:val="right"/>
              <w:ind w:right="56"/>
              <w:spacing w:after="0" w:line="135" w:lineRule="exact"/>
              <w:rPr>
                <w:sz w:val="20"/>
                <w:szCs w:val="20"/>
                <w:color w:val="auto"/>
              </w:rPr>
            </w:pPr>
            <w:r>
              <w:rPr>
                <w:rFonts w:ascii="Arial" w:cs="Arial" w:eastAsia="Arial" w:hAnsi="Arial"/>
                <w:sz w:val="13"/>
                <w:szCs w:val="13"/>
                <w:b w:val="1"/>
                <w:bCs w:val="1"/>
                <w:color w:val="auto"/>
                <w:w w:val="95"/>
              </w:rPr>
              <w:t>Treasury Stock, $0.001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06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w w:val="95"/>
              </w:rPr>
              <w:t>Accumulated</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140" w:type="dxa"/>
            <w:vAlign w:val="bottom"/>
            <w:tcBorders>
              <w:bottom w:val="single" w:sz="8" w:color="auto"/>
            </w:tcBorders>
            <w:gridSpan w:val="3"/>
          </w:tcPr>
          <w:p>
            <w:pPr>
              <w:jc w:val="center"/>
              <w:ind w:left="259"/>
              <w:spacing w:after="0"/>
              <w:rPr>
                <w:sz w:val="20"/>
                <w:szCs w:val="20"/>
                <w:color w:val="auto"/>
              </w:rPr>
            </w:pPr>
            <w:r>
              <w:rPr>
                <w:rFonts w:ascii="Arial" w:cs="Arial" w:eastAsia="Arial" w:hAnsi="Arial"/>
                <w:sz w:val="13"/>
                <w:szCs w:val="13"/>
                <w:b w:val="1"/>
                <w:bCs w:val="1"/>
                <w:color w:val="auto"/>
                <w:w w:val="87"/>
              </w:rPr>
              <w:t>Par Value</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3"/>
                <w:szCs w:val="13"/>
                <w:b w:val="1"/>
                <w:bCs w:val="1"/>
                <w:color w:val="auto"/>
              </w:rPr>
              <w:t>Par Value</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960" w:type="dxa"/>
            <w:vAlign w:val="bottom"/>
            <w:gridSpan w:val="2"/>
          </w:tcPr>
          <w:p>
            <w:pPr>
              <w:jc w:val="right"/>
              <w:ind w:right="420"/>
              <w:spacing w:after="0" w:line="142" w:lineRule="exact"/>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2"/>
                <w:szCs w:val="12"/>
                <w:color w:val="auto"/>
              </w:rPr>
            </w:pPr>
          </w:p>
        </w:tc>
        <w:tc>
          <w:tcPr>
            <w:tcW w:w="340" w:type="dxa"/>
            <w:vAlign w:val="bottom"/>
          </w:tcPr>
          <w:p>
            <w:pPr>
              <w:jc w:val="right"/>
              <w:ind w:right="136"/>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760" w:type="dxa"/>
            <w:vAlign w:val="bottom"/>
          </w:tcPr>
          <w:p>
            <w:pPr>
              <w:jc w:val="right"/>
              <w:ind w:right="118"/>
              <w:spacing w:after="0" w:line="142"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ind w:right="136"/>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87"/>
              </w:rPr>
              <w:t>(Loss)</w:t>
            </w:r>
          </w:p>
        </w:tc>
        <w:tc>
          <w:tcPr>
            <w:tcW w:w="180" w:type="dxa"/>
            <w:vAlign w:val="bottom"/>
          </w:tcPr>
          <w:p>
            <w:pPr>
              <w:spacing w:after="0"/>
              <w:rPr>
                <w:sz w:val="12"/>
                <w:szCs w:val="12"/>
                <w:color w:val="auto"/>
              </w:rPr>
            </w:pPr>
          </w:p>
        </w:tc>
        <w:tc>
          <w:tcPr>
            <w:tcW w:w="88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2"/>
                <w:szCs w:val="12"/>
                <w:color w:val="auto"/>
              </w:rPr>
            </w:pPr>
          </w:p>
        </w:tc>
        <w:tc>
          <w:tcPr>
            <w:tcW w:w="760" w:type="dxa"/>
            <w:vAlign w:val="bottom"/>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6"/>
        </w:trPr>
        <w:tc>
          <w:tcPr>
            <w:tcW w:w="314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Balances at December 31, 2020</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46,115</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4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1,241,167</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4,603</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5"/>
              </w:rPr>
              <w:t>(483,161</w:t>
            </w:r>
          </w:p>
        </w:tc>
        <w:tc>
          <w:tcPr>
            <w:tcW w:w="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762,655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140" w:type="dxa"/>
            <w:vAlign w:val="bottom"/>
          </w:tcPr>
          <w:p>
            <w:pPr>
              <w:ind w:left="20"/>
              <w:spacing w:after="0" w:line="158" w:lineRule="exact"/>
              <w:rPr>
                <w:sz w:val="20"/>
                <w:szCs w:val="20"/>
                <w:color w:val="auto"/>
              </w:rPr>
            </w:pPr>
            <w:r>
              <w:rPr>
                <w:rFonts w:ascii="Arial" w:cs="Arial" w:eastAsia="Arial" w:hAnsi="Arial"/>
                <w:sz w:val="17"/>
                <w:szCs w:val="17"/>
                <w:color w:val="auto"/>
              </w:rPr>
              <w:t>Issuance of common stock under stock</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100"/>
              <w:spacing w:after="0" w:line="176" w:lineRule="exact"/>
              <w:rPr>
                <w:sz w:val="20"/>
                <w:szCs w:val="20"/>
                <w:color w:val="auto"/>
              </w:rPr>
            </w:pPr>
            <w:r>
              <w:rPr>
                <w:rFonts w:ascii="Arial" w:cs="Arial" w:eastAsia="Arial" w:hAnsi="Arial"/>
                <w:sz w:val="17"/>
                <w:szCs w:val="17"/>
                <w:color w:val="auto"/>
              </w:rPr>
              <w:t>plans, net of shares withheld</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40" w:type="dxa"/>
            <w:vAlign w:val="bottom"/>
          </w:tcPr>
          <w:p>
            <w:pPr>
              <w:ind w:left="100"/>
              <w:spacing w:after="0"/>
              <w:rPr>
                <w:sz w:val="20"/>
                <w:szCs w:val="20"/>
                <w:color w:val="auto"/>
              </w:rPr>
            </w:pPr>
            <w:r>
              <w:rPr>
                <w:rFonts w:ascii="Arial" w:cs="Arial" w:eastAsia="Arial" w:hAnsi="Arial"/>
                <w:sz w:val="17"/>
                <w:szCs w:val="17"/>
                <w:color w:val="auto"/>
              </w:rPr>
              <w:t>for employee taxes</w:t>
            </w:r>
          </w:p>
        </w:tc>
        <w:tc>
          <w:tcPr>
            <w:tcW w:w="720" w:type="dxa"/>
            <w:vAlign w:val="bottom"/>
          </w:tcPr>
          <w:p>
            <w:pPr>
              <w:jc w:val="right"/>
              <w:spacing w:after="0"/>
              <w:rPr>
                <w:sz w:val="20"/>
                <w:szCs w:val="20"/>
                <w:color w:val="auto"/>
              </w:rPr>
            </w:pPr>
            <w:r>
              <w:rPr>
                <w:rFonts w:ascii="Arial" w:cs="Arial" w:eastAsia="Arial" w:hAnsi="Arial"/>
                <w:sz w:val="17"/>
                <w:szCs w:val="17"/>
                <w:color w:val="auto"/>
              </w:rPr>
              <w:t>482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32,947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140" w:type="dxa"/>
            <w:vAlign w:val="bottom"/>
          </w:tcPr>
          <w:p>
            <w:pPr>
              <w:ind w:left="20"/>
              <w:spacing w:after="0" w:line="158" w:lineRule="exact"/>
              <w:rPr>
                <w:sz w:val="20"/>
                <w:szCs w:val="20"/>
                <w:color w:val="auto"/>
              </w:rPr>
            </w:pPr>
            <w:r>
              <w:rPr>
                <w:rFonts w:ascii="Arial" w:cs="Arial" w:eastAsia="Arial" w:hAnsi="Arial"/>
                <w:sz w:val="17"/>
                <w:szCs w:val="17"/>
                <w:color w:val="auto"/>
              </w:rPr>
              <w:t>Equity component of the 2022</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140" w:type="dxa"/>
            <w:vAlign w:val="bottom"/>
          </w:tcPr>
          <w:p>
            <w:pPr>
              <w:ind w:left="100"/>
              <w:spacing w:after="0"/>
              <w:rPr>
                <w:sz w:val="20"/>
                <w:szCs w:val="20"/>
                <w:color w:val="auto"/>
              </w:rPr>
            </w:pPr>
            <w:r>
              <w:rPr>
                <w:rFonts w:ascii="Arial" w:cs="Arial" w:eastAsia="Arial" w:hAnsi="Arial"/>
                <w:sz w:val="17"/>
                <w:szCs w:val="17"/>
                <w:color w:val="auto"/>
              </w:rPr>
              <w:t>Notes conversions</w:t>
            </w:r>
          </w:p>
        </w:tc>
        <w:tc>
          <w:tcPr>
            <w:tcW w:w="720" w:type="dxa"/>
            <w:vAlign w:val="bottom"/>
          </w:tcPr>
          <w:p>
            <w:pPr>
              <w:jc w:val="right"/>
              <w:spacing w:after="0"/>
              <w:rPr>
                <w:sz w:val="20"/>
                <w:szCs w:val="20"/>
                <w:color w:val="auto"/>
              </w:rPr>
            </w:pPr>
            <w:r>
              <w:rPr>
                <w:rFonts w:ascii="Arial" w:cs="Arial" w:eastAsia="Arial" w:hAnsi="Arial"/>
                <w:sz w:val="17"/>
                <w:szCs w:val="17"/>
                <w:color w:val="auto"/>
              </w:rPr>
              <w:t>363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(2,307 )</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(2,307 )</w:t>
            </w:r>
          </w:p>
        </w:tc>
        <w:tc>
          <w:tcPr>
            <w:tcW w:w="0" w:type="dxa"/>
            <w:vAlign w:val="bottom"/>
          </w:tcPr>
          <w:p>
            <w:pPr>
              <w:spacing w:after="0"/>
              <w:rPr>
                <w:sz w:val="1"/>
                <w:szCs w:val="1"/>
                <w:color w:val="auto"/>
              </w:rPr>
            </w:pPr>
          </w:p>
        </w:tc>
      </w:tr>
      <w:tr>
        <w:trPr>
          <w:trHeight w:val="204"/>
        </w:trPr>
        <w:tc>
          <w:tcPr>
            <w:tcW w:w="31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Settlement of Convertible Note Hedges</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(364 )</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364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rPr>
                <w:sz w:val="20"/>
                <w:szCs w:val="20"/>
                <w:color w:val="auto"/>
              </w:rPr>
            </w:pPr>
            <w:r>
              <w:rPr>
                <w:rFonts w:ascii="Arial" w:cs="Arial" w:eastAsia="Arial" w:hAnsi="Arial"/>
                <w:sz w:val="17"/>
                <w:szCs w:val="17"/>
                <w:color w:val="auto"/>
              </w:rPr>
              <w:t>Cumulative translation adjustment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(2,489 )</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(2,489 )</w:t>
            </w:r>
          </w:p>
        </w:tc>
        <w:tc>
          <w:tcPr>
            <w:tcW w:w="0" w:type="dxa"/>
            <w:vAlign w:val="bottom"/>
          </w:tcPr>
          <w:p>
            <w:pPr>
              <w:spacing w:after="0"/>
              <w:rPr>
                <w:sz w:val="1"/>
                <w:szCs w:val="1"/>
                <w:color w:val="auto"/>
              </w:rPr>
            </w:pPr>
          </w:p>
        </w:tc>
      </w:tr>
      <w:tr>
        <w:trPr>
          <w:trHeight w:val="158"/>
        </w:trPr>
        <w:tc>
          <w:tcPr>
            <w:tcW w:w="314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Unrealized gain on investments, net of</w:t>
            </w: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income taxes of ($36)</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(240 )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(240 )</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rPr>
                <w:sz w:val="20"/>
                <w:szCs w:val="20"/>
                <w:color w:val="auto"/>
              </w:rPr>
            </w:pPr>
            <w:r>
              <w:rPr>
                <w:rFonts w:ascii="Arial" w:cs="Arial" w:eastAsia="Arial" w:hAnsi="Arial"/>
                <w:sz w:val="17"/>
                <w:szCs w:val="17"/>
                <w:color w:val="auto"/>
              </w:rPr>
              <w:t>Net loss</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(23,159 )</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(23,159 )</w:t>
            </w:r>
          </w:p>
        </w:tc>
        <w:tc>
          <w:tcPr>
            <w:tcW w:w="0" w:type="dxa"/>
            <w:vAlign w:val="bottom"/>
          </w:tcPr>
          <w:p>
            <w:pPr>
              <w:spacing w:after="0"/>
              <w:rPr>
                <w:sz w:val="1"/>
                <w:szCs w:val="1"/>
                <w:color w:val="auto"/>
              </w:rPr>
            </w:pPr>
          </w:p>
        </w:tc>
      </w:tr>
      <w:tr>
        <w:trPr>
          <w:trHeight w:val="236"/>
        </w:trPr>
        <w:tc>
          <w:tcPr>
            <w:tcW w:w="3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Balances at March 31, 2021</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46,596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1,279,113</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1,874</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5"/>
              </w:rPr>
              <w:t>(506,320</w:t>
            </w: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774,714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3140" w:type="dxa"/>
            <w:vAlign w:val="bottom"/>
          </w:tcPr>
          <w:p>
            <w:pPr>
              <w:ind w:left="20"/>
              <w:spacing w:after="0" w:line="138" w:lineRule="exact"/>
              <w:rPr>
                <w:sz w:val="20"/>
                <w:szCs w:val="20"/>
                <w:color w:val="auto"/>
              </w:rPr>
            </w:pPr>
            <w:r>
              <w:rPr>
                <w:rFonts w:ascii="Arial" w:cs="Arial" w:eastAsia="Arial" w:hAnsi="Arial"/>
                <w:sz w:val="16"/>
                <w:szCs w:val="16"/>
                <w:color w:val="auto"/>
              </w:rPr>
              <w:t>Issuance of common stock under stock</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100"/>
              <w:spacing w:after="0" w:line="176" w:lineRule="exact"/>
              <w:rPr>
                <w:sz w:val="20"/>
                <w:szCs w:val="20"/>
                <w:color w:val="auto"/>
              </w:rPr>
            </w:pPr>
            <w:r>
              <w:rPr>
                <w:rFonts w:ascii="Arial" w:cs="Arial" w:eastAsia="Arial" w:hAnsi="Arial"/>
                <w:sz w:val="17"/>
                <w:szCs w:val="17"/>
                <w:color w:val="auto"/>
              </w:rPr>
              <w:t>plans, net of shares withheld</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40" w:type="dxa"/>
            <w:vAlign w:val="bottom"/>
          </w:tcPr>
          <w:p>
            <w:pPr>
              <w:ind w:left="100"/>
              <w:spacing w:after="0"/>
              <w:rPr>
                <w:sz w:val="20"/>
                <w:szCs w:val="20"/>
                <w:color w:val="auto"/>
              </w:rPr>
            </w:pPr>
            <w:r>
              <w:rPr>
                <w:rFonts w:ascii="Arial" w:cs="Arial" w:eastAsia="Arial" w:hAnsi="Arial"/>
                <w:sz w:val="17"/>
                <w:szCs w:val="17"/>
                <w:color w:val="auto"/>
              </w:rPr>
              <w:t>for employee taxes</w:t>
            </w:r>
          </w:p>
        </w:tc>
        <w:tc>
          <w:tcPr>
            <w:tcW w:w="720" w:type="dxa"/>
            <w:vAlign w:val="bottom"/>
          </w:tcPr>
          <w:p>
            <w:pPr>
              <w:jc w:val="right"/>
              <w:spacing w:after="0"/>
              <w:rPr>
                <w:sz w:val="20"/>
                <w:szCs w:val="20"/>
                <w:color w:val="auto"/>
              </w:rPr>
            </w:pPr>
            <w:r>
              <w:rPr>
                <w:rFonts w:ascii="Arial" w:cs="Arial" w:eastAsia="Arial" w:hAnsi="Arial"/>
                <w:sz w:val="17"/>
                <w:szCs w:val="17"/>
                <w:color w:val="auto"/>
              </w:rPr>
              <w:t>264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10,677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140" w:type="dxa"/>
            <w:vAlign w:val="bottom"/>
            <w:shd w:val="clear" w:color="auto" w:fill="CFF0FC"/>
          </w:tcPr>
          <w:p>
            <w:pPr>
              <w:ind w:left="20"/>
              <w:spacing w:after="0" w:line="160" w:lineRule="exact"/>
              <w:rPr>
                <w:sz w:val="20"/>
                <w:szCs w:val="20"/>
                <w:color w:val="auto"/>
              </w:rPr>
            </w:pPr>
            <w:r>
              <w:rPr>
                <w:rFonts w:ascii="Arial" w:cs="Arial" w:eastAsia="Arial" w:hAnsi="Arial"/>
                <w:sz w:val="17"/>
                <w:szCs w:val="17"/>
                <w:color w:val="auto"/>
              </w:rPr>
              <w:t>Equity component of the 2022</w:t>
            </w: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Notes conversions</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(148 )</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(148 )</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rPr>
                <w:sz w:val="20"/>
                <w:szCs w:val="20"/>
                <w:color w:val="auto"/>
              </w:rPr>
            </w:pPr>
            <w:r>
              <w:rPr>
                <w:rFonts w:ascii="Arial" w:cs="Arial" w:eastAsia="Arial" w:hAnsi="Arial"/>
                <w:sz w:val="17"/>
                <w:szCs w:val="17"/>
                <w:color w:val="auto"/>
              </w:rPr>
              <w:t>Settlement of Convertible Note Hedges</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(109 )</w:t>
            </w: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109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Stock-based compensation</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44,659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rPr>
                <w:sz w:val="20"/>
                <w:szCs w:val="20"/>
                <w:color w:val="auto"/>
              </w:rPr>
            </w:pPr>
            <w:r>
              <w:rPr>
                <w:rFonts w:ascii="Arial" w:cs="Arial" w:eastAsia="Arial" w:hAnsi="Arial"/>
                <w:sz w:val="17"/>
                <w:szCs w:val="17"/>
                <w:color w:val="auto"/>
              </w:rPr>
              <w:t>Cumulative translation adjustment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140" w:type="dxa"/>
            <w:vAlign w:val="bottom"/>
            <w:shd w:val="clear" w:color="auto" w:fill="CFF0FC"/>
          </w:tcPr>
          <w:p>
            <w:pPr>
              <w:ind w:left="20"/>
              <w:spacing w:after="0" w:line="158" w:lineRule="exact"/>
              <w:rPr>
                <w:sz w:val="20"/>
                <w:szCs w:val="20"/>
                <w:color w:val="auto"/>
              </w:rPr>
            </w:pPr>
            <w:r>
              <w:rPr>
                <w:rFonts w:ascii="Arial" w:cs="Arial" w:eastAsia="Arial" w:hAnsi="Arial"/>
                <w:sz w:val="17"/>
                <w:szCs w:val="17"/>
                <w:color w:val="auto"/>
              </w:rPr>
              <w:t>Unrealized loss on investments, net of</w:t>
            </w: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income taxes of ($7)</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(180 )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(180 )</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rPr>
                <w:sz w:val="20"/>
                <w:szCs w:val="20"/>
                <w:color w:val="auto"/>
              </w:rPr>
            </w:pPr>
            <w:r>
              <w:rPr>
                <w:rFonts w:ascii="Arial" w:cs="Arial" w:eastAsia="Arial" w:hAnsi="Arial"/>
                <w:sz w:val="17"/>
                <w:szCs w:val="17"/>
                <w:color w:val="auto"/>
              </w:rPr>
              <w:t>Net loss</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(24,572 )</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(24,572 )</w:t>
            </w:r>
          </w:p>
        </w:tc>
        <w:tc>
          <w:tcPr>
            <w:tcW w:w="0" w:type="dxa"/>
            <w:vAlign w:val="bottom"/>
          </w:tcPr>
          <w:p>
            <w:pPr>
              <w:spacing w:after="0"/>
              <w:rPr>
                <w:sz w:val="1"/>
                <w:szCs w:val="1"/>
                <w:color w:val="auto"/>
              </w:rPr>
            </w:pPr>
          </w:p>
        </w:tc>
      </w:tr>
      <w:tr>
        <w:trPr>
          <w:trHeight w:val="236"/>
        </w:trPr>
        <w:tc>
          <w:tcPr>
            <w:tcW w:w="3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Balances at June 30, 2021</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46,859</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1,334,301</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2,228</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5"/>
              </w:rPr>
              <w:t>(530,892</w:t>
            </w:r>
          </w:p>
        </w:tc>
        <w:tc>
          <w:tcPr>
            <w:tcW w:w="2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805,684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-1534160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-1516380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-1534160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-1516380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-1534160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-1516380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-1534160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-1516380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-1534160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-1516380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-1534160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-1516380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-1534160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-1516380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-25400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-25400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-25400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HubSpot,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60" w:type="dxa"/>
            <w:vAlign w:val="bottom"/>
          </w:tcPr>
          <w:p>
            <w:pPr>
              <w:spacing w:after="0"/>
              <w:rPr>
                <w:sz w:val="14"/>
                <w:szCs w:val="14"/>
                <w:color w:val="auto"/>
              </w:rPr>
            </w:pPr>
          </w:p>
        </w:tc>
        <w:tc>
          <w:tcPr>
            <w:tcW w:w="3180" w:type="dxa"/>
            <w:vAlign w:val="bottom"/>
            <w:gridSpan w:val="6"/>
          </w:tcPr>
          <w:p>
            <w:pPr>
              <w:jc w:val="right"/>
              <w:ind w:right="488"/>
              <w:spacing w:after="0"/>
              <w:rPr>
                <w:sz w:val="20"/>
                <w:szCs w:val="20"/>
                <w:color w:val="auto"/>
              </w:rPr>
            </w:pPr>
            <w:r>
              <w:rPr>
                <w:rFonts w:ascii="Arial" w:cs="Arial" w:eastAsia="Arial" w:hAnsi="Arial"/>
                <w:sz w:val="14"/>
                <w:szCs w:val="14"/>
                <w:b w:val="1"/>
                <w:bCs w:val="1"/>
                <w:color w:val="auto"/>
              </w:rPr>
              <w:t>For the Six Months Ended June 30,</w:t>
            </w:r>
          </w:p>
        </w:tc>
      </w:tr>
      <w:tr>
        <w:trPr>
          <w:trHeight w:val="169"/>
        </w:trPr>
        <w:tc>
          <w:tcPr>
            <w:tcW w:w="80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80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80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(65,702 )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(47,731 )</w:t>
            </w:r>
          </w:p>
        </w:tc>
      </w:tr>
      <w:tr>
        <w:trPr>
          <w:trHeight w:val="143"/>
        </w:trPr>
        <w:tc>
          <w:tcPr>
            <w:tcW w:w="80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Adjustments to reconcile net loss to net cash and cash equivalents provided</w:t>
            </w:r>
          </w:p>
        </w:tc>
        <w:tc>
          <w:tcPr>
            <w:tcW w:w="8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80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by operating activities, net of acquisitions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0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27,063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21,736</w:t>
            </w:r>
          </w:p>
        </w:tc>
        <w:tc>
          <w:tcPr>
            <w:tcW w:w="100" w:type="dxa"/>
            <w:vAlign w:val="bottom"/>
          </w:tcPr>
          <w:p>
            <w:pPr>
              <w:spacing w:after="0"/>
              <w:rPr>
                <w:sz w:val="15"/>
                <w:szCs w:val="15"/>
                <w:color w:val="auto"/>
              </w:rPr>
            </w:pPr>
          </w:p>
        </w:tc>
      </w:tr>
      <w:tr>
        <w:trPr>
          <w:trHeight w:val="176"/>
        </w:trPr>
        <w:tc>
          <w:tcPr>
            <w:tcW w:w="8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126,868</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75,856</w:t>
            </w:r>
          </w:p>
        </w:tc>
        <w:tc>
          <w:tcPr>
            <w:tcW w:w="100" w:type="dxa"/>
            <w:vAlign w:val="bottom"/>
            <w:shd w:val="clear" w:color="auto" w:fill="CFF0FC"/>
          </w:tcPr>
          <w:p>
            <w:pPr>
              <w:spacing w:after="0"/>
              <w:rPr>
                <w:sz w:val="15"/>
                <w:szCs w:val="15"/>
                <w:color w:val="auto"/>
              </w:rPr>
            </w:pPr>
          </w:p>
        </w:tc>
      </w:tr>
      <w:tr>
        <w:trPr>
          <w:trHeight w:val="175"/>
        </w:trPr>
        <w:tc>
          <w:tcPr>
            <w:tcW w:w="8060" w:type="dxa"/>
            <w:vAlign w:val="bottom"/>
          </w:tcPr>
          <w:p>
            <w:pPr>
              <w:ind w:left="380"/>
              <w:spacing w:after="0"/>
              <w:rPr>
                <w:sz w:val="20"/>
                <w:szCs w:val="20"/>
                <w:color w:val="auto"/>
              </w:rPr>
            </w:pPr>
            <w:r>
              <w:rPr>
                <w:rFonts w:ascii="Arial" w:cs="Arial" w:eastAsia="Arial" w:hAnsi="Arial"/>
                <w:sz w:val="14"/>
                <w:szCs w:val="14"/>
                <w:color w:val="auto"/>
              </w:rPr>
              <w:t>Loss on early extinguishment of 2022 Convertible Notes</w:t>
            </w:r>
          </w:p>
        </w:tc>
        <w:tc>
          <w:tcPr>
            <w:tcW w:w="860" w:type="dxa"/>
            <w:vAlign w:val="bottom"/>
          </w:tcPr>
          <w:p>
            <w:pPr>
              <w:spacing w:after="0"/>
              <w:rPr>
                <w:sz w:val="15"/>
                <w:szCs w:val="15"/>
                <w:color w:val="auto"/>
              </w:rPr>
            </w:pPr>
          </w:p>
        </w:tc>
        <w:tc>
          <w:tcPr>
            <w:tcW w:w="8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15"/>
                <w:szCs w:val="15"/>
                <w:color w:val="auto"/>
              </w:rPr>
            </w:pPr>
          </w:p>
        </w:tc>
      </w:tr>
      <w:tr>
        <w:trPr>
          <w:trHeight w:val="176"/>
        </w:trPr>
        <w:tc>
          <w:tcPr>
            <w:tcW w:w="8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 of 2022 Convertible Notes attributable to the debt discount</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(13,028 )</w:t>
            </w:r>
          </w:p>
        </w:tc>
      </w:tr>
      <w:tr>
        <w:trPr>
          <w:trHeight w:val="176"/>
        </w:trPr>
        <w:tc>
          <w:tcPr>
            <w:tcW w:w="8060" w:type="dxa"/>
            <w:vAlign w:val="bottom"/>
          </w:tcPr>
          <w:p>
            <w:pPr>
              <w:ind w:left="380"/>
              <w:spacing w:after="0"/>
              <w:rPr>
                <w:sz w:val="20"/>
                <w:szCs w:val="20"/>
                <w:color w:val="auto"/>
              </w:rPr>
            </w:pPr>
            <w:r>
              <w:rPr>
                <w:rFonts w:ascii="Arial" w:cs="Arial" w:eastAsia="Arial" w:hAnsi="Arial"/>
                <w:sz w:val="14"/>
                <w:szCs w:val="14"/>
                <w:color w:val="auto"/>
              </w:rPr>
              <w:t>Gain on strategic investments</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(4,200 )</w:t>
            </w:r>
          </w:p>
        </w:tc>
        <w:tc>
          <w:tcPr>
            <w:tcW w:w="3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(1,022 )</w:t>
            </w:r>
          </w:p>
        </w:tc>
      </w:tr>
      <w:tr>
        <w:trPr>
          <w:trHeight w:val="175"/>
        </w:trPr>
        <w:tc>
          <w:tcPr>
            <w:tcW w:w="8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Benefit from deferred income taxes</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(398 )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(1,120 )</w:t>
            </w:r>
          </w:p>
        </w:tc>
      </w:tr>
      <w:tr>
        <w:trPr>
          <w:trHeight w:val="176"/>
        </w:trPr>
        <w:tc>
          <w:tcPr>
            <w:tcW w:w="8060" w:type="dxa"/>
            <w:vAlign w:val="bottom"/>
          </w:tcPr>
          <w:p>
            <w:pPr>
              <w:ind w:left="380"/>
              <w:spacing w:after="0"/>
              <w:rPr>
                <w:sz w:val="20"/>
                <w:szCs w:val="20"/>
                <w:color w:val="auto"/>
              </w:rPr>
            </w:pPr>
            <w:r>
              <w:rPr>
                <w:rFonts w:ascii="Arial" w:cs="Arial" w:eastAsia="Arial" w:hAnsi="Arial"/>
                <w:sz w:val="14"/>
                <w:szCs w:val="14"/>
                <w:color w:val="auto"/>
              </w:rPr>
              <w:t>Amortization of debt discount and issuance costs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1,017</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12,512</w:t>
            </w:r>
          </w:p>
        </w:tc>
        <w:tc>
          <w:tcPr>
            <w:tcW w:w="100" w:type="dxa"/>
            <w:vAlign w:val="bottom"/>
          </w:tcPr>
          <w:p>
            <w:pPr>
              <w:spacing w:after="0"/>
              <w:rPr>
                <w:sz w:val="15"/>
                <w:szCs w:val="15"/>
                <w:color w:val="auto"/>
              </w:rPr>
            </w:pPr>
          </w:p>
        </w:tc>
      </w:tr>
      <w:tr>
        <w:trPr>
          <w:trHeight w:val="175"/>
        </w:trPr>
        <w:tc>
          <w:tcPr>
            <w:tcW w:w="8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(Accretion) amortization of bond discount</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(150 )</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1,670</w:t>
            </w:r>
          </w:p>
        </w:tc>
        <w:tc>
          <w:tcPr>
            <w:tcW w:w="100" w:type="dxa"/>
            <w:vAlign w:val="bottom"/>
            <w:shd w:val="clear" w:color="auto" w:fill="CFF0FC"/>
          </w:tcPr>
          <w:p>
            <w:pPr>
              <w:spacing w:after="0"/>
              <w:rPr>
                <w:sz w:val="15"/>
                <w:szCs w:val="15"/>
                <w:color w:val="auto"/>
              </w:rPr>
            </w:pPr>
          </w:p>
        </w:tc>
      </w:tr>
      <w:tr>
        <w:trPr>
          <w:trHeight w:val="176"/>
        </w:trPr>
        <w:tc>
          <w:tcPr>
            <w:tcW w:w="8060" w:type="dxa"/>
            <w:vAlign w:val="bottom"/>
          </w:tcPr>
          <w:p>
            <w:pPr>
              <w:ind w:left="380"/>
              <w:spacing w:after="0"/>
              <w:rPr>
                <w:sz w:val="20"/>
                <w:szCs w:val="20"/>
                <w:color w:val="auto"/>
              </w:rPr>
            </w:pPr>
            <w:r>
              <w:rPr>
                <w:rFonts w:ascii="Arial" w:cs="Arial" w:eastAsia="Arial" w:hAnsi="Arial"/>
                <w:sz w:val="14"/>
                <w:szCs w:val="14"/>
                <w:color w:val="auto"/>
              </w:rPr>
              <w:t>Unrealized currency translation</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1,980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r>
      <w:tr>
        <w:trPr>
          <w:trHeight w:val="175"/>
        </w:trPr>
        <w:tc>
          <w:tcPr>
            <w:tcW w:w="80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assets and liabilities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806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(14,349 )</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8,944</w:t>
            </w:r>
          </w:p>
        </w:tc>
        <w:tc>
          <w:tcPr>
            <w:tcW w:w="100" w:type="dxa"/>
            <w:vAlign w:val="bottom"/>
          </w:tcPr>
          <w:p>
            <w:pPr>
              <w:spacing w:after="0"/>
              <w:rPr>
                <w:sz w:val="15"/>
                <w:szCs w:val="15"/>
                <w:color w:val="auto"/>
              </w:rPr>
            </w:pPr>
          </w:p>
        </w:tc>
      </w:tr>
      <w:tr>
        <w:trPr>
          <w:trHeight w:val="176"/>
        </w:trPr>
        <w:tc>
          <w:tcPr>
            <w:tcW w:w="80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 and other assets</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(21,911 )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(7,694 )</w:t>
            </w:r>
          </w:p>
        </w:tc>
      </w:tr>
      <w:tr>
        <w:trPr>
          <w:trHeight w:val="175"/>
        </w:trPr>
        <w:tc>
          <w:tcPr>
            <w:tcW w:w="8060" w:type="dxa"/>
            <w:vAlign w:val="bottom"/>
          </w:tcPr>
          <w:p>
            <w:pPr>
              <w:ind w:left="560"/>
              <w:spacing w:after="0"/>
              <w:rPr>
                <w:sz w:val="20"/>
                <w:szCs w:val="20"/>
                <w:color w:val="auto"/>
              </w:rPr>
            </w:pPr>
            <w:r>
              <w:rPr>
                <w:rFonts w:ascii="Arial" w:cs="Arial" w:eastAsia="Arial" w:hAnsi="Arial"/>
                <w:sz w:val="14"/>
                <w:szCs w:val="14"/>
                <w:color w:val="auto"/>
              </w:rPr>
              <w:t>Deferred commission expense</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(13,744 )</w:t>
            </w:r>
          </w:p>
        </w:tc>
        <w:tc>
          <w:tcPr>
            <w:tcW w:w="3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(16,402 )</w:t>
            </w:r>
          </w:p>
        </w:tc>
      </w:tr>
      <w:tr>
        <w:trPr>
          <w:trHeight w:val="176"/>
        </w:trPr>
        <w:tc>
          <w:tcPr>
            <w:tcW w:w="80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Right-of-use assets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13,447</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18,547</w:t>
            </w:r>
          </w:p>
        </w:tc>
        <w:tc>
          <w:tcPr>
            <w:tcW w:w="100" w:type="dxa"/>
            <w:vAlign w:val="bottom"/>
            <w:shd w:val="clear" w:color="auto" w:fill="CFF0FC"/>
          </w:tcPr>
          <w:p>
            <w:pPr>
              <w:spacing w:after="0"/>
              <w:rPr>
                <w:sz w:val="15"/>
                <w:szCs w:val="15"/>
                <w:color w:val="auto"/>
              </w:rPr>
            </w:pPr>
          </w:p>
        </w:tc>
      </w:tr>
      <w:tr>
        <w:trPr>
          <w:trHeight w:val="175"/>
        </w:trPr>
        <w:tc>
          <w:tcPr>
            <w:tcW w:w="806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8,960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(1,269 )</w:t>
            </w:r>
          </w:p>
        </w:tc>
      </w:tr>
      <w:tr>
        <w:trPr>
          <w:trHeight w:val="176"/>
        </w:trPr>
        <w:tc>
          <w:tcPr>
            <w:tcW w:w="80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expenses and other liabilities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23,089</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15,533</w:t>
            </w:r>
          </w:p>
        </w:tc>
        <w:tc>
          <w:tcPr>
            <w:tcW w:w="100" w:type="dxa"/>
            <w:vAlign w:val="bottom"/>
            <w:shd w:val="clear" w:color="auto" w:fill="CFF0FC"/>
          </w:tcPr>
          <w:p>
            <w:pPr>
              <w:spacing w:after="0"/>
              <w:rPr>
                <w:sz w:val="15"/>
                <w:szCs w:val="15"/>
                <w:color w:val="auto"/>
              </w:rPr>
            </w:pPr>
          </w:p>
        </w:tc>
      </w:tr>
      <w:tr>
        <w:trPr>
          <w:trHeight w:val="176"/>
        </w:trPr>
        <w:tc>
          <w:tcPr>
            <w:tcW w:w="8060" w:type="dxa"/>
            <w:vAlign w:val="bottom"/>
          </w:tcPr>
          <w:p>
            <w:pPr>
              <w:ind w:left="560"/>
              <w:spacing w:after="0"/>
              <w:rPr>
                <w:sz w:val="20"/>
                <w:szCs w:val="20"/>
                <w:color w:val="auto"/>
              </w:rPr>
            </w:pPr>
            <w:r>
              <w:rPr>
                <w:rFonts w:ascii="Arial" w:cs="Arial" w:eastAsia="Arial" w:hAnsi="Arial"/>
                <w:sz w:val="14"/>
                <w:szCs w:val="14"/>
                <w:color w:val="auto"/>
              </w:rPr>
              <w:t>Operating lease liabilities</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(11,330 )</w:t>
            </w:r>
          </w:p>
        </w:tc>
        <w:tc>
          <w:tcPr>
            <w:tcW w:w="3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(18,374 )</w:t>
            </w:r>
          </w:p>
        </w:tc>
      </w:tr>
      <w:tr>
        <w:trPr>
          <w:trHeight w:val="175"/>
        </w:trPr>
        <w:tc>
          <w:tcPr>
            <w:tcW w:w="8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Deferred revenue</w:t>
            </w:r>
          </w:p>
        </w:tc>
        <w:tc>
          <w:tcPr>
            <w:tcW w:w="8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52,506</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49,365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060" w:type="dxa"/>
            <w:vAlign w:val="bottom"/>
          </w:tcPr>
          <w:p>
            <w:pPr>
              <w:ind w:left="740"/>
              <w:spacing w:after="0"/>
              <w:rPr>
                <w:sz w:val="20"/>
                <w:szCs w:val="20"/>
                <w:color w:val="auto"/>
              </w:rPr>
            </w:pPr>
            <w:r>
              <w:rPr>
                <w:rFonts w:ascii="Arial" w:cs="Arial" w:eastAsia="Arial" w:hAnsi="Arial"/>
                <w:sz w:val="14"/>
                <w:szCs w:val="14"/>
                <w:color w:val="auto"/>
              </w:rPr>
              <w:t>Net cash and cash equivalents provided by operating activities</w:t>
            </w: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123,146</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100,891</w:t>
            </w:r>
          </w:p>
        </w:tc>
        <w:tc>
          <w:tcPr>
            <w:tcW w:w="100" w:type="dxa"/>
            <w:vAlign w:val="bottom"/>
          </w:tcPr>
          <w:p>
            <w:pPr>
              <w:spacing w:after="0"/>
              <w:rPr>
                <w:sz w:val="14"/>
                <w:szCs w:val="14"/>
                <w:color w:val="auto"/>
              </w:rPr>
            </w:pPr>
          </w:p>
        </w:tc>
      </w:tr>
      <w:tr>
        <w:trPr>
          <w:trHeight w:val="169"/>
        </w:trPr>
        <w:tc>
          <w:tcPr>
            <w:tcW w:w="80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8060" w:type="dxa"/>
            <w:vAlign w:val="bottom"/>
          </w:tcPr>
          <w:p>
            <w:pPr>
              <w:ind w:left="200"/>
              <w:spacing w:after="0"/>
              <w:rPr>
                <w:sz w:val="20"/>
                <w:szCs w:val="20"/>
                <w:color w:val="auto"/>
              </w:rPr>
            </w:pPr>
            <w:r>
              <w:rPr>
                <w:rFonts w:ascii="Arial" w:cs="Arial" w:eastAsia="Arial" w:hAnsi="Arial"/>
                <w:sz w:val="14"/>
                <w:szCs w:val="14"/>
                <w:color w:val="auto"/>
              </w:rPr>
              <w:t>Purchases of investments</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w w:val="90"/>
              </w:rPr>
              <w:t>(864,063 )</w:t>
            </w:r>
          </w:p>
        </w:tc>
        <w:tc>
          <w:tcPr>
            <w:tcW w:w="3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(654,063 )</w:t>
            </w:r>
          </w:p>
        </w:tc>
      </w:tr>
      <w:tr>
        <w:trPr>
          <w:trHeight w:val="176"/>
        </w:trPr>
        <w:tc>
          <w:tcPr>
            <w:tcW w:w="80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Maturities of investments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625,378</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596,602</w:t>
            </w:r>
          </w:p>
        </w:tc>
        <w:tc>
          <w:tcPr>
            <w:tcW w:w="100" w:type="dxa"/>
            <w:vAlign w:val="bottom"/>
            <w:shd w:val="clear" w:color="auto" w:fill="CFF0FC"/>
          </w:tcPr>
          <w:p>
            <w:pPr>
              <w:spacing w:after="0"/>
              <w:rPr>
                <w:sz w:val="15"/>
                <w:szCs w:val="15"/>
                <w:color w:val="auto"/>
              </w:rPr>
            </w:pPr>
          </w:p>
        </w:tc>
      </w:tr>
      <w:tr>
        <w:trPr>
          <w:trHeight w:val="175"/>
        </w:trPr>
        <w:tc>
          <w:tcPr>
            <w:tcW w:w="8060" w:type="dxa"/>
            <w:vAlign w:val="bottom"/>
          </w:tcPr>
          <w:p>
            <w:pPr>
              <w:ind w:left="200"/>
              <w:spacing w:after="0"/>
              <w:rPr>
                <w:sz w:val="20"/>
                <w:szCs w:val="20"/>
                <w:color w:val="auto"/>
              </w:rPr>
            </w:pPr>
            <w:r>
              <w:rPr>
                <w:rFonts w:ascii="Arial" w:cs="Arial" w:eastAsia="Arial" w:hAnsi="Arial"/>
                <w:sz w:val="14"/>
                <w:szCs w:val="14"/>
                <w:color w:val="auto"/>
              </w:rPr>
              <w:t>Sale of investments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124,998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80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(18,272 )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(10,746 )</w:t>
            </w:r>
          </w:p>
        </w:tc>
      </w:tr>
      <w:tr>
        <w:trPr>
          <w:trHeight w:val="176"/>
        </w:trPr>
        <w:tc>
          <w:tcPr>
            <w:tcW w:w="8060" w:type="dxa"/>
            <w:vAlign w:val="bottom"/>
          </w:tcPr>
          <w:p>
            <w:pPr>
              <w:ind w:left="200"/>
              <w:spacing w:after="0"/>
              <w:rPr>
                <w:sz w:val="20"/>
                <w:szCs w:val="20"/>
                <w:color w:val="auto"/>
              </w:rPr>
            </w:pPr>
            <w:r>
              <w:rPr>
                <w:rFonts w:ascii="Arial" w:cs="Arial" w:eastAsia="Arial" w:hAnsi="Arial"/>
                <w:sz w:val="14"/>
                <w:szCs w:val="14"/>
                <w:color w:val="auto"/>
              </w:rPr>
              <w:t>Purchases of intangible assets</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(10,000 )</w:t>
            </w:r>
          </w:p>
        </w:tc>
        <w:tc>
          <w:tcPr>
            <w:tcW w:w="320" w:type="dxa"/>
            <w:vAlign w:val="bottom"/>
          </w:tcPr>
          <w:p>
            <w:pPr>
              <w:spacing w:after="0"/>
              <w:rPr>
                <w:sz w:val="15"/>
                <w:szCs w:val="15"/>
                <w:color w:val="auto"/>
              </w:rPr>
            </w:pPr>
          </w:p>
        </w:tc>
        <w:tc>
          <w:tcPr>
            <w:tcW w:w="12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80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 of a business, net of cash acquired</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(16,810 )</w:t>
            </w:r>
          </w:p>
        </w:tc>
      </w:tr>
      <w:tr>
        <w:trPr>
          <w:trHeight w:val="176"/>
        </w:trPr>
        <w:tc>
          <w:tcPr>
            <w:tcW w:w="8060" w:type="dxa"/>
            <w:vAlign w:val="bottom"/>
          </w:tcPr>
          <w:p>
            <w:pPr>
              <w:ind w:left="200"/>
              <w:spacing w:after="0"/>
              <w:rPr>
                <w:sz w:val="20"/>
                <w:szCs w:val="20"/>
                <w:color w:val="auto"/>
              </w:rPr>
            </w:pPr>
            <w:r>
              <w:rPr>
                <w:rFonts w:ascii="Arial" w:cs="Arial" w:eastAsia="Arial" w:hAnsi="Arial"/>
                <w:sz w:val="14"/>
                <w:szCs w:val="14"/>
                <w:color w:val="auto"/>
              </w:rPr>
              <w:t>Purchases of strategic investments</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(13,873 )</w:t>
            </w:r>
          </w:p>
        </w:tc>
        <w:tc>
          <w:tcPr>
            <w:tcW w:w="3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(6,202 )</w:t>
            </w:r>
          </w:p>
        </w:tc>
      </w:tr>
      <w:tr>
        <w:trPr>
          <w:trHeight w:val="175"/>
        </w:trPr>
        <w:tc>
          <w:tcPr>
            <w:tcW w:w="80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Equity method investment</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(250 )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(3,100 )</w:t>
            </w:r>
          </w:p>
        </w:tc>
      </w:tr>
      <w:tr>
        <w:trPr>
          <w:trHeight w:val="175"/>
        </w:trPr>
        <w:tc>
          <w:tcPr>
            <w:tcW w:w="8060" w:type="dxa"/>
            <w:vAlign w:val="bottom"/>
          </w:tcPr>
          <w:p>
            <w:pPr>
              <w:ind w:left="200"/>
              <w:spacing w:after="0"/>
              <w:rPr>
                <w:sz w:val="20"/>
                <w:szCs w:val="20"/>
                <w:color w:val="auto"/>
              </w:rPr>
            </w:pPr>
            <w:r>
              <w:rPr>
                <w:rFonts w:ascii="Arial" w:cs="Arial" w:eastAsia="Arial" w:hAnsi="Arial"/>
                <w:sz w:val="14"/>
                <w:szCs w:val="14"/>
                <w:color w:val="auto"/>
              </w:rPr>
              <w:t>Capitalization of software development costs</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(19,931 )</w:t>
            </w:r>
          </w:p>
        </w:tc>
        <w:tc>
          <w:tcPr>
            <w:tcW w:w="3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(16,421 )</w:t>
            </w:r>
          </w:p>
        </w:tc>
      </w:tr>
      <w:tr>
        <w:trPr>
          <w:trHeight w:val="169"/>
        </w:trPr>
        <w:tc>
          <w:tcPr>
            <w:tcW w:w="80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color w:val="auto"/>
              </w:rPr>
              <w:t>Net cash and cash equivalents used in investing activities</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0"/>
              </w:rPr>
              <w:t>(176,013</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(110,740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0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settlement of Convertible Note Hedges related to the 2022 Convertible Notes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60,483</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FF0FC"/>
          </w:tcPr>
          <w:p>
            <w:pPr>
              <w:spacing w:after="0"/>
              <w:rPr>
                <w:sz w:val="15"/>
                <w:szCs w:val="15"/>
                <w:color w:val="auto"/>
              </w:rPr>
            </w:pPr>
          </w:p>
        </w:tc>
      </w:tr>
      <w:tr>
        <w:trPr>
          <w:trHeight w:val="175"/>
        </w:trPr>
        <w:tc>
          <w:tcPr>
            <w:tcW w:w="8060" w:type="dxa"/>
            <w:vAlign w:val="bottom"/>
          </w:tcPr>
          <w:p>
            <w:pPr>
              <w:ind w:left="200"/>
              <w:spacing w:after="0"/>
              <w:rPr>
                <w:sz w:val="20"/>
                <w:szCs w:val="20"/>
                <w:color w:val="auto"/>
              </w:rPr>
            </w:pPr>
            <w:r>
              <w:rPr>
                <w:rFonts w:ascii="Arial" w:cs="Arial" w:eastAsia="Arial" w:hAnsi="Arial"/>
                <w:sz w:val="14"/>
                <w:szCs w:val="14"/>
                <w:color w:val="auto"/>
              </w:rPr>
              <w:t>Payment for settlement of 2022 Convertible Notes</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(79,807 )</w:t>
            </w:r>
          </w:p>
        </w:tc>
        <w:tc>
          <w:tcPr>
            <w:tcW w:w="3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(45,409 )</w:t>
            </w:r>
          </w:p>
        </w:tc>
      </w:tr>
      <w:tr>
        <w:trPr>
          <w:trHeight w:val="176"/>
        </w:trPr>
        <w:tc>
          <w:tcPr>
            <w:tcW w:w="80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2025 Convertible Notes attributable to the principal</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(1,619 )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8060" w:type="dxa"/>
            <w:vAlign w:val="bottom"/>
          </w:tcPr>
          <w:p>
            <w:pPr>
              <w:ind w:left="200"/>
              <w:spacing w:after="0"/>
              <w:rPr>
                <w:sz w:val="20"/>
                <w:szCs w:val="20"/>
                <w:color w:val="auto"/>
              </w:rPr>
            </w:pPr>
            <w:r>
              <w:rPr>
                <w:rFonts w:ascii="Arial" w:cs="Arial" w:eastAsia="Arial" w:hAnsi="Arial"/>
                <w:sz w:val="14"/>
                <w:szCs w:val="14"/>
                <w:color w:val="auto"/>
              </w:rPr>
              <w:t>Employee taxes paid related to the net share settlement of stock-based awards</w:t>
            </w:r>
          </w:p>
        </w:tc>
        <w:tc>
          <w:tcPr>
            <w:tcW w:w="86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(7,764 )</w:t>
            </w:r>
          </w:p>
        </w:tc>
        <w:tc>
          <w:tcPr>
            <w:tcW w:w="3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(6,913 )</w:t>
            </w:r>
          </w:p>
        </w:tc>
      </w:tr>
      <w:tr>
        <w:trPr>
          <w:trHeight w:val="175"/>
        </w:trPr>
        <w:tc>
          <w:tcPr>
            <w:tcW w:w="8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Proceeds related to the issuance of common stock under stock plans</w:t>
            </w:r>
          </w:p>
        </w:tc>
        <w:tc>
          <w:tcPr>
            <w:tcW w:w="8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19,699</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24,868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060" w:type="dxa"/>
            <w:vAlign w:val="bottom"/>
          </w:tcPr>
          <w:p>
            <w:pPr>
              <w:ind w:left="740"/>
              <w:spacing w:after="0"/>
              <w:rPr>
                <w:sz w:val="20"/>
                <w:szCs w:val="20"/>
                <w:color w:val="auto"/>
              </w:rPr>
            </w:pPr>
            <w:r>
              <w:rPr>
                <w:rFonts w:ascii="Arial" w:cs="Arial" w:eastAsia="Arial" w:hAnsi="Arial"/>
                <w:sz w:val="14"/>
                <w:szCs w:val="14"/>
                <w:color w:val="auto"/>
              </w:rPr>
              <w:t>Net cash and cash equivalents used in financing activities</w:t>
            </w:r>
          </w:p>
        </w:tc>
        <w:tc>
          <w:tcPr>
            <w:tcW w:w="86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(9,008 )</w:t>
            </w:r>
          </w:p>
        </w:tc>
        <w:tc>
          <w:tcPr>
            <w:tcW w:w="3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(26,729 )</w:t>
            </w:r>
          </w:p>
        </w:tc>
      </w:tr>
      <w:tr>
        <w:trPr>
          <w:trHeight w:val="169"/>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(9,474</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86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(71,349 )</w:t>
            </w:r>
          </w:p>
        </w:tc>
        <w:tc>
          <w:tcPr>
            <w:tcW w:w="3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(39,787 )</w:t>
            </w:r>
          </w:p>
        </w:tc>
      </w:tr>
      <w:tr>
        <w:trPr>
          <w:trHeight w:val="175"/>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8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8"/>
              </w:rPr>
              <w:t>380,042</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381,152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060" w:type="dxa"/>
            <w:vAlign w:val="bottom"/>
          </w:tcPr>
          <w:p>
            <w:pPr>
              <w:ind w:left="20"/>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308,693</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341,365</w:t>
            </w:r>
          </w:p>
        </w:tc>
        <w:tc>
          <w:tcPr>
            <w:tcW w:w="100" w:type="dxa"/>
            <w:vAlign w:val="bottom"/>
          </w:tcPr>
          <w:p>
            <w:pPr>
              <w:spacing w:after="0"/>
              <w:rPr>
                <w:sz w:val="14"/>
                <w:szCs w:val="14"/>
                <w:color w:val="auto"/>
              </w:rPr>
            </w:pPr>
          </w:p>
        </w:tc>
      </w:tr>
      <w:tr>
        <w:trPr>
          <w:trHeight w:val="20"/>
        </w:trPr>
        <w:tc>
          <w:tcPr>
            <w:tcW w:w="8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6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cash flow disclosure:</w:t>
            </w:r>
          </w:p>
        </w:tc>
        <w:tc>
          <w:tcPr>
            <w:tcW w:w="8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80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881</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5"/>
                <w:szCs w:val="15"/>
                <w:color w:val="auto"/>
              </w:rPr>
            </w:pPr>
          </w:p>
        </w:tc>
      </w:tr>
      <w:tr>
        <w:trPr>
          <w:trHeight w:val="175"/>
        </w:trPr>
        <w:tc>
          <w:tcPr>
            <w:tcW w:w="8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income taxes</w:t>
            </w: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2,824</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4,198</w:t>
            </w:r>
          </w:p>
        </w:tc>
        <w:tc>
          <w:tcPr>
            <w:tcW w:w="100" w:type="dxa"/>
            <w:vAlign w:val="bottom"/>
            <w:shd w:val="clear" w:color="auto" w:fill="CFF0FC"/>
          </w:tcPr>
          <w:p>
            <w:pPr>
              <w:spacing w:after="0"/>
              <w:rPr>
                <w:sz w:val="15"/>
                <w:szCs w:val="15"/>
                <w:color w:val="auto"/>
              </w:rPr>
            </w:pPr>
          </w:p>
        </w:tc>
      </w:tr>
      <w:tr>
        <w:trPr>
          <w:trHeight w:val="175"/>
        </w:trPr>
        <w:tc>
          <w:tcPr>
            <w:tcW w:w="806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4,673</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3,767</w:t>
            </w:r>
          </w:p>
        </w:tc>
        <w:tc>
          <w:tcPr>
            <w:tcW w:w="100" w:type="dxa"/>
            <w:vAlign w:val="bottom"/>
          </w:tcPr>
          <w:p>
            <w:pPr>
              <w:spacing w:after="0"/>
              <w:rPr>
                <w:sz w:val="15"/>
                <w:szCs w:val="15"/>
                <w:color w:val="auto"/>
              </w:rPr>
            </w:pPr>
          </w:p>
        </w:tc>
      </w:tr>
      <w:tr>
        <w:trPr>
          <w:trHeight w:val="175"/>
        </w:trPr>
        <w:tc>
          <w:tcPr>
            <w:tcW w:w="80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060" w:type="dxa"/>
            <w:vAlign w:val="bottom"/>
          </w:tcPr>
          <w:p>
            <w:pPr>
              <w:ind w:left="20"/>
              <w:spacing w:after="0"/>
              <w:rPr>
                <w:sz w:val="20"/>
                <w:szCs w:val="20"/>
                <w:color w:val="auto"/>
              </w:rPr>
            </w:pPr>
            <w:r>
              <w:rPr>
                <w:rFonts w:ascii="Arial" w:cs="Arial" w:eastAsia="Arial" w:hAnsi="Arial"/>
                <w:sz w:val="14"/>
                <w:szCs w:val="14"/>
                <w:color w:val="auto"/>
              </w:rPr>
              <w:t>Issuance of common stock for repayment of 2022 Convertible Notes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209,859</w:t>
            </w:r>
          </w:p>
        </w:tc>
        <w:tc>
          <w:tcPr>
            <w:tcW w:w="100" w:type="dxa"/>
            <w:vAlign w:val="bottom"/>
          </w:tcPr>
          <w:p>
            <w:pPr>
              <w:spacing w:after="0"/>
              <w:rPr>
                <w:sz w:val="15"/>
                <w:szCs w:val="15"/>
                <w:color w:val="auto"/>
              </w:rPr>
            </w:pPr>
          </w:p>
        </w:tc>
      </w:tr>
      <w:tr>
        <w:trPr>
          <w:trHeight w:val="176"/>
        </w:trPr>
        <w:tc>
          <w:tcPr>
            <w:tcW w:w="8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expenditures incurred but not yet paid</w:t>
            </w: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3,271</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FF0FC"/>
          </w:tcPr>
          <w:p>
            <w:pPr>
              <w:spacing w:after="0"/>
              <w:rPr>
                <w:sz w:val="15"/>
                <w:szCs w:val="15"/>
                <w:color w:val="auto"/>
              </w:rPr>
            </w:pPr>
          </w:p>
        </w:tc>
      </w:tr>
      <w:tr>
        <w:trPr>
          <w:trHeight w:val="175"/>
        </w:trPr>
        <w:tc>
          <w:tcPr>
            <w:tcW w:w="8060" w:type="dxa"/>
            <w:vAlign w:val="bottom"/>
          </w:tcPr>
          <w:p>
            <w:pPr>
              <w:ind w:left="20"/>
              <w:spacing w:after="0"/>
              <w:rPr>
                <w:sz w:val="20"/>
                <w:szCs w:val="20"/>
                <w:color w:val="auto"/>
              </w:rPr>
            </w:pPr>
            <w:r>
              <w:rPr>
                <w:rFonts w:ascii="Arial" w:cs="Arial" w:eastAsia="Arial" w:hAnsi="Arial"/>
                <w:sz w:val="14"/>
                <w:szCs w:val="14"/>
                <w:color w:val="auto"/>
              </w:rPr>
              <w:t>Asset retirement obligations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1,161</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r>
      <w:tr>
        <w:trPr>
          <w:trHeight w:val="175"/>
        </w:trPr>
        <w:tc>
          <w:tcPr>
            <w:tcW w:w="80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-3656965</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-3656965</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-2293620</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-2293620</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-1616710</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-1616710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-1376680</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-1376680</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-1144905</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-1144905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HubSpot,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8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HubSpot, Inc. (the “Company”) provides a cloud-based customer relationship management (“CRM”) Platform, that enables companies to attract, engage, and delight customers throughout the customer experience. The Company’s CRM Platform, comprised of Marketing Hub, Sales Hub, Service Hub, content management system ("CMS") Hub and Operations Hub, features integrated applications, tools, and a native payment solution, that enable businesses to create a cohesive and adaptable customer experience.</w:t>
      </w:r>
    </w:p>
    <w:p>
      <w:pPr>
        <w:spacing w:after="0" w:line="147"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 xml:space="preserve">The accompanying unaudited consolidated </w:t>
      </w:r>
      <w:r>
        <w:rPr>
          <w:rFonts w:ascii="Arial" w:cs="Arial" w:eastAsia="Arial" w:hAnsi="Arial"/>
          <w:sz w:val="17"/>
          <w:szCs w:val="17"/>
          <w:color w:val="212529"/>
        </w:rPr>
        <w:t>financial statements have been prepared in accordance with generally accepted accounting principles in</w:t>
      </w:r>
      <w:r>
        <w:rPr>
          <w:rFonts w:ascii="Arial" w:cs="Arial" w:eastAsia="Arial" w:hAnsi="Arial"/>
          <w:sz w:val="17"/>
          <w:szCs w:val="17"/>
          <w:color w:val="auto"/>
        </w:rPr>
        <w:t xml:space="preserve"> </w:t>
      </w:r>
      <w:r>
        <w:rPr>
          <w:rFonts w:ascii="Arial" w:cs="Arial" w:eastAsia="Arial" w:hAnsi="Arial"/>
          <w:sz w:val="17"/>
          <w:szCs w:val="17"/>
          <w:color w:val="212529"/>
        </w:rPr>
        <w:t xml:space="preserve">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Arial" w:cs="Arial" w:eastAsia="Arial" w:hAnsi="Arial"/>
          <w:sz w:val="17"/>
          <w:szCs w:val="17"/>
          <w:color w:val="000000"/>
        </w:rPr>
        <w:t>December 31, 2021, and these consolidated</w:t>
      </w:r>
      <w:r>
        <w:rPr>
          <w:rFonts w:ascii="Arial" w:cs="Arial" w:eastAsia="Arial" w:hAnsi="Arial"/>
          <w:sz w:val="17"/>
          <w:szCs w:val="17"/>
          <w:color w:val="212529"/>
        </w:rPr>
        <w:t xml:space="preserve"> </w:t>
      </w:r>
      <w:r>
        <w:rPr>
          <w:rFonts w:ascii="Arial" w:cs="Arial" w:eastAsia="Arial" w:hAnsi="Arial"/>
          <w:sz w:val="17"/>
          <w:szCs w:val="17"/>
          <w:color w:val="000000"/>
        </w:rPr>
        <w:t>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3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results of operations for the interim periods presented are not necessarily indicative of the results to be expected for any subsequent quarter or for the entire year ending December 31, 2022.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61"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related notes contained in the Company’s Annual Report on Form 10-K filed with the SEC on February 14, 2022. There have been no changes in the Company’s significant accounting policies from those that were disclosed in the Company’s Annual Report on Form 10-K that have had a material impact on our consolidated financial statements and related notes, except the adoption of updated guidance related to accounting for convertible debt as described within Note 2 of these consolidated financial statements.</w:t>
      </w:r>
    </w:p>
    <w:p>
      <w:pPr>
        <w:spacing w:after="0" w:line="149"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February 2022, Russian forces launched a military invasion of Ukraine. While the broader implications of the conflict on the Company's results of operations and overall financial performance remain uncertain, the Company assessed the potential impact on the June 30, 2022 financial statements and determined there were no material adjustments necessary with respect to these consolidated financial statements.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Recent accounting standards not included below are not expected to have a material impact on our consolidated financial position and results of operations.</w:t>
      </w:r>
    </w:p>
    <w:p>
      <w:pPr>
        <w:spacing w:after="0" w:line="13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Company adopted the updated guidance as of January 1, 2022 using a modified retrospective method with a cumulative-effect adjustment as of the adoption date. Comparative periods are not adjusted. See Note 8 of these consolidated financial statements for further details.</w:t>
      </w:r>
    </w:p>
    <w:p>
      <w:pPr>
        <w:spacing w:after="0" w:line="13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October 2021, the FASB issued guidance that requires companies to recognize and measure contract assets and contract liabilities acquired in a business combination, in accordance with the revenue recognition guidance, as if the acquirer had entered into the original contract at the same time and on the same terms as the acquiree. Generally, this will result in the acquirer recognizing contract assets and liabilities at the same amounts recorded by the acquiree as of the acquisition date. Under the previous standard, an acquirer generally recognizes such items at fair value on the acquisition date. The Company adopted the updated guidance as of January 1, 2022 and the ongoing impact of this guidance will depend on the contract assets and liabilities acquired in future business combinations.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2. Revenues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2"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Company provides disaggregation of revenue based on geographic region (Note 14)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212"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six months ended June 30, 2022 increased by $39.2 million resulting from $461.0 million of additional invoicing and was offset by revenue recognized of $421.8 million during the same period. $245.0 million of revenue was recognized during the three months ended June 30, 2022 that was included in deferred revenue at the beginning of the period. $333.7 million of revenue was recognized during the six months ended June 30, 2022 that was included in deferred revenue at the beginning of the period. As of June 30, 2022, approximately $423.7 million of revenue is expected to be recognized from remaining performance obligations for contracts with original performance obligations that exceed one year. The Company expects to recognize revenue on approximately 93% of these remaining performance obligations over the next 24 months, with the balance recognized thereafter.</w:t>
      </w:r>
    </w:p>
    <w:p>
      <w:pPr>
        <w:spacing w:after="0" w:line="169"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Additional contract liabilities of $2.4 million and $2.5 were included in accrued expenses and other current liabilities on the consolidated balance sheet as of June 30, 2022 and December 31, 2021.</w:t>
      </w:r>
    </w:p>
    <w:p>
      <w:pPr>
        <w:spacing w:after="0" w:line="171"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6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Deferred commission expense during the three months ended June 30, 2022 increased by $2.4 million as a result of deferring incremental costs of obtaining a contract of $24.4 million and was offset by amortization of $22.0 million during the same period. Deferred commission expense during the six months ended June 30, 2022 increased by $10.3 million as a result of deferring incremental costs of obtaining a contract of $51.2 million and was offset by amortization of $40.9 million during the same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1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in Note 8), the Conversion Option of the 2022 Notes, and the Conversion Option of the 2025 Notes (the “Conversion Options”) (Note 8) are considered to be potential common stock equivalents.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net loss per share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2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w w:val="99"/>
              </w:rPr>
              <w:t>Six Months Ended June 30,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51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(56,361</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(24,572</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FF0FC"/>
            </w:tcBorders>
            <w:gridSpan w:val="2"/>
            <w:shd w:val="clear" w:color="auto" w:fill="CFF0FC"/>
          </w:tcPr>
          <w:p>
            <w:pPr>
              <w:jc w:val="right"/>
              <w:ind w:right="81"/>
              <w:spacing w:after="0" w:line="182" w:lineRule="exact"/>
              <w:rPr>
                <w:sz w:val="20"/>
                <w:szCs w:val="20"/>
                <w:color w:val="auto"/>
              </w:rPr>
            </w:pPr>
            <w:r>
              <w:rPr>
                <w:rFonts w:ascii="Arial" w:cs="Arial" w:eastAsia="Arial" w:hAnsi="Arial"/>
                <w:sz w:val="18"/>
                <w:szCs w:val="18"/>
                <w:color w:val="auto"/>
              </w:rPr>
              <w:t>(65,702 )</w:t>
            </w:r>
          </w:p>
        </w:tc>
        <w:tc>
          <w:tcPr>
            <w:tcW w:w="26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(47,731 )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51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Weighted-average common shares outstanding — basic</w:t>
            </w: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47,815</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46,777</w:t>
            </w: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47,697</w:t>
            </w: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46,603</w:t>
            </w:r>
          </w:p>
        </w:tc>
        <w:tc>
          <w:tcPr>
            <w:tcW w:w="120" w:type="dxa"/>
            <w:vAlign w:val="bottom"/>
            <w:tcBorders>
              <w:top w:val="single" w:sz="8" w:color="CFF0FC"/>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1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Dilutive effect of share equivalents resulting from stock</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5140" w:type="dxa"/>
            <w:vAlign w:val="bottom"/>
            <w:shd w:val="clear" w:color="auto" w:fill="CFF0FC"/>
          </w:tcPr>
          <w:p>
            <w:pPr>
              <w:ind w:left="140"/>
              <w:spacing w:after="0" w:line="176" w:lineRule="exact"/>
              <w:rPr>
                <w:sz w:val="20"/>
                <w:szCs w:val="20"/>
                <w:color w:val="auto"/>
              </w:rPr>
            </w:pPr>
            <w:r>
              <w:rPr>
                <w:rFonts w:ascii="Arial" w:cs="Arial" w:eastAsia="Arial" w:hAnsi="Arial"/>
                <w:sz w:val="18"/>
                <w:szCs w:val="18"/>
                <w:color w:val="auto"/>
              </w:rPr>
              <w:t>options, RSUs, ESPP, Warrants and the Conversion</w:t>
            </w:r>
          </w:p>
        </w:tc>
        <w:tc>
          <w:tcPr>
            <w:tcW w:w="160" w:type="dxa"/>
            <w:vAlign w:val="bottom"/>
            <w:shd w:val="clear" w:color="auto" w:fill="CFF0FC"/>
          </w:tcPr>
          <w:p>
            <w:pPr>
              <w:spacing w:after="0"/>
              <w:rPr>
                <w:sz w:val="15"/>
                <w:szCs w:val="15"/>
                <w:color w:val="auto"/>
              </w:rPr>
            </w:pPr>
          </w:p>
        </w:tc>
        <w:tc>
          <w:tcPr>
            <w:tcW w:w="146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5"/>
                <w:szCs w:val="15"/>
                <w:color w:val="auto"/>
              </w:rPr>
            </w:pPr>
          </w:p>
        </w:tc>
        <w:tc>
          <w:tcPr>
            <w:tcW w:w="126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Options</w:t>
            </w:r>
          </w:p>
        </w:tc>
        <w:tc>
          <w:tcPr>
            <w:tcW w:w="160" w:type="dxa"/>
            <w:vAlign w:val="bottom"/>
            <w:shd w:val="clear" w:color="auto" w:fill="CFF0FC"/>
          </w:tcPr>
          <w:p>
            <w:pPr>
              <w:spacing w:after="0"/>
              <w:rPr>
                <w:sz w:val="17"/>
                <w:szCs w:val="17"/>
                <w:color w:val="auto"/>
              </w:rPr>
            </w:pPr>
          </w:p>
        </w:tc>
        <w:tc>
          <w:tcPr>
            <w:tcW w:w="1460" w:type="dxa"/>
            <w:vAlign w:val="bottom"/>
            <w:gridSpan w:val="2"/>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1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47,815</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46,777</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47,697</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46,603</w:t>
            </w:r>
          </w:p>
        </w:tc>
        <w:tc>
          <w:tcPr>
            <w:tcW w:w="120" w:type="dxa"/>
            <w:vAlign w:val="bottom"/>
            <w:tcBorders>
              <w:top w:val="single" w:sz="8" w:color="CFF0FC"/>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51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(1.18</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(0.53</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(1.38</w:t>
            </w:r>
          </w:p>
        </w:tc>
        <w:tc>
          <w:tcPr>
            <w:tcW w:w="220" w:type="dxa"/>
            <w:vAlign w:val="bottom"/>
            <w:tcBorders>
              <w:bottom w:val="single" w:sz="8" w:color="CFF0FC"/>
            </w:tcBorders>
            <w:shd w:val="clear" w:color="auto" w:fill="CFF0FC"/>
          </w:tcPr>
          <w:p>
            <w:pPr>
              <w:jc w:val="right"/>
              <w:ind w:right="81"/>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1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95"/>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80" w:type="dxa"/>
            <w:vAlign w:val="bottom"/>
            <w:tcBorders>
              <w:bottom w:val="single" w:sz="8" w:color="9A9A9A"/>
            </w:tcBorders>
          </w:tcPr>
          <w:p>
            <w:pPr>
              <w:spacing w:after="0"/>
              <w:rPr>
                <w:sz w:val="7"/>
                <w:szCs w:val="7"/>
                <w:color w:val="auto"/>
              </w:rPr>
            </w:pPr>
          </w:p>
        </w:tc>
        <w:tc>
          <w:tcPr>
            <w:tcW w:w="5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-1268095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-1250950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-1268095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-1250950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-1247775</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-1247775</wp:posOffset>
            </wp:positionV>
            <wp:extent cx="685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-767715</wp:posOffset>
            </wp:positionV>
            <wp:extent cx="7747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-767715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-767715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-767715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-496570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-479425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-496570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-479425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-496570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-479425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-496570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-479425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ind w:right="140" w:firstLine="509"/>
        <w:spacing w:after="0" w:line="248"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182" w:lineRule="exact"/>
        <w:rPr>
          <w:sz w:val="20"/>
          <w:szCs w:val="20"/>
          <w:color w:val="auto"/>
        </w:rPr>
      </w:pPr>
    </w:p>
    <w:p>
      <w:pPr>
        <w:jc w:val="both"/>
        <w:ind w:right="20" w:firstLine="509"/>
        <w:spacing w:after="0" w:line="284" w:lineRule="auto"/>
        <w:rPr>
          <w:sz w:val="20"/>
          <w:szCs w:val="20"/>
          <w:color w:val="auto"/>
        </w:rPr>
      </w:pPr>
      <w:r>
        <w:rPr>
          <w:rFonts w:ascii="Arial" w:cs="Arial" w:eastAsia="Arial" w:hAnsi="Arial"/>
          <w:sz w:val="16"/>
          <w:szCs w:val="16"/>
          <w:color w:val="auto"/>
        </w:rPr>
        <w:t>The Company uses the treasury stock method and the average market price per share during the period for calculating any potential dilutive effect of the Warrants. The average stock price for the three months ended June 30, 2022 was $365.21 and for the six months ended June 30, 2022 was $424.84.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As of June 30,</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2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4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Options to purchase common shares</w:t>
            </w:r>
          </w:p>
        </w:tc>
        <w:tc>
          <w:tcPr>
            <w:tcW w:w="1260" w:type="dxa"/>
            <w:vAlign w:val="bottom"/>
            <w:shd w:val="clear" w:color="auto" w:fill="CFF0FC"/>
          </w:tcPr>
          <w:p>
            <w:pPr>
              <w:jc w:val="right"/>
              <w:ind w:right="655"/>
              <w:spacing w:after="0" w:line="202" w:lineRule="exact"/>
              <w:rPr>
                <w:sz w:val="20"/>
                <w:szCs w:val="20"/>
                <w:color w:val="auto"/>
              </w:rPr>
            </w:pPr>
            <w:r>
              <w:rPr>
                <w:rFonts w:ascii="Arial" w:cs="Arial" w:eastAsia="Arial" w:hAnsi="Arial"/>
                <w:sz w:val="18"/>
                <w:szCs w:val="18"/>
                <w:color w:val="auto"/>
              </w:rPr>
              <w:t>538</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RSUs</w:t>
            </w:r>
          </w:p>
        </w:tc>
        <w:tc>
          <w:tcPr>
            <w:tcW w:w="3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jc w:val="right"/>
              <w:ind w:right="655"/>
              <w:spacing w:after="0" w:line="202" w:lineRule="exact"/>
              <w:rPr>
                <w:sz w:val="20"/>
                <w:szCs w:val="20"/>
                <w:color w:val="auto"/>
              </w:rPr>
            </w:pPr>
            <w:r>
              <w:rPr>
                <w:rFonts w:ascii="Arial" w:cs="Arial" w:eastAsia="Arial" w:hAnsi="Arial"/>
                <w:sz w:val="18"/>
                <w:szCs w:val="18"/>
                <w:color w:val="auto"/>
              </w:rPr>
              <w:t>1,477</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2"/>
              </w:rPr>
              <w:t>Conversion Option of the 2022</w:t>
            </w:r>
          </w:p>
        </w:tc>
        <w:tc>
          <w:tcPr>
            <w:tcW w:w="42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Notes and Warrants</w:t>
            </w:r>
          </w:p>
        </w:tc>
        <w:tc>
          <w:tcPr>
            <w:tcW w:w="1260" w:type="dxa"/>
            <w:vAlign w:val="bottom"/>
            <w:shd w:val="clear" w:color="auto" w:fill="CFF0FC"/>
          </w:tcPr>
          <w:p>
            <w:pPr>
              <w:jc w:val="right"/>
              <w:ind w:right="655"/>
              <w:spacing w:after="0" w:line="202" w:lineRule="exact"/>
              <w:rPr>
                <w:sz w:val="20"/>
                <w:szCs w:val="20"/>
                <w:color w:val="auto"/>
              </w:rPr>
            </w:pPr>
            <w:r>
              <w:rPr>
                <w:rFonts w:ascii="Arial" w:cs="Arial" w:eastAsia="Arial" w:hAnsi="Arial"/>
                <w:sz w:val="18"/>
                <w:szCs w:val="18"/>
                <w:color w:val="auto"/>
              </w:rPr>
              <w:t>1,049</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w w:val="92"/>
              </w:rPr>
              <w:t>Conversion Option of the 2025</w:t>
            </w:r>
          </w:p>
        </w:tc>
        <w:tc>
          <w:tcPr>
            <w:tcW w:w="42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Notes</w:t>
            </w:r>
          </w:p>
        </w:tc>
        <w:tc>
          <w:tcPr>
            <w:tcW w:w="1260" w:type="dxa"/>
            <w:vAlign w:val="bottom"/>
          </w:tcPr>
          <w:p>
            <w:pPr>
              <w:jc w:val="right"/>
              <w:ind w:right="655"/>
              <w:spacing w:after="0" w:line="202" w:lineRule="exact"/>
              <w:rPr>
                <w:sz w:val="20"/>
                <w:szCs w:val="20"/>
                <w:color w:val="auto"/>
              </w:rPr>
            </w:pPr>
            <w:r>
              <w:rPr>
                <w:rFonts w:ascii="Arial" w:cs="Arial" w:eastAsia="Arial" w:hAnsi="Arial"/>
                <w:sz w:val="18"/>
                <w:szCs w:val="18"/>
                <w:color w:val="auto"/>
              </w:rPr>
              <w:t>1,625</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ESPP</w:t>
            </w:r>
          </w:p>
        </w:tc>
        <w:tc>
          <w:tcPr>
            <w:tcW w:w="3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655"/>
              <w:spacing w:after="0" w:line="202" w:lineRule="exact"/>
              <w:rPr>
                <w:sz w:val="20"/>
                <w:szCs w:val="20"/>
                <w:color w:val="auto"/>
              </w:rPr>
            </w:pPr>
            <w:r>
              <w:rPr>
                <w:rFonts w:ascii="Arial" w:cs="Arial" w:eastAsia="Arial" w:hAnsi="Arial"/>
                <w:sz w:val="18"/>
                <w:szCs w:val="18"/>
                <w:color w:val="auto"/>
              </w:rPr>
              <w:t>11</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right="360" w:firstLine="509"/>
        <w:spacing w:after="0" w:line="294" w:lineRule="auto"/>
        <w:rPr>
          <w:sz w:val="20"/>
          <w:szCs w:val="20"/>
          <w:color w:val="auto"/>
        </w:rPr>
      </w:pPr>
      <w:r>
        <w:rPr>
          <w:rFonts w:ascii="Arial" w:cs="Arial" w:eastAsia="Arial" w:hAnsi="Arial"/>
          <w:sz w:val="16"/>
          <w:szCs w:val="16"/>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20"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71" w:lineRule="exact"/>
        <w:rPr>
          <w:rFonts w:ascii="Arial" w:cs="Arial" w:eastAsia="Arial" w:hAnsi="Arial"/>
          <w:sz w:val="18"/>
          <w:szCs w:val="18"/>
          <w:color w:val="auto"/>
        </w:rPr>
      </w:pPr>
    </w:p>
    <w:p>
      <w:pPr>
        <w:ind w:left="1020" w:hanging="503"/>
        <w:spacing w:after="0" w:line="29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06"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196"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June 30, 2022 and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w w:val="87"/>
              </w:rPr>
              <w:t>thousands)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equivalents and investments:</w:t>
            </w: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17,738</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79"/>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17,738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25,629</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25,629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250,939</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250,939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Government agency securities</w:t>
            </w: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35,378</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35,378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U.S. Treasury securities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791,093</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791,093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w:t>
            </w: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4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3,029</w:t>
            </w:r>
          </w:p>
        </w:tc>
        <w:tc>
          <w:tcPr>
            <w:tcW w:w="2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8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17,738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1,106,068</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9"/>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1,123,806</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5"/>
        </w:trPr>
        <w:tc>
          <w:tcPr>
            <w:tcW w:w="580" w:type="dxa"/>
            <w:vAlign w:val="bottom"/>
            <w:tcBorders>
              <w:bottom w:val="single" w:sz="8" w:color="9A9A9A"/>
            </w:tcBorders>
          </w:tcPr>
          <w:p>
            <w:pPr>
              <w:spacing w:after="0"/>
              <w:rPr>
                <w:sz w:val="6"/>
                <w:szCs w:val="6"/>
                <w:color w:val="auto"/>
              </w:rPr>
            </w:pPr>
          </w:p>
        </w:tc>
        <w:tc>
          <w:tcPr>
            <w:tcW w:w="38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-488315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-471170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-488315</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-471170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-488315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-471170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vMerge w:val="restart"/>
          </w:tcPr>
          <w:p>
            <w:pPr>
              <w:spacing w:after="0"/>
              <w:rPr>
                <w:sz w:val="20"/>
                <w:szCs w:val="20"/>
                <w:color w:val="auto"/>
              </w:rPr>
            </w:pPr>
            <w:r>
              <w:rPr>
                <w:rFonts w:ascii="Arial" w:cs="Arial" w:eastAsia="Arial" w:hAnsi="Arial"/>
                <w:sz w:val="18"/>
                <w:szCs w:val="18"/>
                <w:color w:val="auto"/>
              </w:rPr>
              <w:t>Cash equivalents and investments: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87"/>
              </w:rPr>
              <w:t>thousands)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125,940</w:t>
            </w:r>
          </w:p>
        </w:tc>
        <w:tc>
          <w:tcPr>
            <w:tcW w:w="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125,940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28,337</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28,337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249,846</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249,846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22,466</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22,466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698,300</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698,300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3,029</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125,940</w:t>
            </w:r>
          </w:p>
        </w:tc>
        <w:tc>
          <w:tcPr>
            <w:tcW w:w="4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w w:val="97"/>
              </w:rPr>
              <w:t>1,001,978</w:t>
            </w:r>
          </w:p>
        </w:tc>
        <w:tc>
          <w:tcPr>
            <w:tcW w:w="1080" w:type="dxa"/>
            <w:vAlign w:val="bottom"/>
            <w:gridSpan w:val="2"/>
          </w:tcPr>
          <w:p>
            <w:pPr>
              <w:jc w:val="right"/>
              <w:ind w:right="688"/>
              <w:spacing w:after="0" w:line="182"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1,127,918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-159385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-159385</wp:posOffset>
            </wp:positionV>
            <wp:extent cx="5969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wp:posOffset>
            </wp:positionV>
            <wp:extent cx="603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55"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June 30, 2022 and December 31, 2021,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33"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As of June 30, 2022, the fair value of the 2025 Notes was $606.2 million. The fair value was determined based on the quoted price of the 2025 Notes in an inactive market on the last trading day of the reporting period and has been classified as Level 2 within the fair value hierarchy. Upon maturity and settlement of the 2022 Notes on June 1, 2022, the 2022 Notes are no longer outstanding as of June 30, 2022.</w:t>
      </w:r>
    </w:p>
    <w:p>
      <w:pPr>
        <w:spacing w:after="0" w:line="141"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144"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30"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$37.0 million of strategic investments without readily determinable fair values at June 30, 2022 and $17.8 million of strategic investments without readily determinable fair values at December 31, 2021. These investments are included in prepaid and other current assets and other assets on the consolidated balance sheets. During the six months ended June 30, 2022, an acquisition of an entity in which the Company held a strategic investment was completed, which resulted in an observable price change. In the first quarter of 2022, the Company adjusted the fair value of its investment and recognized a gain of $4.2 million reported in the consolidated statements of operations as other income. There were no other adjustments to the carrying value of the strategic investments resulting from impairments or observable price changes in the six months ended June 30, 2022.</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composition of our short- and long-term investments at June 30, 2022 and December 31, 2021.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310"/>
              <w:spacing w:after="0" w:line="133" w:lineRule="exact"/>
              <w:rPr>
                <w:sz w:val="20"/>
                <w:szCs w:val="20"/>
                <w:color w:val="auto"/>
              </w:rPr>
            </w:pPr>
            <w:r>
              <w:rPr>
                <w:rFonts w:ascii="Arial" w:cs="Arial" w:eastAsia="Arial" w:hAnsi="Arial"/>
                <w:sz w:val="14"/>
                <w:szCs w:val="14"/>
                <w:b w:val="1"/>
                <w:bCs w:val="1"/>
                <w:color w:val="auto"/>
                <w:w w:val="98"/>
              </w:rPr>
              <w:t>Unrealized</w:t>
            </w:r>
          </w:p>
        </w:tc>
        <w:tc>
          <w:tcPr>
            <w:tcW w:w="180" w:type="dxa"/>
            <w:vAlign w:val="bottom"/>
          </w:tcPr>
          <w:p>
            <w:pPr>
              <w:spacing w:after="0"/>
              <w:rPr>
                <w:sz w:val="11"/>
                <w:szCs w:val="11"/>
                <w:color w:val="auto"/>
              </w:rPr>
            </w:pPr>
          </w:p>
        </w:tc>
        <w:tc>
          <w:tcPr>
            <w:tcW w:w="100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8"/>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w w:val="76"/>
              </w:rPr>
              <w:t>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03"/>
        </w:trPr>
        <w:tc>
          <w:tcPr>
            <w:tcW w:w="58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Commercial paper</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25,629</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25,629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Corporate bonds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254,861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(3,931 )</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250,939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35,986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(621 )</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35,378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793,998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(2,943 )</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791,093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76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4"/>
              </w:rPr>
              <w:t>1,110,474</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(7,495</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1,103,039</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-496570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-479425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-496570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-479425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-496570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-479425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-479425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38"/>
              <w:spacing w:after="0" w:line="133"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right"/>
              <w:ind w:right="341"/>
              <w:spacing w:after="0" w:line="133" w:lineRule="exact"/>
              <w:rPr>
                <w:sz w:val="20"/>
                <w:szCs w:val="20"/>
                <w:color w:val="auto"/>
              </w:rPr>
            </w:pPr>
            <w:r>
              <w:rPr>
                <w:rFonts w:ascii="Arial" w:cs="Arial" w:eastAsia="Arial" w:hAnsi="Arial"/>
                <w:sz w:val="14"/>
                <w:szCs w:val="14"/>
                <w:b w:val="1"/>
                <w:bCs w:val="1"/>
                <w:color w:val="auto"/>
                <w:w w:val="98"/>
              </w:rPr>
              <w:t>Unrealized</w:t>
            </w:r>
          </w:p>
        </w:tc>
        <w:tc>
          <w:tcPr>
            <w:tcW w:w="200" w:type="dxa"/>
            <w:vAlign w:val="bottom"/>
          </w:tcPr>
          <w:p>
            <w:pPr>
              <w:spacing w:after="0"/>
              <w:rPr>
                <w:sz w:val="11"/>
                <w:szCs w:val="11"/>
                <w:color w:val="auto"/>
              </w:rPr>
            </w:pPr>
          </w:p>
        </w:tc>
        <w:tc>
          <w:tcPr>
            <w:tcW w:w="108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w w:val="87"/>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25,245</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center"/>
              <w:ind w:left="79"/>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25,245</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250,443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(606 )</w:t>
            </w: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249,846</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(38 )</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22,466</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698,446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(148 )</w:t>
            </w: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698,300</w:t>
            </w:r>
          </w:p>
        </w:tc>
        <w:tc>
          <w:tcPr>
            <w:tcW w:w="100" w:type="dxa"/>
            <w:vAlign w:val="bottom"/>
          </w:tcPr>
          <w:p>
            <w:pPr>
              <w:spacing w:after="0"/>
              <w:rPr>
                <w:sz w:val="17"/>
                <w:szCs w:val="17"/>
                <w:color w:val="auto"/>
              </w:rPr>
            </w:pPr>
          </w:p>
        </w:tc>
      </w:tr>
      <w:tr>
        <w:trPr>
          <w:trHeight w:val="236"/>
        </w:trPr>
        <w:tc>
          <w:tcPr>
            <w:tcW w:w="496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996,638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center"/>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(792</w:t>
            </w:r>
          </w:p>
        </w:tc>
        <w:tc>
          <w:tcPr>
            <w:tcW w:w="200" w:type="dxa"/>
            <w:vAlign w:val="bottom"/>
            <w:tcBorders>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995,857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59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5" w:lineRule="exact"/>
        <w:rPr>
          <w:sz w:val="20"/>
          <w:szCs w:val="20"/>
          <w:color w:val="auto"/>
        </w:rPr>
      </w:pPr>
    </w:p>
    <w:p>
      <w:pPr>
        <w:jc w:val="both"/>
        <w:ind w:right="80" w:firstLine="509"/>
        <w:spacing w:after="0" w:line="284" w:lineRule="auto"/>
        <w:rPr>
          <w:sz w:val="20"/>
          <w:szCs w:val="20"/>
          <w:color w:val="auto"/>
        </w:rPr>
      </w:pPr>
      <w:r>
        <w:rPr>
          <w:rFonts w:ascii="Arial" w:cs="Arial" w:eastAsia="Arial" w:hAnsi="Arial"/>
          <w:sz w:val="16"/>
          <w:szCs w:val="16"/>
          <w:color w:val="auto"/>
        </w:rPr>
        <w:t>For all of our securities for which the amortized cost basis was greater than the fair value at June 30, 2022,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short-term and long-term investments held at June 30, 2022 and December 31, 2021 are as follows:</w:t>
      </w:r>
    </w:p>
    <w:p>
      <w:pPr>
        <w:spacing w:after="0" w:line="17"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r>
      <w:tr>
        <w:trPr>
          <w:trHeight w:val="133"/>
        </w:trPr>
        <w:tc>
          <w:tcPr>
            <w:tcW w:w="4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60"/>
              <w:spacing w:after="0" w:line="133"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120"/>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Cost Basis</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3"/>
              </w:rPr>
              <w:t>Cost Basis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4"/>
                <w:szCs w:val="14"/>
                <w:color w:val="auto"/>
              </w:rPr>
            </w:pP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within one year</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944,398</w:t>
            </w:r>
          </w:p>
        </w:tc>
        <w:tc>
          <w:tcPr>
            <w:tcW w:w="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940,379</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821,101</w:t>
            </w:r>
          </w:p>
        </w:tc>
        <w:tc>
          <w:tcPr>
            <w:tcW w:w="4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820,962</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Due after 1 year through 2 years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166,076</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162,660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175,537</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174,895</w:t>
            </w:r>
          </w:p>
        </w:tc>
        <w:tc>
          <w:tcPr>
            <w:tcW w:w="100" w:type="dxa"/>
            <w:vAlign w:val="bottom"/>
          </w:tcPr>
          <w:p>
            <w:pPr>
              <w:spacing w:after="0"/>
              <w:rPr>
                <w:sz w:val="17"/>
                <w:szCs w:val="17"/>
                <w:color w:val="auto"/>
              </w:rPr>
            </w:pPr>
          </w:p>
        </w:tc>
      </w:tr>
      <w:tr>
        <w:trPr>
          <w:trHeight w:val="236"/>
        </w:trPr>
        <w:tc>
          <w:tcPr>
            <w:tcW w:w="45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1,110,474</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1,103,039</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996,638</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995,857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statement of cash flows for the three months ended June 30, 2022 and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460" w:type="dxa"/>
            <w:vAlign w:val="bottom"/>
          </w:tcPr>
          <w:p>
            <w:pPr>
              <w:spacing w:after="0"/>
              <w:rPr>
                <w:sz w:val="17"/>
                <w:szCs w:val="17"/>
                <w:color w:val="auto"/>
              </w:rPr>
            </w:pPr>
          </w:p>
        </w:tc>
        <w:tc>
          <w:tcPr>
            <w:tcW w:w="45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305,664</w:t>
            </w:r>
          </w:p>
        </w:tc>
        <w:tc>
          <w:tcPr>
            <w:tcW w:w="580" w:type="dxa"/>
            <w:vAlign w:val="bottom"/>
            <w:gridSpan w:val="2"/>
            <w:shd w:val="clear" w:color="auto" w:fill="CFF0FC"/>
          </w:tcPr>
          <w:p>
            <w:pPr>
              <w:jc w:val="right"/>
              <w:ind w:right="18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338,336</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377,013</w:t>
            </w:r>
          </w:p>
        </w:tc>
        <w:tc>
          <w:tcPr>
            <w:tcW w:w="100" w:type="dxa"/>
            <w:vAlign w:val="bottom"/>
            <w:shd w:val="clear" w:color="auto" w:fill="CFF0FC"/>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cash, included in other assets</w:t>
            </w:r>
          </w:p>
        </w:tc>
        <w:tc>
          <w:tcPr>
            <w:tcW w:w="1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3,029</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3,029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6"/>
        </w:trPr>
        <w:tc>
          <w:tcPr>
            <w:tcW w:w="460" w:type="dxa"/>
            <w:vAlign w:val="bottom"/>
          </w:tcPr>
          <w:p>
            <w:pPr>
              <w:spacing w:after="0"/>
              <w:rPr>
                <w:sz w:val="20"/>
                <w:szCs w:val="20"/>
                <w:color w:val="auto"/>
              </w:rPr>
            </w:pPr>
          </w:p>
        </w:tc>
        <w:tc>
          <w:tcPr>
            <w:tcW w:w="4520" w:type="dxa"/>
            <w:vAlign w:val="bottom"/>
            <w:tcBorders>
              <w:bottom w:val="single" w:sz="8" w:color="CFF0FC"/>
            </w:tcBorders>
            <w:gridSpan w:val="2"/>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cash, cash equivalents, and restricted cash</w:t>
            </w:r>
          </w:p>
        </w:tc>
        <w:tc>
          <w:tcPr>
            <w:tcW w:w="10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9"/>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308,693</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84"/>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2"/>
              </w:rPr>
              <w:t>341,365</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3"/>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380,042</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Pr>
          <w:p>
            <w:pPr>
              <w:spacing w:after="0"/>
              <w:rPr>
                <w:sz w:val="20"/>
                <w:szCs w:val="20"/>
                <w:color w:val="auto"/>
              </w:rPr>
            </w:pPr>
          </w:p>
        </w:tc>
      </w:tr>
      <w:tr>
        <w:trPr>
          <w:trHeight w:val="575"/>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 Net</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460" w:type="dxa"/>
            <w:vAlign w:val="bottom"/>
          </w:tcPr>
          <w:p>
            <w:pPr>
              <w:spacing w:after="0"/>
              <w:rPr>
                <w:sz w:val="24"/>
                <w:szCs w:val="24"/>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Property and equipment, net consists of the following:</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24"/>
                <w:szCs w:val="24"/>
                <w:color w:val="auto"/>
              </w:rPr>
            </w:pPr>
          </w:p>
        </w:tc>
        <w:tc>
          <w:tcPr>
            <w:tcW w:w="172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December 31, 2021</w:t>
            </w:r>
          </w:p>
        </w:tc>
        <w:tc>
          <w:tcPr>
            <w:tcW w:w="6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9"/>
        </w:trPr>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ind w:right="44"/>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w w:val="76"/>
              </w:rPr>
              <w:t>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equipment and purchased software</w:t>
            </w:r>
          </w:p>
        </w:tc>
        <w:tc>
          <w:tcPr>
            <w:tcW w:w="1720" w:type="dxa"/>
            <w:vAlign w:val="bottom"/>
            <w:gridSpan w:val="3"/>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16,436</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79"/>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15,524</w:t>
            </w:r>
          </w:p>
        </w:tc>
        <w:tc>
          <w:tcPr>
            <w:tcW w:w="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Employee related computer equipment</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38,121</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32,230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19,985</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20,180</w:t>
            </w:r>
          </w:p>
        </w:tc>
        <w:tc>
          <w:tcPr>
            <w:tcW w:w="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99,166</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90,070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Internal-use software</w:t>
            </w: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25,771</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20,616</w:t>
            </w:r>
          </w:p>
        </w:tc>
        <w:tc>
          <w:tcPr>
            <w:tcW w:w="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383</w:t>
            </w:r>
          </w:p>
        </w:tc>
        <w:tc>
          <w:tcPr>
            <w:tcW w:w="2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property and equipment</w:t>
            </w: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199,862</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182,761</w:t>
            </w:r>
          </w:p>
        </w:tc>
        <w:tc>
          <w:tcPr>
            <w:tcW w:w="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gridSpan w:val="3"/>
          </w:tcPr>
          <w:p>
            <w:pPr>
              <w:jc w:val="right"/>
              <w:ind w:right="108"/>
              <w:spacing w:after="0" w:line="202" w:lineRule="exact"/>
              <w:rPr>
                <w:sz w:val="20"/>
                <w:szCs w:val="20"/>
                <w:color w:val="auto"/>
              </w:rPr>
            </w:pPr>
            <w:r>
              <w:rPr>
                <w:rFonts w:ascii="Arial" w:cs="Arial" w:eastAsia="Arial" w:hAnsi="Arial"/>
                <w:sz w:val="18"/>
                <w:szCs w:val="18"/>
                <w:color w:val="auto"/>
                <w:w w:val="85"/>
              </w:rPr>
              <w:t>(97,306 )</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(86,627 )</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6"/>
        </w:trPr>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Property and equipment, net</w:t>
            </w:r>
          </w:p>
        </w:tc>
        <w:tc>
          <w:tcPr>
            <w:tcW w:w="1460" w:type="dxa"/>
            <w:vAlign w:val="bottom"/>
            <w:tcBorders>
              <w:bottom w:val="single" w:sz="8" w:color="CFF0FC"/>
            </w:tcBorders>
            <w:gridSpan w:val="2"/>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102,556</w:t>
            </w:r>
          </w:p>
        </w:tc>
        <w:tc>
          <w:tcPr>
            <w:tcW w:w="2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ind w:right="47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96,134</w:t>
            </w:r>
          </w:p>
        </w:tc>
        <w:tc>
          <w:tcPr>
            <w:tcW w:w="80" w:type="dxa"/>
            <w:vAlign w:val="bottom"/>
            <w:tcBorders>
              <w:bottom w:val="single" w:sz="8" w:color="CFF0FC"/>
            </w:tcBorders>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15"/>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8"/>
        </w:trPr>
        <w:tc>
          <w:tcPr>
            <w:tcW w:w="4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-2665095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-2647950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-2665095</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-2647950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-2665095</wp:posOffset>
            </wp:positionV>
            <wp:extent cx="59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-2647950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-496570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-479425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-479425</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5" w:name="page16"/>
    <w:bookmarkEnd w:id="15"/>
    <w:p>
      <w:pPr>
        <w:ind w:right="60" w:firstLine="509"/>
        <w:spacing w:after="0" w:line="324" w:lineRule="auto"/>
        <w:rPr>
          <w:sz w:val="20"/>
          <w:szCs w:val="20"/>
          <w:color w:val="auto"/>
        </w:rPr>
      </w:pPr>
      <w:r>
        <w:rPr>
          <w:rFonts w:ascii="Arial" w:cs="Arial" w:eastAsia="Arial" w:hAnsi="Arial"/>
          <w:sz w:val="16"/>
          <w:szCs w:val="16"/>
          <w:color w:val="auto"/>
        </w:rPr>
        <w:t>Depreciation and amortization expense on property and equipment was $6.9 million for the three months ended June 30, 2022, $13.2 million for the six months ended June 30, 2022, $6.1 million for the three months ended June 30, 2021, and $12.1 million for the six months ended June 30,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Capitalized Software Development Costs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recorded within property and equipment, consisted of the following: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December 31, 2021</w:t>
            </w:r>
          </w:p>
        </w:tc>
        <w:tc>
          <w:tcPr>
            <w:tcW w:w="8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900" w:type="dxa"/>
            <w:vAlign w:val="bottom"/>
            <w:gridSpan w:val="3"/>
          </w:tcPr>
          <w:p>
            <w:pPr>
              <w:jc w:val="right"/>
              <w:ind w:right="1195"/>
              <w:spacing w:after="0"/>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4"/>
                <w:szCs w:val="14"/>
                <w:color w:val="auto"/>
              </w:rPr>
            </w:pPr>
          </w:p>
        </w:tc>
      </w:tr>
      <w:tr>
        <w:trPr>
          <w:trHeight w:val="203"/>
        </w:trPr>
        <w:tc>
          <w:tcPr>
            <w:tcW w:w="5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Gross capitalized software development costs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145,602</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122,592</w:t>
            </w:r>
          </w:p>
        </w:tc>
        <w:tc>
          <w:tcPr>
            <w:tcW w:w="80" w:type="dxa"/>
            <w:vAlign w:val="bottom"/>
            <w:shd w:val="clear" w:color="auto" w:fill="CFF0FC"/>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7"/>
                <w:szCs w:val="17"/>
                <w:color w:val="auto"/>
              </w:rPr>
            </w:pPr>
          </w:p>
        </w:tc>
        <w:tc>
          <w:tcPr>
            <w:tcW w:w="14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(95,374 )</w:t>
            </w:r>
          </w:p>
        </w:tc>
        <w:tc>
          <w:tcPr>
            <w:tcW w:w="18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(82,734 )</w:t>
            </w:r>
          </w:p>
        </w:tc>
      </w:tr>
      <w:tr>
        <w:trPr>
          <w:trHeight w:val="236"/>
        </w:trPr>
        <w:tc>
          <w:tcPr>
            <w:tcW w:w="548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Capitalized software development costs, net</w:t>
            </w: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50,228</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39,858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These capitalized software development costs are associated with software developed for customer purchase. Capitalized software development costs recorded within property and equipment are associated with software developed for Company use.</w:t>
      </w:r>
    </w:p>
    <w:p>
      <w:pPr>
        <w:spacing w:after="0" w:line="14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Amortization of capitalized software development costs, exclusive of costs recorded within property and equipment, was $7.5 million three months ended June 30, 2022, $14.6 million for the six months ended June 30, 2022, $5.3 million for the three months ended June 30, 2021, and $10.2 million for the six months ended June 30, 2021.</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Notes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Adoption of Updated Debt Guidance</w:t>
      </w:r>
    </w:p>
    <w:p>
      <w:pPr>
        <w:spacing w:after="0" w:line="17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On January 1, 2022, the Company adopted the new guidance for convertible instruments using a modified retrospective method. Results for reporting periods beginning after December 31, 2021 are presented under the new guidance, while prior period comparative amounts are not adjusted and continue to be reported in accordance with historical guidance.</w:t>
      </w:r>
    </w:p>
    <w:p>
      <w:pPr>
        <w:spacing w:after="0" w:line="15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new guidance eliminates the bifurcation and separate recognition of the embedded cash conversion feature from the host contract and allows for the entire amount attributable to the debt to be presented as a liability. The carrying amount of the debt liability will be reduced by the issuance costs associated with the debt issuance as a contra-liability. As there is no longer an equity component of the convertible debt, the discount created by accretion of a component of the convertible debt in equity is eliminated and interest expense is reduced. The deferred tax liability recognized as a result of a difference between the carrying amount and tax basis of the 2022 Notes that was recorded to additional paid-in capital as a component of equity was also reversed. There is no change in the accounting for the Capped Call Options, Warrants, or Convertible Note Hedges as they are classified as equity under both the historical and new guidance.</w:t>
      </w:r>
    </w:p>
    <w:p>
      <w:pPr>
        <w:spacing w:after="0" w:line="15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a result of the impact of applying the new guidance, the Company recorded an increase to opening retained earnings of $31.4 million as of January 1, 2022, related to the difference in interest expense due to the amortization of the convertible debt discount and reversal of the deferred tax liability under the historical guidance. The resulting impact on the consolidated balance sheet to derecognize the debt issuance cost and conversion option that was allocated to the equity component and to derecognize the remaining convertible debt discount was an increase to debt liability of $69.8 million, of which $0.5 million was recorded to short term debt and $69.3 million was recorded to long-term debt, and a decrease in additional paid-in capital of $101.2 million.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18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11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6" w:name="page17"/>
    <w:bookmarkEnd w:id="16"/>
    <w:p>
      <w:pPr>
        <w:ind w:right="360"/>
        <w:spacing w:after="0" w:line="291" w:lineRule="auto"/>
        <w:rPr>
          <w:sz w:val="20"/>
          <w:szCs w:val="20"/>
          <w:color w:val="auto"/>
        </w:rPr>
      </w:pPr>
      <w:r>
        <w:rPr>
          <w:rFonts w:ascii="Arial" w:cs="Arial" w:eastAsia="Arial" w:hAnsi="Arial"/>
          <w:sz w:val="17"/>
          <w:szCs w:val="17"/>
          <w:color w:val="auto"/>
        </w:rPr>
        <w:t>cash and shares of the Company’s common stock, at the Company’s election. The Company expects to settle the principal amount of the 2025 Notes in cash. In the quarter ended June 30, 2022, the 2025 Notes did not meet the Conversion Option and are not convertible.</w:t>
      </w:r>
    </w:p>
    <w:p>
      <w:pPr>
        <w:spacing w:after="0" w:line="120"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In accordance with GAAP relating to the embedded conversion feature, the Company bifurcated the conversion feature associated with the 2025 Notes and recorded $96.6 million to additional paid-in capital for the conversion feature and the resulting debt discount was being amortized to interest expense. As there is no longer an equity component of the convertible debt under the new standard, the debt issuance cost and conversion option that was allocated to the equity component was derecognized through an adjustment to opening retained earnings upon adoption of the new standard on January 1, 2022.</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2025 Notes is as follows:</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rPr>
              <w:t>As of June 30, 2022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96"/>
              </w:rPr>
              <w:t>As of December 31,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41"/>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5"/>
          </w:tcPr>
          <w:p>
            <w:pPr>
              <w:spacing w:after="0"/>
              <w:rPr>
                <w:sz w:val="20"/>
                <w:szCs w:val="20"/>
                <w:color w:val="auto"/>
              </w:rPr>
            </w:pPr>
            <w:r>
              <w:rPr>
                <w:rFonts w:ascii="Arial" w:cs="Arial" w:eastAsia="Arial" w:hAnsi="Arial"/>
                <w:sz w:val="14"/>
                <w:szCs w:val="14"/>
                <w:b w:val="1"/>
                <w:bCs w:val="1"/>
                <w:color w:val="auto"/>
                <w:w w:val="90"/>
              </w:rPr>
              <w:t>thousands)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Principal</w:t>
            </w: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459,083</w:t>
            </w:r>
          </w:p>
        </w:tc>
        <w:tc>
          <w:tcPr>
            <w:tcW w:w="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459,999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Unamortized debt discount</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(70,594 )</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Unamortized issuance costs</w:t>
            </w: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8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(5,851 )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(5,544 )</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760" w:type="dxa"/>
            <w:vAlign w:val="bottom"/>
            <w:tcBorders>
              <w:top w:val="single" w:sz="8" w:color="CFF0FC"/>
            </w:tcBorders>
          </w:tcPr>
          <w:p>
            <w:pPr>
              <w:ind w:left="180"/>
              <w:spacing w:after="0" w:line="182" w:lineRule="exact"/>
              <w:rPr>
                <w:sz w:val="20"/>
                <w:szCs w:val="20"/>
                <w:color w:val="auto"/>
              </w:rPr>
            </w:pPr>
            <w:r>
              <w:rPr>
                <w:rFonts w:ascii="Arial" w:cs="Arial" w:eastAsia="Arial" w:hAnsi="Arial"/>
                <w:sz w:val="18"/>
                <w:szCs w:val="18"/>
                <w:color w:val="auto"/>
              </w:rPr>
              <w:t>Net carrying amount</w:t>
            </w:r>
          </w:p>
        </w:tc>
        <w:tc>
          <w:tcPr>
            <w:tcW w:w="76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736"/>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rPr>
              <w:t>453,232</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6"/>
              <w:spacing w:after="0" w:line="182"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383,861</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w w:val="97"/>
              </w:rPr>
              <w:t>Interest expense related to the 2025 Notes is as follows:</w:t>
            </w: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50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9"/>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Contractual interest expense</w:t>
            </w:r>
          </w:p>
        </w:tc>
        <w:tc>
          <w:tcPr>
            <w:tcW w:w="760" w:type="dxa"/>
            <w:vAlign w:val="bottom"/>
            <w:shd w:val="clear" w:color="auto" w:fill="CFF0FC"/>
          </w:tcPr>
          <w:p>
            <w:pPr>
              <w:jc w:val="right"/>
              <w:ind w:right="579"/>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w:t>
            </w: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shd w:val="clear" w:color="auto" w:fill="CFF0FC"/>
          </w:tcPr>
          <w:p>
            <w:pPr>
              <w:jc w:val="right"/>
              <w:ind w:right="321"/>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861</w:t>
            </w:r>
          </w:p>
        </w:tc>
        <w:tc>
          <w:tcPr>
            <w:tcW w:w="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Amortization of debt discount</w:t>
            </w:r>
          </w:p>
        </w:tc>
        <w:tc>
          <w:tcPr>
            <w:tcW w:w="7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8,901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Amortization of issuance costs</w:t>
            </w:r>
          </w:p>
        </w:tc>
        <w:tc>
          <w:tcPr>
            <w:tcW w:w="7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492</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354</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973</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760" w:type="dxa"/>
            <w:vAlign w:val="bottom"/>
          </w:tcPr>
          <w:p>
            <w:pPr>
              <w:ind w:left="180"/>
              <w:spacing w:after="0" w:line="182" w:lineRule="exact"/>
              <w:rPr>
                <w:sz w:val="20"/>
                <w:szCs w:val="20"/>
                <w:color w:val="auto"/>
              </w:rPr>
            </w:pPr>
            <w:r>
              <w:rPr>
                <w:rFonts w:ascii="Arial" w:cs="Arial" w:eastAsia="Arial" w:hAnsi="Arial"/>
                <w:sz w:val="18"/>
                <w:szCs w:val="18"/>
                <w:color w:val="auto"/>
              </w:rPr>
              <w:t>Total interest expense</w:t>
            </w:r>
          </w:p>
        </w:tc>
        <w:tc>
          <w:tcPr>
            <w:tcW w:w="760" w:type="dxa"/>
            <w:vAlign w:val="bottom"/>
          </w:tcPr>
          <w:p>
            <w:pPr>
              <w:jc w:val="right"/>
              <w:ind w:right="579"/>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922</w:t>
            </w:r>
          </w:p>
        </w:tc>
        <w:tc>
          <w:tcPr>
            <w:tcW w:w="4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5,295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321"/>
              <w:spacing w:after="0" w:line="182"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88"/>
              </w:rPr>
              <w:t>1,834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10,462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-1428115</wp:posOffset>
            </wp:positionV>
            <wp:extent cx="596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-1428115</wp:posOffset>
            </wp:positionV>
            <wp:extent cx="5143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-159385</wp:posOffset>
            </wp:positionV>
            <wp:extent cx="6032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-159385</wp:posOffset>
            </wp:positionV>
            <wp:extent cx="6032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-159385</wp:posOffset>
            </wp:positionV>
            <wp:extent cx="5143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5"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$50.6 million paid for the Capped Call Options is recorded in stockholders’ equity as a reduction in additional paid-in capital and are not accounted for as separate derivative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17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May 2017, the Company issued $350.0 million aggregate principal amount of 0.25% convertible senior notes due June 1, 2022 (the “2022 Notes”) in a private offering and an additional $50 million aggregate principal amount of the 2022 Notes pursuant to the exercise in full of the over-allotment options of the initial purchasers. of the 2022 Notes. The interest rate is fixed at 0.25% per annum and is payable semi-annually in arrears on June 1 and December 1 of each year. The total net proceeds from the debt offering, after deducting initial purchase discounts and debt issuance costs, were approximately $389.2 million.</w:t>
      </w:r>
    </w:p>
    <w:p>
      <w:pPr>
        <w:spacing w:after="0" w:line="16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Each $1,000 principal amount of the 2022 Notes are currently convertible into 10.5519 shares of the Company’s common stock (the “Conversion Option of the 2022 Notes”), which is equivalent to an initial conversion price of approximately $94.77 per share, subject to adjustment upon the occurrence of specified events. On or after February 1, 2022 until the close of business on the second scheduled trading day immediately preceding the maturity date, holders may convert their notes at any time. Upon conversion, the Company will pay or deliver, as the case may be, cash, shares of the Company’s common stock or a combination of cash and shares of the Company’s common stock, at the Company’s election. On June 1, 2022, upon the maturity of the 2022 Notes, the Company paid $19.4 million to satisfy the aggregate principal amount due and $60.4 million for the conversion premium in excess of the principal amount.</w:t>
      </w:r>
    </w:p>
    <w:p>
      <w:pPr>
        <w:spacing w:after="0" w:line="150"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concurrently with the conversion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ind w:right="500"/>
        <w:spacing w:after="0" w:line="261" w:lineRule="auto"/>
        <w:rPr>
          <w:sz w:val="20"/>
          <w:szCs w:val="20"/>
          <w:color w:val="auto"/>
        </w:rPr>
      </w:pPr>
      <w:r>
        <w:rPr>
          <w:rFonts w:ascii="Arial" w:cs="Arial" w:eastAsia="Arial" w:hAnsi="Arial"/>
          <w:sz w:val="18"/>
          <w:szCs w:val="18"/>
          <w:color w:val="auto"/>
        </w:rPr>
        <w:t>2022 Notes. Upon the maturity of the 2022 Notes on June 1, 2022, the remainder of the Convertible Note Hedges were settled in cash. The Company received approximately $60.5 million in cash upon settlement.</w:t>
      </w:r>
    </w:p>
    <w:p>
      <w:pPr>
        <w:spacing w:after="0" w:line="144" w:lineRule="exact"/>
        <w:rPr>
          <w:sz w:val="20"/>
          <w:szCs w:val="20"/>
          <w:color w:val="auto"/>
        </w:rPr>
      </w:pPr>
    </w:p>
    <w:p>
      <w:pPr>
        <w:ind w:right="40" w:firstLine="554"/>
        <w:spacing w:after="0"/>
        <w:rPr>
          <w:sz w:val="20"/>
          <w:szCs w:val="20"/>
          <w:color w:val="auto"/>
        </w:rPr>
      </w:pPr>
      <w:r>
        <w:rPr>
          <w:rFonts w:ascii="Arial" w:cs="Arial" w:eastAsia="Arial" w:hAnsi="Arial"/>
          <w:sz w:val="18"/>
          <w:szCs w:val="18"/>
          <w:color w:val="auto"/>
        </w:rPr>
        <w:t>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 As of June 30, 2022, Warrants giving certain counterparties the option to acquire up to 1.3 million shares of the Company’s common stock remain outstanding.</w:t>
      </w:r>
    </w:p>
    <w:p>
      <w:pPr>
        <w:spacing w:after="0" w:line="149"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In accordance with GAAP relating to the embedded conversion feature, the Company bifurcated the conversion feature associated with the 2022 Notes and recorded $18.9 million to additional paid-in capital for the conversion feature and the resulting debt discount was being amortized to interest expense. As there is no longer an equity component of the convertible debt under the new standard, the debt issuance cost and conversion option that was allocated to the equity component was derecognized through an adjustment to opening retained earnings upon adoption of the new standard on January 1, 2022.</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related to the 2022 Notes is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244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r>
      <w:tr>
        <w:trPr>
          <w:trHeight w:val="209"/>
        </w:trPr>
        <w:tc>
          <w:tcPr>
            <w:tcW w:w="33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r>
      <w:tr>
        <w:trPr>
          <w:trHeight w:val="223"/>
        </w:trPr>
        <w:tc>
          <w:tcPr>
            <w:tcW w:w="3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2,709</w:t>
            </w:r>
          </w:p>
        </w:tc>
        <w:tc>
          <w:tcPr>
            <w:tcW w:w="80" w:type="dxa"/>
            <w:vAlign w:val="bottom"/>
          </w:tcPr>
          <w:p>
            <w:pPr>
              <w:spacing w:after="0"/>
              <w:rPr>
                <w:sz w:val="19"/>
                <w:szCs w:val="19"/>
                <w:color w:val="auto"/>
              </w:rPr>
            </w:pPr>
          </w:p>
        </w:tc>
      </w:tr>
      <w:tr>
        <w:trPr>
          <w:trHeight w:val="216"/>
        </w:trPr>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7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96"/>
        </w:trPr>
        <w:tc>
          <w:tcPr>
            <w:tcW w:w="3360" w:type="dxa"/>
            <w:vAlign w:val="bottom"/>
          </w:tcPr>
          <w:p>
            <w:pPr>
              <w:ind w:left="180"/>
              <w:spacing w:after="0" w:line="182" w:lineRule="exact"/>
              <w:rPr>
                <w:sz w:val="20"/>
                <w:szCs w:val="20"/>
                <w:color w:val="auto"/>
              </w:rPr>
            </w:pPr>
            <w:r>
              <w:rPr>
                <w:rFonts w:ascii="Arial" w:cs="Arial" w:eastAsia="Arial" w:hAnsi="Arial"/>
                <w:sz w:val="18"/>
                <w:szCs w:val="18"/>
                <w:color w:val="auto"/>
              </w:rPr>
              <w:t>Total interest expense</w:t>
            </w:r>
          </w:p>
        </w:tc>
        <w:tc>
          <w:tcPr>
            <w:tcW w:w="740" w:type="dxa"/>
            <w:vAlign w:val="bottom"/>
          </w:tcPr>
          <w:p>
            <w:pPr>
              <w:jc w:val="right"/>
              <w:ind w:right="559"/>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5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1,200</w:t>
            </w:r>
          </w:p>
        </w:tc>
        <w:tc>
          <w:tcPr>
            <w:tcW w:w="5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c>
          <w:tcPr>
            <w:tcW w:w="640" w:type="dxa"/>
            <w:vAlign w:val="bottom"/>
            <w:gridSpan w:val="2"/>
          </w:tcPr>
          <w:p>
            <w:pPr>
              <w:jc w:val="right"/>
              <w:ind w:right="34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3,027</w:t>
            </w:r>
          </w:p>
        </w:tc>
        <w:tc>
          <w:tcPr>
            <w:tcW w:w="80" w:type="dxa"/>
            <w:vAlign w:val="bottom"/>
          </w:tcPr>
          <w:p>
            <w:pPr>
              <w:spacing w:after="0"/>
              <w:rPr>
                <w:sz w:val="17"/>
                <w:szCs w:val="17"/>
                <w:color w:val="auto"/>
              </w:rPr>
            </w:pPr>
          </w:p>
        </w:tc>
      </w:tr>
      <w:tr>
        <w:trPr>
          <w:trHeight w:val="20"/>
        </w:trPr>
        <w:tc>
          <w:tcPr>
            <w:tcW w:w="3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-159385</wp:posOffset>
            </wp:positionV>
            <wp:extent cx="603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-159385</wp:posOffset>
            </wp:positionV>
            <wp:extent cx="6032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leases office facilities under non-cancelable operating leases that expire at various dates through February 2035.</w:t>
      </w:r>
    </w:p>
    <w:p>
      <w:pPr>
        <w:spacing w:after="0" w:line="185" w:lineRule="exact"/>
        <w:rPr>
          <w:sz w:val="20"/>
          <w:szCs w:val="20"/>
          <w:color w:val="auto"/>
        </w:rPr>
      </w:pPr>
    </w:p>
    <w:p>
      <w:pPr>
        <w:ind w:right="560" w:firstLine="509"/>
        <w:spacing w:after="0" w:line="248" w:lineRule="auto"/>
        <w:rPr>
          <w:sz w:val="20"/>
          <w:szCs w:val="20"/>
          <w:color w:val="auto"/>
        </w:rPr>
      </w:pPr>
      <w:r>
        <w:rPr>
          <w:rFonts w:ascii="Arial" w:cs="Arial" w:eastAsia="Arial" w:hAnsi="Arial"/>
          <w:sz w:val="18"/>
          <w:szCs w:val="18"/>
          <w:color w:val="auto"/>
        </w:rPr>
        <w:t>During the six months ended June 30, 2022, the lease term began, was amended, or extended for various leases of office spaces globally. The Company recorded a net $6.1 million of right-of-use assets and $6.1 million of lease liabilities for these leases during the period upon the lease commencement, amendment, or extension.</w:t>
      </w:r>
    </w:p>
    <w:p>
      <w:pPr>
        <w:spacing w:after="0" w:line="141"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June 30, 2022 was 4.9%.</w:t>
      </w:r>
    </w:p>
    <w:p>
      <w:pPr>
        <w:spacing w:after="0" w:line="132"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Operating lease expense costs were $10.8 million for the three months ended June 30, 2022, $21.7 million for the six months ended June 30, 2022, $11.9 million for the three months ended June 30, 2021, and $24.0 million for the six months ended June 30, 2021.</w:t>
      </w:r>
    </w:p>
    <w:p>
      <w:pPr>
        <w:spacing w:after="0" w:line="14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Company subleases some of its unused spaces to third parties. Operating sublease income generated under all operating lease agreements for the three and six months ended June 30, 2022 and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w w:val="93"/>
              </w:rPr>
              <w:t>Three Months Ended June 30,</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4"/>
                <w:szCs w:val="14"/>
                <w:b w:val="1"/>
                <w:bCs w:val="1"/>
                <w:color w:val="auto"/>
                <w:w w:val="92"/>
              </w:rPr>
              <w:t>Six Months Ended June 30,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4"/>
          </w:tcPr>
          <w:p>
            <w:pPr>
              <w:jc w:val="center"/>
              <w:ind w:right="99"/>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sublease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635"/>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46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8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 w:name="page19"/>
    <w:bookmarkEnd w:id="18"/>
    <w:p>
      <w:pPr>
        <w:ind w:right="200" w:firstLine="509"/>
        <w:spacing w:after="0" w:line="291" w:lineRule="auto"/>
        <w:rPr>
          <w:sz w:val="20"/>
          <w:szCs w:val="20"/>
          <w:color w:val="auto"/>
        </w:rPr>
      </w:pPr>
      <w:r>
        <w:rPr>
          <w:rFonts w:ascii="Arial" w:cs="Arial" w:eastAsia="Arial" w:hAnsi="Arial"/>
          <w:sz w:val="17"/>
          <w:szCs w:val="17"/>
          <w:color w:val="auto"/>
        </w:rPr>
        <w:t>Cash payments related to operating lease liabilities were $13.3 million for the three months ended June 30, 2022, $20.9 million for the six months ended June 30, 2022, $14.0 million for the three months ended June 30, 2021, and $26.1 million for the six months ended June 30, 2021.</w:t>
      </w:r>
    </w:p>
    <w:p>
      <w:pPr>
        <w:spacing w:after="0" w:line="116" w:lineRule="exact"/>
        <w:rPr>
          <w:sz w:val="20"/>
          <w:szCs w:val="20"/>
          <w:color w:val="auto"/>
        </w:rPr>
      </w:pPr>
    </w:p>
    <w:p>
      <w:pPr>
        <w:jc w:val="center"/>
        <w:ind w:right="8400"/>
        <w:spacing w:after="0"/>
        <w:rPr>
          <w:sz w:val="20"/>
          <w:szCs w:val="20"/>
          <w:color w:val="auto"/>
        </w:rPr>
      </w:pPr>
      <w:r>
        <w:rPr>
          <w:rFonts w:ascii="Arial" w:cs="Arial" w:eastAsia="Arial" w:hAnsi="Arial"/>
          <w:sz w:val="16"/>
          <w:szCs w:val="16"/>
          <w:b w:val="1"/>
          <w:bCs w:val="1"/>
          <w:color w:val="auto"/>
        </w:rPr>
        <w:t>10. Commitments and Contingencies</w:t>
      </w:r>
    </w:p>
    <w:p>
      <w:pPr>
        <w:spacing w:after="0" w:line="198" w:lineRule="exact"/>
        <w:rPr>
          <w:sz w:val="20"/>
          <w:szCs w:val="20"/>
          <w:color w:val="auto"/>
        </w:rPr>
      </w:pPr>
    </w:p>
    <w:p>
      <w:pPr>
        <w:jc w:val="center"/>
        <w:ind w:right="8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$76.7 million.</w:t>
      </w:r>
    </w:p>
    <w:p>
      <w:pPr>
        <w:spacing w:after="0" w:line="137"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Included in the table below are operating lease commitments for leases that have not yet commenced of approximately $1.3 million for facilities with lease terms of approximately two years.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lease agreements as of June 30, 2022 are as follows: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ind w:right="45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Remainder of 2022</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22,451</w:t>
            </w:r>
          </w:p>
        </w:tc>
        <w:tc>
          <w:tcPr>
            <w:tcW w:w="8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44,430</w:t>
            </w:r>
          </w:p>
        </w:tc>
        <w:tc>
          <w:tcPr>
            <w:tcW w:w="80" w:type="dxa"/>
            <w:vAlign w:val="bottom"/>
          </w:tcPr>
          <w:p>
            <w:pPr>
              <w:spacing w:after="0"/>
              <w:rPr>
                <w:sz w:val="17"/>
                <w:szCs w:val="17"/>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41,932</w:t>
            </w:r>
          </w:p>
        </w:tc>
        <w:tc>
          <w:tcPr>
            <w:tcW w:w="8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41,448</w:t>
            </w:r>
          </w:p>
        </w:tc>
        <w:tc>
          <w:tcPr>
            <w:tcW w:w="80" w:type="dxa"/>
            <w:vAlign w:val="bottom"/>
          </w:tcPr>
          <w:p>
            <w:pPr>
              <w:spacing w:after="0"/>
              <w:rPr>
                <w:sz w:val="17"/>
                <w:szCs w:val="17"/>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41,149</w:t>
            </w:r>
          </w:p>
        </w:tc>
        <w:tc>
          <w:tcPr>
            <w:tcW w:w="8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168,346</w:t>
            </w:r>
          </w:p>
        </w:tc>
        <w:tc>
          <w:tcPr>
            <w:tcW w:w="80" w:type="dxa"/>
            <w:vAlign w:val="bottom"/>
          </w:tcPr>
          <w:p>
            <w:pPr>
              <w:spacing w:after="0"/>
              <w:rPr>
                <w:sz w:val="17"/>
                <w:szCs w:val="17"/>
                <w:color w:val="auto"/>
              </w:rPr>
            </w:pPr>
          </w:p>
        </w:tc>
      </w:tr>
      <w:tr>
        <w:trPr>
          <w:trHeight w:val="236"/>
        </w:trPr>
        <w:tc>
          <w:tcPr>
            <w:tcW w:w="582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359,756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Future minimum payments under all non-cancelable arrangements as of June 30, 2022 and agreements entered into since then are as follows: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Product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right="239"/>
              <w:spacing w:after="0"/>
              <w:rPr>
                <w:sz w:val="20"/>
                <w:szCs w:val="20"/>
                <w:color w:val="auto"/>
              </w:rPr>
            </w:pPr>
            <w:r>
              <w:rPr>
                <w:rFonts w:ascii="Arial" w:cs="Arial" w:eastAsia="Arial" w:hAnsi="Arial"/>
                <w:sz w:val="14"/>
                <w:szCs w:val="14"/>
                <w:b w:val="1"/>
                <w:bCs w:val="1"/>
                <w:color w:val="auto"/>
              </w:rPr>
              <w:t>INBOUND</w:t>
            </w:r>
          </w:p>
        </w:tc>
        <w:tc>
          <w:tcPr>
            <w:tcW w:w="80" w:type="dxa"/>
            <w:vAlign w:val="bottom"/>
          </w:tcPr>
          <w:p>
            <w:pPr>
              <w:spacing w:after="0"/>
              <w:rPr>
                <w:sz w:val="14"/>
                <w:szCs w:val="14"/>
                <w:color w:val="auto"/>
              </w:rPr>
            </w:pPr>
          </w:p>
        </w:tc>
      </w:tr>
      <w:tr>
        <w:trPr>
          <w:trHeight w:val="148"/>
        </w:trPr>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related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87"/>
              </w:rPr>
              <w:t>event</w:t>
            </w:r>
          </w:p>
        </w:tc>
        <w:tc>
          <w:tcPr>
            <w:tcW w:w="80" w:type="dxa"/>
            <w:vAlign w:val="bottom"/>
          </w:tcPr>
          <w:p>
            <w:pPr>
              <w:spacing w:after="0"/>
              <w:rPr>
                <w:sz w:val="12"/>
                <w:szCs w:val="12"/>
                <w:color w:val="auto"/>
              </w:rPr>
            </w:pPr>
          </w:p>
        </w:tc>
      </w:tr>
      <w:tr>
        <w:trPr>
          <w:trHeight w:val="185"/>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0"/>
              </w:rPr>
              <w:t>obligations</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0"/>
              </w:rPr>
              <w:t>obligations</w:t>
            </w:r>
          </w:p>
        </w:tc>
        <w:tc>
          <w:tcPr>
            <w:tcW w:w="80" w:type="dxa"/>
            <w:vAlign w:val="bottom"/>
          </w:tcPr>
          <w:p>
            <w:pPr>
              <w:spacing w:after="0"/>
              <w:rPr>
                <w:sz w:val="16"/>
                <w:szCs w:val="16"/>
                <w:color w:val="auto"/>
              </w:rPr>
            </w:pPr>
          </w:p>
        </w:tc>
      </w:tr>
      <w:tr>
        <w:trPr>
          <w:trHeight w:val="151"/>
        </w:trPr>
        <w:tc>
          <w:tcPr>
            <w:tcW w:w="4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119"/>
              <w:spacing w:after="0" w:line="151"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74"/>
              </w:rPr>
              <w:t>thousands)</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8"/>
        </w:trPr>
        <w:tc>
          <w:tcPr>
            <w:tcW w:w="4540" w:type="dxa"/>
            <w:vAlign w:val="bottom"/>
          </w:tcPr>
          <w:p>
            <w:pPr>
              <w:spacing w:after="0"/>
              <w:rPr>
                <w:sz w:val="20"/>
                <w:szCs w:val="20"/>
                <w:color w:val="auto"/>
              </w:rPr>
            </w:pPr>
            <w:r>
              <w:rPr>
                <w:rFonts w:ascii="Arial" w:cs="Arial" w:eastAsia="Arial" w:hAnsi="Arial"/>
                <w:sz w:val="17"/>
                <w:szCs w:val="17"/>
                <w:color w:val="auto"/>
              </w:rPr>
              <w:t>Remainder of 2022</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67,020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3,065</w:t>
            </w:r>
          </w:p>
        </w:tc>
        <w:tc>
          <w:tcPr>
            <w:tcW w:w="80" w:type="dxa"/>
            <w:vAlign w:val="bottom"/>
          </w:tcPr>
          <w:p>
            <w:pPr>
              <w:spacing w:after="0"/>
              <w:rPr>
                <w:sz w:val="18"/>
                <w:szCs w:val="18"/>
                <w:color w:val="auto"/>
              </w:rPr>
            </w:pPr>
          </w:p>
        </w:tc>
      </w:tr>
      <w:tr>
        <w:trPr>
          <w:trHeight w:val="205"/>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156,650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977</w:t>
            </w:r>
          </w:p>
        </w:tc>
        <w:tc>
          <w:tcPr>
            <w:tcW w:w="8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7"/>
                <w:szCs w:val="17"/>
                <w:color w:val="auto"/>
              </w:rPr>
              <w:t>2024</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178,087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195,972</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3"/>
        </w:trPr>
        <w:tc>
          <w:tcPr>
            <w:tcW w:w="4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187,500</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54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95"/>
              <w:spacing w:after="0" w:line="183" w:lineRule="exact"/>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line="183" w:lineRule="exact"/>
              <w:rPr>
                <w:sz w:val="20"/>
                <w:szCs w:val="20"/>
                <w:color w:val="auto"/>
              </w:rPr>
            </w:pPr>
            <w:r>
              <w:rPr>
                <w:rFonts w:ascii="Arial" w:cs="Arial" w:eastAsia="Arial" w:hAnsi="Arial"/>
                <w:sz w:val="17"/>
                <w:szCs w:val="17"/>
                <w:color w:val="auto"/>
              </w:rPr>
              <w:t>1,005,229</w:t>
            </w:r>
          </w:p>
        </w:tc>
        <w:tc>
          <w:tcPr>
            <w:tcW w:w="560" w:type="dxa"/>
            <w:vAlign w:val="bottom"/>
            <w:gridSpan w:val="2"/>
          </w:tcPr>
          <w:p>
            <w:pPr>
              <w:jc w:val="right"/>
              <w:ind w:right="240"/>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4,050</w:t>
            </w:r>
          </w:p>
        </w:tc>
        <w:tc>
          <w:tcPr>
            <w:tcW w:w="8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-159385</wp:posOffset>
            </wp:positionV>
            <wp:extent cx="514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Changes in Accumulated Other Comprehensive Loss</w:t>
      </w:r>
    </w:p>
    <w:p>
      <w:pPr>
        <w:spacing w:after="0" w:line="18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six months ended June 30, 2022.</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Beginning balance at January 1, 2022</w:t>
      </w:r>
    </w:p>
    <w:p>
      <w:pPr>
        <w:spacing w:after="0" w:line="23"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Other comprehensive loss before reclassifications</w:t>
      </w:r>
    </w:p>
    <w:p>
      <w:pPr>
        <w:spacing w:after="0" w:line="11" w:lineRule="exact"/>
        <w:rPr>
          <w:sz w:val="20"/>
          <w:szCs w:val="20"/>
          <w:color w:val="auto"/>
        </w:rPr>
      </w:pPr>
    </w:p>
    <w:p>
      <w:pPr>
        <w:ind w:left="1420" w:right="940" w:hanging="89"/>
        <w:spacing w:after="0" w:line="226" w:lineRule="auto"/>
        <w:rPr>
          <w:sz w:val="20"/>
          <w:szCs w:val="20"/>
          <w:color w:val="auto"/>
        </w:rPr>
      </w:pPr>
      <w:r>
        <w:rPr>
          <w:rFonts w:ascii="Arial" w:cs="Arial" w:eastAsia="Arial" w:hAnsi="Arial"/>
          <w:sz w:val="18"/>
          <w:szCs w:val="18"/>
          <w:color w:val="auto"/>
        </w:rPr>
        <w:t>Amounts reclassified from accumulated other comprehensive income</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Ending balance at June 30, 2022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Cumulative</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Translation</w:t>
            </w:r>
          </w:p>
        </w:tc>
        <w:tc>
          <w:tcPr>
            <w:tcW w:w="1340" w:type="dxa"/>
            <w:vAlign w:val="bottom"/>
            <w:gridSpan w:val="2"/>
          </w:tcPr>
          <w:p>
            <w:pPr>
              <w:jc w:val="right"/>
              <w:ind w:right="441"/>
              <w:spacing w:after="0" w:line="149" w:lineRule="exact"/>
              <w:rPr>
                <w:sz w:val="20"/>
                <w:szCs w:val="20"/>
                <w:color w:val="auto"/>
              </w:rPr>
            </w:pPr>
            <w:r>
              <w:rPr>
                <w:rFonts w:ascii="Arial" w:cs="Arial" w:eastAsia="Arial" w:hAnsi="Arial"/>
                <w:sz w:val="14"/>
                <w:szCs w:val="14"/>
                <w:b w:val="1"/>
                <w:bCs w:val="1"/>
                <w:color w:val="auto"/>
              </w:rPr>
              <w:t>Gain on</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Adjustment</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Investments</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80" w:type="dxa"/>
            <w:vAlign w:val="bottom"/>
            <w:tcBorders>
              <w:top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Borders>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(532 )</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(807 )</w:t>
            </w:r>
          </w:p>
        </w:tc>
        <w:tc>
          <w:tcPr>
            <w:tcW w:w="1020" w:type="dxa"/>
            <w:vAlign w:val="bottom"/>
          </w:tcPr>
          <w:p>
            <w:pPr>
              <w:jc w:val="right"/>
              <w:spacing w:after="0"/>
              <w:rPr>
                <w:sz w:val="20"/>
                <w:szCs w:val="20"/>
                <w:color w:val="auto"/>
              </w:rPr>
            </w:pPr>
            <w:r>
              <w:rPr>
                <w:rFonts w:ascii="Arial" w:cs="Arial" w:eastAsia="Arial" w:hAnsi="Arial"/>
                <w:sz w:val="18"/>
                <w:szCs w:val="18"/>
                <w:color w:val="auto"/>
              </w:rPr>
              <w:t>(1,339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81"/>
              <w:spacing w:after="0"/>
              <w:rPr>
                <w:sz w:val="20"/>
                <w:szCs w:val="20"/>
                <w:color w:val="auto"/>
              </w:rPr>
            </w:pPr>
            <w:r>
              <w:rPr>
                <w:rFonts w:ascii="Arial" w:cs="Arial" w:eastAsia="Arial" w:hAnsi="Arial"/>
                <w:sz w:val="18"/>
                <w:szCs w:val="18"/>
                <w:color w:val="auto"/>
              </w:rPr>
              <w:t>(3,025 )</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(6,653 )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(9,678 )</w:t>
            </w:r>
          </w:p>
        </w:tc>
        <w:tc>
          <w:tcPr>
            <w:tcW w:w="0" w:type="dxa"/>
            <w:vAlign w:val="bottom"/>
          </w:tcPr>
          <w:p>
            <w:pPr>
              <w:spacing w:after="0"/>
              <w:rPr>
                <w:sz w:val="1"/>
                <w:szCs w:val="1"/>
                <w:color w:val="auto"/>
              </w:rPr>
            </w:pPr>
          </w:p>
        </w:tc>
      </w:tr>
      <w:tr>
        <w:trPr>
          <w:trHeight w:val="351"/>
        </w:trPr>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(7,460</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(11,017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-668020</wp:posOffset>
            </wp:positionV>
            <wp:extent cx="570039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-393700</wp:posOffset>
            </wp:positionV>
            <wp:extent cx="5700395" cy="2400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931" w:lineRule="exact"/>
        <w:rPr>
          <w:sz w:val="20"/>
          <w:szCs w:val="20"/>
          <w:color w:val="auto"/>
        </w:rPr>
      </w:pPr>
    </w:p>
    <w:p>
      <w:pPr>
        <w:sectPr>
          <w:pgSz w:w="11900" w:h="16838" w:orient="portrait"/>
          <w:cols w:equalWidth="0" w:num="2">
            <w:col w:w="5560" w:space="720"/>
            <w:col w:w="4960"/>
          </w:cols>
          <w:pgMar w:left="320" w:top="499" w:right="339" w:bottom="1440" w:gutter="0" w:footer="0" w:header="0"/>
          <w:type w:val="continuous"/>
        </w:sectPr>
      </w:pPr>
    </w:p>
    <w:p>
      <w:pPr>
        <w:ind w:right="60" w:firstLine="509"/>
        <w:spacing w:after="0" w:line="243" w:lineRule="auto"/>
        <w:rPr>
          <w:sz w:val="20"/>
          <w:szCs w:val="20"/>
          <w:color w:val="auto"/>
        </w:rPr>
      </w:pPr>
      <w:r>
        <w:rPr>
          <w:rFonts w:ascii="Arial" w:cs="Arial" w:eastAsia="Arial" w:hAnsi="Arial"/>
          <w:sz w:val="18"/>
          <w:szCs w:val="18"/>
          <w:color w:val="auto"/>
        </w:rPr>
        <w:t>In the three months ended June 30, 2022, the Company purchased the rights to the domain name "connect.com" for $10.0 million. The domain will be used to host a networked community for customers, Solutions Partners, and prospects. The cost is amortized on a straight-line basis over its estimated useful life of seven years. Amortization expense for the three months ended June 30, 2022 was $0.4 million and is included in sales and marketing expense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 Expense</w:t>
      </w:r>
    </w:p>
    <w:p>
      <w:pPr>
        <w:spacing w:after="0" w:line="175"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following two tables show stock-based compensation expense by award type and where the stock-based compensation expense is recorded in the Company’s consolidated statements of operations:</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6"/>
              </w:rPr>
              <w:t>Three Months Ended June 30,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thousands)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Options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3,142</w:t>
            </w:r>
          </w:p>
        </w:tc>
        <w:tc>
          <w:tcPr>
            <w:tcW w:w="6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1,572</w:t>
            </w:r>
          </w:p>
        </w:tc>
        <w:tc>
          <w:tcPr>
            <w:tcW w:w="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5,141</w:t>
            </w:r>
          </w:p>
        </w:tc>
        <w:tc>
          <w:tcPr>
            <w:tcW w:w="6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RSUs</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75,435</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39,692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116,253</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2,588</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2,169</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5,474</w:t>
            </w:r>
          </w:p>
        </w:tc>
        <w:tc>
          <w:tcPr>
            <w:tcW w:w="2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100" w:type="dxa"/>
            <w:vAlign w:val="bottom"/>
          </w:tcPr>
          <w:p>
            <w:pPr>
              <w:ind w:left="180"/>
              <w:spacing w:after="0" w:line="182" w:lineRule="exact"/>
              <w:rPr>
                <w:sz w:val="20"/>
                <w:szCs w:val="20"/>
                <w:color w:val="auto"/>
              </w:rPr>
            </w:pPr>
            <w:r>
              <w:rPr>
                <w:rFonts w:ascii="Arial" w:cs="Arial" w:eastAsia="Arial" w:hAnsi="Arial"/>
                <w:sz w:val="18"/>
                <w:szCs w:val="18"/>
                <w:color w:val="auto"/>
              </w:rPr>
              <w:t>Total stock-based compensation expense</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81,165</w:t>
            </w:r>
          </w:p>
        </w:tc>
        <w:tc>
          <w:tcPr>
            <w:tcW w:w="66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43,433</w:t>
            </w:r>
          </w:p>
        </w:tc>
        <w:tc>
          <w:tcPr>
            <w:tcW w:w="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126,868</w:t>
            </w:r>
          </w:p>
        </w:tc>
        <w:tc>
          <w:tcPr>
            <w:tcW w:w="62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75,856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93"/>
              </w:rPr>
              <w:t>Effect of stock-based compensation expense on income by line item:</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6"/>
              </w:rPr>
              <w:t>Three Months Ended June 30,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thousands)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 subscription</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2,383</w:t>
            </w:r>
          </w:p>
        </w:tc>
        <w:tc>
          <w:tcPr>
            <w:tcW w:w="6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1,582</w:t>
            </w:r>
          </w:p>
        </w:tc>
        <w:tc>
          <w:tcPr>
            <w:tcW w:w="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4,206</w:t>
            </w:r>
          </w:p>
        </w:tc>
        <w:tc>
          <w:tcPr>
            <w:tcW w:w="6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Cost of revenue, professional services and other</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1,248</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2,083</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31,698</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15,080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48,684</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32,183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18,971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49,052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5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13,653</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6,974</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22,843</w:t>
            </w:r>
          </w:p>
        </w:tc>
        <w:tc>
          <w:tcPr>
            <w:tcW w:w="2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12,276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100" w:type="dxa"/>
            <w:vAlign w:val="bottom"/>
          </w:tcPr>
          <w:p>
            <w:pPr>
              <w:ind w:left="180"/>
              <w:spacing w:after="0" w:line="182" w:lineRule="exact"/>
              <w:rPr>
                <w:sz w:val="20"/>
                <w:szCs w:val="20"/>
                <w:color w:val="auto"/>
              </w:rPr>
            </w:pPr>
            <w:r>
              <w:rPr>
                <w:rFonts w:ascii="Arial" w:cs="Arial" w:eastAsia="Arial" w:hAnsi="Arial"/>
                <w:sz w:val="18"/>
                <w:szCs w:val="18"/>
                <w:color w:val="auto"/>
              </w:rPr>
              <w:t>Total stock-based compensation expense</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81,165</w:t>
            </w:r>
          </w:p>
        </w:tc>
        <w:tc>
          <w:tcPr>
            <w:tcW w:w="66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43,433</w:t>
            </w:r>
          </w:p>
        </w:tc>
        <w:tc>
          <w:tcPr>
            <w:tcW w:w="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126,868</w:t>
            </w:r>
          </w:p>
        </w:tc>
        <w:tc>
          <w:tcPr>
            <w:tcW w:w="62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75,856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-1693545</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-1693545</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-1693545</wp:posOffset>
            </wp:positionV>
            <wp:extent cx="603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-1693545</wp:posOffset>
            </wp:positionV>
            <wp:extent cx="6032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-159385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-159385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-159385</wp:posOffset>
            </wp:positionV>
            <wp:extent cx="6032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4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Capitalized software development costs excluded from stock-based compensation expense is $3.9 million for the three months ended June 30, 2022, $5.6 for the six months ended June 30, 2022, $1.9 million for the three months ended June 30, 2021, and $3.1 million for the six months ended June 30,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and Geographic Data</w:t>
      </w:r>
    </w:p>
    <w:p>
      <w:pPr>
        <w:spacing w:after="0" w:line="189"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20" w:name="page21"/>
    <w:bookmarkEnd w:id="20"/>
    <w:p>
      <w:pPr>
        <w:ind w:right="420"/>
        <w:spacing w:after="0" w:line="261" w:lineRule="auto"/>
        <w:rPr>
          <w:sz w:val="20"/>
          <w:szCs w:val="20"/>
          <w:color w:val="auto"/>
        </w:rPr>
      </w:pPr>
      <w:r>
        <w:rPr>
          <w:rFonts w:ascii="Arial" w:cs="Arial" w:eastAsia="Arial" w:hAnsi="Arial"/>
          <w:sz w:val="18"/>
          <w:szCs w:val="18"/>
          <w:color w:val="auto"/>
        </w:rPr>
        <w:t>statements. Revenue and long-lived assets by geographic region, based on the physical location of the operations recording the sale or the asset, are as follows: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6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thousands)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16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259,319</w:t>
            </w:r>
          </w:p>
        </w:tc>
        <w:tc>
          <w:tcPr>
            <w:tcW w:w="240" w:type="dxa"/>
            <w:vAlign w:val="bottom"/>
          </w:tcPr>
          <w:p>
            <w:pPr>
              <w:spacing w:after="0"/>
              <w:rPr>
                <w:sz w:val="19"/>
                <w:szCs w:val="19"/>
                <w:color w:val="auto"/>
              </w:rPr>
            </w:pPr>
          </w:p>
        </w:tc>
        <w:tc>
          <w:tcPr>
            <w:tcW w:w="46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190,728</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501,346</w:t>
            </w:r>
          </w:p>
        </w:tc>
        <w:tc>
          <w:tcPr>
            <w:tcW w:w="2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364,599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125,141</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93,365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244,330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176,735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37,295</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421,755</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center"/>
              <w:ind w:right="270"/>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310,788</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817,354</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592,153</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4160" w:type="dxa"/>
            <w:vAlign w:val="bottom"/>
          </w:tcPr>
          <w:p>
            <w:pPr>
              <w:spacing w:after="0" w:line="142" w:lineRule="exact"/>
              <w:rPr>
                <w:sz w:val="20"/>
                <w:szCs w:val="20"/>
                <w:color w:val="auto"/>
              </w:rPr>
            </w:pPr>
            <w:r>
              <w:rPr>
                <w:rFonts w:ascii="Arial" w:cs="Arial" w:eastAsia="Arial" w:hAnsi="Arial"/>
                <w:sz w:val="16"/>
                <w:szCs w:val="16"/>
                <w:color w:val="auto"/>
              </w:rPr>
              <w:t>Percentage of revenues generated outside of</w:t>
            </w:r>
          </w:p>
        </w:tc>
        <w:tc>
          <w:tcPr>
            <w:tcW w:w="300" w:type="dxa"/>
            <w:vAlign w:val="bottom"/>
          </w:tcPr>
          <w:p>
            <w:pPr>
              <w:spacing w:after="0"/>
              <w:rPr>
                <w:sz w:val="12"/>
                <w:szCs w:val="12"/>
                <w:color w:val="auto"/>
              </w:rPr>
            </w:pPr>
          </w:p>
        </w:tc>
        <w:tc>
          <w:tcPr>
            <w:tcW w:w="120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39 %</w:t>
            </w:r>
          </w:p>
        </w:tc>
        <w:tc>
          <w:tcPr>
            <w:tcW w:w="460" w:type="dxa"/>
            <w:vAlign w:val="bottom"/>
          </w:tcPr>
          <w:p>
            <w:pPr>
              <w:spacing w:after="0"/>
              <w:rPr>
                <w:sz w:val="12"/>
                <w:szCs w:val="12"/>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39 %</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39 %</w:t>
            </w:r>
          </w:p>
        </w:tc>
        <w:tc>
          <w:tcPr>
            <w:tcW w:w="300" w:type="dxa"/>
            <w:vAlign w:val="bottom"/>
          </w:tcPr>
          <w:p>
            <w:pPr>
              <w:spacing w:after="0"/>
              <w:rPr>
                <w:sz w:val="12"/>
                <w:szCs w:val="12"/>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176"/>
        </w:trPr>
        <w:tc>
          <w:tcPr>
            <w:tcW w:w="4160" w:type="dxa"/>
            <w:vAlign w:val="bottom"/>
          </w:tcPr>
          <w:p>
            <w:pPr>
              <w:ind w:left="100"/>
              <w:spacing w:after="0" w:line="156" w:lineRule="exact"/>
              <w:rPr>
                <w:sz w:val="20"/>
                <w:szCs w:val="20"/>
                <w:color w:val="auto"/>
              </w:rPr>
            </w:pPr>
            <w:r>
              <w:rPr>
                <w:rFonts w:ascii="Arial" w:cs="Arial" w:eastAsia="Arial" w:hAnsi="Arial"/>
                <w:sz w:val="18"/>
                <w:szCs w:val="18"/>
                <w:color w:val="auto"/>
              </w:rPr>
              <w:t>the Americas</w:t>
            </w:r>
          </w:p>
        </w:tc>
        <w:tc>
          <w:tcPr>
            <w:tcW w:w="3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-264795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-264795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-264795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-264795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Revenue derived from customers outside the United States (international) was approximately 46% of total revenue in the three and six months ended June 30, 2022 and 2021.</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As of June 30, 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4"/>
              </w:rPr>
              <w:t>As of December 31, 2021</w:t>
            </w:r>
          </w:p>
        </w:tc>
        <w:tc>
          <w:tcPr>
            <w:tcW w:w="6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2320" w:type="dxa"/>
            <w:vAlign w:val="bottom"/>
            <w:gridSpan w:val="3"/>
          </w:tcPr>
          <w:p>
            <w:pPr>
              <w:jc w:val="right"/>
              <w:ind w:right="1673"/>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227,608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226,848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126,410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139,846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Asia Pacific</w:t>
            </w:r>
          </w:p>
        </w:tc>
        <w:tc>
          <w:tcPr>
            <w:tcW w:w="9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12,140</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10,268</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60" w:type="dxa"/>
            <w:vAlign w:val="bottom"/>
          </w:tcPr>
          <w:p>
            <w:pPr>
              <w:ind w:left="180"/>
              <w:spacing w:after="0" w:line="182" w:lineRule="exact"/>
              <w:rPr>
                <w:sz w:val="20"/>
                <w:szCs w:val="20"/>
                <w:color w:val="auto"/>
              </w:rPr>
            </w:pPr>
            <w:r>
              <w:rPr>
                <w:rFonts w:ascii="Arial" w:cs="Arial" w:eastAsia="Arial" w:hAnsi="Arial"/>
                <w:sz w:val="18"/>
                <w:szCs w:val="18"/>
                <w:color w:val="auto"/>
              </w:rPr>
              <w:t>Total long-lived assets</w:t>
            </w:r>
          </w:p>
        </w:tc>
        <w:tc>
          <w:tcPr>
            <w:tcW w:w="12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366,158</w:t>
            </w:r>
          </w:p>
        </w:tc>
        <w:tc>
          <w:tcPr>
            <w:tcW w:w="260" w:type="dxa"/>
            <w:vAlign w:val="bottom"/>
          </w:tcPr>
          <w:p>
            <w:pPr>
              <w:spacing w:after="0"/>
              <w:rPr>
                <w:sz w:val="17"/>
                <w:szCs w:val="17"/>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line="182" w:lineRule="exact"/>
              <w:rPr>
                <w:sz w:val="20"/>
                <w:szCs w:val="20"/>
                <w:color w:val="auto"/>
              </w:rPr>
            </w:pPr>
            <w:r>
              <w:rPr>
                <w:rFonts w:ascii="Arial" w:cs="Arial" w:eastAsia="Arial" w:hAnsi="Arial"/>
                <w:sz w:val="18"/>
                <w:szCs w:val="18"/>
                <w:color w:val="auto"/>
              </w:rPr>
              <w:t>376,962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4660" w:type="dxa"/>
            <w:vAlign w:val="bottom"/>
          </w:tcPr>
          <w:p>
            <w:pPr>
              <w:spacing w:after="0" w:line="182" w:lineRule="exact"/>
              <w:rPr>
                <w:sz w:val="20"/>
                <w:szCs w:val="20"/>
                <w:color w:val="auto"/>
              </w:rPr>
            </w:pPr>
            <w:r>
              <w:rPr>
                <w:rFonts w:ascii="Arial" w:cs="Arial" w:eastAsia="Arial" w:hAnsi="Arial"/>
                <w:sz w:val="18"/>
                <w:szCs w:val="18"/>
                <w:color w:val="auto"/>
                <w:w w:val="96"/>
              </w:rPr>
              <w:t>Percentage of long-lived assets held outside of the Americas</w:t>
            </w:r>
          </w:p>
        </w:tc>
        <w:tc>
          <w:tcPr>
            <w:tcW w:w="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w:t>
            </w: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w:t>
            </w:r>
          </w:p>
        </w:tc>
        <w:tc>
          <w:tcPr>
            <w:tcW w:w="660" w:type="dxa"/>
            <w:vAlign w:val="bottom"/>
            <w:gridSpan w:val="2"/>
          </w:tcPr>
          <w:p>
            <w:pPr>
              <w:jc w:val="right"/>
              <w:ind w:right="50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60" w:type="dxa"/>
            <w:vAlign w:val="bottom"/>
            <w:vMerge w:val="restart"/>
          </w:tcPr>
          <w:p>
            <w:pPr>
              <w:jc w:val="right"/>
              <w:ind w:right="39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6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-913765</wp:posOffset>
            </wp:positionV>
            <wp:extent cx="6032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-913765</wp:posOffset>
            </wp:positionV>
            <wp:extent cx="6032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-753745</wp:posOffset>
            </wp:positionV>
            <wp:extent cx="641223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2021 filed with the SEC on February 14, 2022.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60" w:firstLine="544"/>
        <w:spacing w:after="0" w:line="248" w:lineRule="auto"/>
        <w:rPr>
          <w:sz w:val="20"/>
          <w:szCs w:val="20"/>
          <w:color w:val="auto"/>
        </w:rPr>
      </w:pPr>
      <w:r>
        <w:rPr>
          <w:rFonts w:ascii="Arial" w:cs="Arial" w:eastAsia="Arial" w:hAnsi="Arial"/>
          <w:sz w:val="18"/>
          <w:szCs w:val="18"/>
          <w:color w:val="212529"/>
        </w:rPr>
        <w:t>We provide a cloud-based customer relationship management (“CRM”) Platform. Our CRM Platform is comprised of Marketing Hub, Sales Hub, Service Hub, content management system ("CMS") Hub, and Operations Hub as well as other tools, integrations, and a native payment solution that enable companies to attract, engage, and delight customers throughout the customer experience.</w:t>
      </w:r>
    </w:p>
    <w:p>
      <w:pPr>
        <w:spacing w:after="0" w:line="155" w:lineRule="exact"/>
        <w:rPr>
          <w:sz w:val="20"/>
          <w:szCs w:val="20"/>
          <w:color w:val="auto"/>
        </w:rPr>
      </w:pPr>
    </w:p>
    <w:p>
      <w:pPr>
        <w:ind w:firstLine="544"/>
        <w:spacing w:after="0" w:line="238" w:lineRule="auto"/>
        <w:rPr>
          <w:sz w:val="20"/>
          <w:szCs w:val="20"/>
          <w:color w:val="auto"/>
        </w:rPr>
      </w:pPr>
      <w:r>
        <w:rPr>
          <w:rFonts w:ascii="Arial" w:cs="Arial" w:eastAsia="Arial" w:hAnsi="Arial"/>
          <w:sz w:val="18"/>
          <w:szCs w:val="18"/>
          <w:color w:val="212529"/>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Our CRM Platform was built to easily and seamlessly integrate third-party applications to further customize to an individual company’s industry or needs. In addition, an end-to-end native payment solution, Payments, is built within our CRM Platform which enables customers to streamline their payment process.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53" w:lineRule="exact"/>
        <w:rPr>
          <w:sz w:val="20"/>
          <w:szCs w:val="20"/>
          <w:color w:val="auto"/>
        </w:rPr>
      </w:pPr>
    </w:p>
    <w:p>
      <w:pPr>
        <w:ind w:right="20" w:firstLine="544"/>
        <w:spacing w:after="0" w:line="272" w:lineRule="auto"/>
        <w:rPr>
          <w:sz w:val="20"/>
          <w:szCs w:val="20"/>
          <w:color w:val="auto"/>
        </w:rPr>
      </w:pPr>
      <w:r>
        <w:rPr>
          <w:rFonts w:ascii="Arial" w:cs="Arial" w:eastAsia="Arial" w:hAnsi="Arial"/>
          <w:sz w:val="16"/>
          <w:szCs w:val="16"/>
          <w:color w:val="212529"/>
        </w:rPr>
        <w:t xml:space="preserve">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w:t>
      </w:r>
      <w:r>
        <w:rPr>
          <w:rFonts w:ascii="Arial" w:cs="Arial" w:eastAsia="Arial" w:hAnsi="Arial"/>
          <w:sz w:val="16"/>
          <w:szCs w:val="16"/>
          <w:color w:val="000000"/>
        </w:rPr>
        <w:t>As of June 30, 2022, we had</w:t>
      </w:r>
      <w:r>
        <w:rPr>
          <w:rFonts w:ascii="Arial" w:cs="Arial" w:eastAsia="Arial" w:hAnsi="Arial"/>
          <w:sz w:val="16"/>
          <w:szCs w:val="16"/>
          <w:color w:val="212529"/>
        </w:rPr>
        <w:t xml:space="preserve"> </w:t>
      </w:r>
      <w:r>
        <w:rPr>
          <w:rFonts w:ascii="Arial" w:cs="Arial" w:eastAsia="Arial" w:hAnsi="Arial"/>
          <w:sz w:val="16"/>
          <w:szCs w:val="16"/>
          <w:color w:val="000000"/>
        </w:rPr>
        <w:t>7,045 full-time employees and 150,865 Customers of varying sizes in more than 120 countries, representing almost every industry.</w:t>
      </w:r>
    </w:p>
    <w:p>
      <w:pPr>
        <w:spacing w:after="0" w:line="127" w:lineRule="exact"/>
        <w:rPr>
          <w:sz w:val="20"/>
          <w:szCs w:val="20"/>
          <w:color w:val="auto"/>
        </w:rPr>
      </w:pPr>
    </w:p>
    <w:p>
      <w:pPr>
        <w:ind w:right="40" w:firstLine="544"/>
        <w:spacing w:after="0" w:line="255" w:lineRule="auto"/>
        <w:rPr>
          <w:sz w:val="20"/>
          <w:szCs w:val="20"/>
          <w:color w:val="auto"/>
        </w:rPr>
      </w:pPr>
      <w:r>
        <w:rPr>
          <w:rFonts w:ascii="Arial" w:cs="Arial" w:eastAsia="Arial" w:hAnsi="Arial"/>
          <w:sz w:val="17"/>
          <w:szCs w:val="17"/>
          <w:color w:val="auto"/>
        </w:rPr>
        <w:t>We derive most of our revenue from subscriptions to our cloud-based CRM Platform and related professional services, which consist of customer on-boarding, training and consulting services. Subscription revenue accounted for 98% of our total revenue for the three and six months ended June 30, 2022, 97% of our total revenue for the three months ended June 30, 2021, and 96% of our total revenue for the six months ended June 30, 2021.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53" w:lineRule="exact"/>
        <w:rPr>
          <w:sz w:val="20"/>
          <w:szCs w:val="20"/>
          <w:color w:val="auto"/>
        </w:rPr>
      </w:pPr>
    </w:p>
    <w:p>
      <w:pPr>
        <w:jc w:val="both"/>
        <w:ind w:firstLine="589"/>
        <w:spacing w:after="0" w:line="248"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41" w:lineRule="exact"/>
        <w:rPr>
          <w:sz w:val="20"/>
          <w:szCs w:val="20"/>
          <w:color w:val="auto"/>
        </w:rPr>
      </w:pPr>
    </w:p>
    <w:p>
      <w:pPr>
        <w:ind w:right="160" w:firstLine="544"/>
        <w:spacing w:after="0" w:line="243" w:lineRule="auto"/>
        <w:rPr>
          <w:sz w:val="20"/>
          <w:szCs w:val="20"/>
          <w:color w:val="auto"/>
        </w:rPr>
      </w:pPr>
      <w:r>
        <w:rPr>
          <w:rFonts w:ascii="Arial" w:cs="Arial" w:eastAsia="Arial" w:hAnsi="Arial"/>
          <w:sz w:val="18"/>
          <w:szCs w:val="18"/>
          <w:color w:val="auto"/>
        </w:rPr>
        <w:t>Many of our customers purchase on-boarding, training, and consulting services, and utilize other tools and Payments, which are designed to help customers enhance their ability to attract, engage and delight their customers using our CRM Platform. Professional services and other revenue accounted for 2% of total revenue for three and six months ended June 30, 2022, 3% of our total revenue for the three months ended June 30, 2021, and 4% of our total revenue for the six months ended June 30, 2021.</w:t>
      </w:r>
    </w:p>
    <w:p>
      <w:pPr>
        <w:spacing w:after="0" w:line="147" w:lineRule="exact"/>
        <w:rPr>
          <w:sz w:val="20"/>
          <w:szCs w:val="20"/>
          <w:color w:val="auto"/>
        </w:rPr>
      </w:pPr>
    </w:p>
    <w:p>
      <w:pPr>
        <w:ind w:right="160" w:firstLine="544"/>
        <w:spacing w:after="0" w:line="261" w:lineRule="auto"/>
        <w:rPr>
          <w:sz w:val="20"/>
          <w:szCs w:val="20"/>
          <w:color w:val="auto"/>
        </w:rPr>
      </w:pPr>
      <w:r>
        <w:rPr>
          <w:rFonts w:ascii="Arial" w:cs="Arial" w:eastAsia="Arial" w:hAnsi="Arial"/>
          <w:sz w:val="18"/>
          <w:szCs w:val="18"/>
          <w:color w:val="auto"/>
        </w:rPr>
        <w:t>We have focused on rapidly growing our business and plan to continue to make investments to help us address some of the challenges facing us to support this growth, such as demand for our CRM Platform by existing and new customers, significant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2" w:name="page23"/>
    <w:bookmarkEnd w:id="22"/>
    <w:p>
      <w:pPr>
        <w:ind w:right="240"/>
        <w:spacing w:after="0" w:line="261" w:lineRule="auto"/>
        <w:rPr>
          <w:sz w:val="20"/>
          <w:szCs w:val="20"/>
          <w:color w:val="auto"/>
        </w:rPr>
      </w:pPr>
      <w:r>
        <w:rPr>
          <w:rFonts w:ascii="Arial" w:cs="Arial" w:eastAsia="Arial" w:hAnsi="Arial"/>
          <w:sz w:val="18"/>
          <w:szCs w:val="18"/>
          <w:color w:val="auto"/>
        </w:rPr>
        <w:t>competition from other providers of marketing, sales, customer service, operations, and content management software and related applications and rapid technological change in our industry.</w:t>
      </w:r>
    </w:p>
    <w:p>
      <w:pPr>
        <w:spacing w:after="0" w:line="144" w:lineRule="exact"/>
        <w:rPr>
          <w:sz w:val="20"/>
          <w:szCs w:val="20"/>
          <w:color w:val="auto"/>
        </w:rPr>
      </w:pPr>
    </w:p>
    <w:p>
      <w:pPr>
        <w:ind w:right="80" w:firstLine="544"/>
        <w:spacing w:after="0" w:line="253" w:lineRule="auto"/>
        <w:rPr>
          <w:sz w:val="20"/>
          <w:szCs w:val="20"/>
          <w:color w:val="auto"/>
        </w:rPr>
      </w:pPr>
      <w:r>
        <w:rPr>
          <w:rFonts w:ascii="Arial" w:cs="Arial" w:eastAsia="Arial" w:hAnsi="Arial"/>
          <w:sz w:val="17"/>
          <w:szCs w:val="17"/>
          <w:color w:val="auto"/>
        </w:rPr>
        <w:t>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expect to continue to invest in sales and marketing and expand our international operations. We also expect to increase our investment in research and development as we continue to introduce new products and applications to extend the functionality of our CRM Platform. We also intend to maintain a high level of customer service and support which we consider critical for our continued success. We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and prior stock offerings to fund these growth strategies and support our business and do not expect to be profitable in the near term.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Other Global Economic Conditions</w:t>
      </w:r>
    </w:p>
    <w:p>
      <w:pPr>
        <w:spacing w:after="0" w:line="175" w:lineRule="exact"/>
        <w:rPr>
          <w:sz w:val="20"/>
          <w:szCs w:val="20"/>
          <w:color w:val="auto"/>
        </w:rPr>
      </w:pPr>
    </w:p>
    <w:p>
      <w:pPr>
        <w:ind w:firstLine="544"/>
        <w:spacing w:after="0" w:line="239" w:lineRule="auto"/>
        <w:rPr>
          <w:sz w:val="20"/>
          <w:szCs w:val="20"/>
          <w:color w:val="auto"/>
        </w:rPr>
      </w:pPr>
      <w:r>
        <w:rPr>
          <w:rFonts w:ascii="Arial" w:cs="Arial" w:eastAsia="Arial" w:hAnsi="Arial"/>
          <w:sz w:val="18"/>
          <w:szCs w:val="18"/>
          <w:color w:val="auto"/>
        </w:rPr>
        <w:t>Our results of operations can be significantly influenced by general macroeconomic conditions, including but not limited to, the impact of the pandemic, foreign currency fluctuations, interest rates, inflation, recession risks, existing and new domestic and foreign laws and regulations, all of which are beyond our control. Fluctuations in foreign exchange rates and rising inflation has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 for the Three Months Ended June 30, 2022 and 2021</w:t>
      </w:r>
    </w:p>
    <w:p>
      <w:pPr>
        <w:spacing w:after="0" w:line="18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Layout w:type="fixed"/>
        <w:tblInd w:w="1140" w:type="dxa"/>
        <w:tblCellMar>
          <w:top w:w="0" w:type="dxa"/>
          <w:left w:w="0" w:type="dxa"/>
          <w:bottom w:w="0" w:type="dxa"/>
          <w:right w:w="0" w:type="dxa"/>
        </w:tblCellMar>
      </w:tblPr>
      <w:tr>
        <w:trPr>
          <w:trHeight w:val="136"/>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gridSpan w:val="9"/>
          </w:tcPr>
          <w:p>
            <w:pPr>
              <w:ind w:left="480"/>
              <w:spacing w:after="0" w:line="136"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1"/>
                <w:szCs w:val="11"/>
                <w:color w:val="auto"/>
              </w:rPr>
            </w:pPr>
          </w:p>
        </w:tc>
        <w:tc>
          <w:tcPr>
            <w:tcW w:w="1220" w:type="dxa"/>
            <w:vAlign w:val="bottom"/>
            <w:gridSpan w:val="4"/>
          </w:tcPr>
          <w:p>
            <w:pPr>
              <w:jc w:val="right"/>
              <w:spacing w:after="0" w:line="136" w:lineRule="exact"/>
              <w:rPr>
                <w:sz w:val="20"/>
                <w:szCs w:val="20"/>
                <w:color w:val="auto"/>
              </w:rPr>
            </w:pPr>
            <w:r>
              <w:rPr>
                <w:rFonts w:ascii="Arial" w:cs="Arial" w:eastAsia="Arial" w:hAnsi="Arial"/>
                <w:sz w:val="14"/>
                <w:szCs w:val="14"/>
                <w:b w:val="1"/>
                <w:bCs w:val="1"/>
                <w:color w:val="auto"/>
              </w:rPr>
              <w:t>Six Months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5"/>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9"/>
          </w:tcPr>
          <w:p>
            <w:pPr>
              <w:ind w:left="460"/>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6"/>
                <w:szCs w:val="16"/>
                <w:color w:val="auto"/>
              </w:rPr>
            </w:pPr>
          </w:p>
        </w:tc>
        <w:tc>
          <w:tcPr>
            <w:tcW w:w="21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Ended June 30,</w:t>
            </w:r>
          </w:p>
        </w:tc>
      </w:tr>
      <w:tr>
        <w:trPr>
          <w:trHeight w:val="169"/>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6"/>
        </w:trPr>
        <w:tc>
          <w:tcPr>
            <w:tcW w:w="43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left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Subscription</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412,401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300,423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797,356</w:t>
            </w:r>
          </w:p>
        </w:tc>
        <w:tc>
          <w:tcPr>
            <w:tcW w:w="18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570,686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Professional services and other</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9,354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10,365</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19,998</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21,467</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421,755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310,788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817,354</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592,153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Cost of revenues:</w:t>
            </w:r>
          </w:p>
        </w:tc>
        <w:tc>
          <w:tcPr>
            <w:tcW w:w="200" w:type="dxa"/>
            <w:vAlign w:val="bottom"/>
            <w:tcBorders>
              <w:left w:val="single" w:sz="8" w:color="CFF0FC"/>
            </w:tcBorders>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Subscription</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64,431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51,134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123,816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94,986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Professional services and other</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14,500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11,743</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28,053</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22,625</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78,931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62,877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151,869</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117,611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342,824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247,911</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665,485</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474,542</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Borders>
              <w:left w:val="single" w:sz="8" w:color="CFF0FC"/>
            </w:tcBorders>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118,914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72,104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211,650</w:t>
            </w: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140,500</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224,262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157,799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421,396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298,817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51,898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34,610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95,844</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66,860</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395,074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264,513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728,890</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506,177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(52,250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(16,602</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(63,405</w:t>
            </w:r>
          </w:p>
        </w:tc>
        <w:tc>
          <w:tcPr>
            <w:tcW w:w="180" w:type="dxa"/>
            <w:vAlign w:val="bottom"/>
            <w:tcBorders>
              <w:bottom w:val="single" w:sz="8" w:color="CFF0FC"/>
              <w:right w:val="single" w:sz="8" w:color="CFF0FC"/>
            </w:tcBorders>
            <w:shd w:val="clear" w:color="auto" w:fill="CFF0FC"/>
          </w:tcPr>
          <w:p>
            <w:pPr>
              <w:jc w:val="center"/>
              <w:ind w:right="3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(31,635</w:t>
            </w:r>
          </w:p>
        </w:tc>
        <w:tc>
          <w:tcPr>
            <w:tcW w:w="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196"/>
        </w:trPr>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Borders>
              <w:left w:val="single" w:sz="8" w:color="CFF0FC"/>
            </w:tcBorders>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341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2,564</w:t>
            </w: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816</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(949 )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(7,179 )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(1,898 )</w:t>
            </w: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7"/>
              </w:rPr>
              <w:t>(16,578 )</w:t>
            </w:r>
          </w:p>
        </w:tc>
        <w:tc>
          <w:tcPr>
            <w:tcW w:w="140" w:type="dxa"/>
            <w:vAlign w:val="bottom"/>
          </w:tcPr>
          <w:p>
            <w:pPr>
              <w:spacing w:after="0"/>
              <w:rPr>
                <w:sz w:val="17"/>
                <w:szCs w:val="17"/>
                <w:color w:val="auto"/>
              </w:rPr>
            </w:pPr>
          </w:p>
        </w:tc>
      </w:tr>
      <w:tr>
        <w:trPr>
          <w:trHeight w:val="203"/>
        </w:trPr>
        <w:tc>
          <w:tcPr>
            <w:tcW w:w="44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(expense) income</w:t>
            </w:r>
          </w:p>
        </w:tc>
        <w:tc>
          <w:tcPr>
            <w:tcW w:w="200" w:type="dxa"/>
            <w:vAlign w:val="bottom"/>
            <w:tcBorders>
              <w:left w:val="single" w:sz="8" w:color="CFF0FC"/>
            </w:tcBorders>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(3,091 )</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528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602</w:t>
            </w: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1,188</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4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other (expense) income</w:t>
            </w:r>
          </w:p>
        </w:tc>
        <w:tc>
          <w:tcPr>
            <w:tcW w:w="20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(1,990 )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(6,310 )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1,268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7"/>
              </w:rPr>
              <w:t>(14,574 )</w:t>
            </w:r>
          </w:p>
        </w:tc>
        <w:tc>
          <w:tcPr>
            <w:tcW w:w="140" w:type="dxa"/>
            <w:vAlign w:val="bottom"/>
          </w:tcPr>
          <w:p>
            <w:pPr>
              <w:spacing w:after="0"/>
              <w:rPr>
                <w:sz w:val="17"/>
                <w:szCs w:val="17"/>
                <w:color w:val="auto"/>
              </w:rPr>
            </w:pPr>
          </w:p>
        </w:tc>
      </w:tr>
      <w:tr>
        <w:trPr>
          <w:trHeight w:val="196"/>
        </w:trPr>
        <w:tc>
          <w:tcPr>
            <w:tcW w:w="4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Loss before income tax expense</w:t>
            </w:r>
          </w:p>
        </w:tc>
        <w:tc>
          <w:tcPr>
            <w:tcW w:w="200" w:type="dxa"/>
            <w:vAlign w:val="bottom"/>
            <w:tcBorders>
              <w:top w:val="single" w:sz="8" w:color="auto"/>
              <w:left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(54,240</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(22,912</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(62,137</w:t>
            </w:r>
          </w:p>
        </w:tc>
        <w:tc>
          <w:tcPr>
            <w:tcW w:w="180" w:type="dxa"/>
            <w:vAlign w:val="bottom"/>
            <w:tcBorders>
              <w:right w:val="single" w:sz="8" w:color="CFF0FC"/>
            </w:tcBorders>
            <w:shd w:val="clear" w:color="auto" w:fill="CFF0FC"/>
          </w:tcPr>
          <w:p>
            <w:pPr>
              <w:jc w:val="center"/>
              <w:ind w:right="3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(46,209</w:t>
            </w:r>
          </w:p>
        </w:tc>
        <w:tc>
          <w:tcPr>
            <w:tcW w:w="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03"/>
        </w:trPr>
        <w:tc>
          <w:tcPr>
            <w:tcW w:w="44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(1,660 )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(3,565 )</w:t>
            </w: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(1,522 )</w:t>
            </w:r>
          </w:p>
        </w:tc>
        <w:tc>
          <w:tcPr>
            <w:tcW w:w="140" w:type="dxa"/>
            <w:vAlign w:val="bottom"/>
          </w:tcPr>
          <w:p>
            <w:pPr>
              <w:spacing w:after="0"/>
              <w:rPr>
                <w:sz w:val="17"/>
                <w:szCs w:val="17"/>
                <w:color w:val="auto"/>
              </w:rPr>
            </w:pPr>
          </w:p>
        </w:tc>
      </w:tr>
      <w:tr>
        <w:trPr>
          <w:trHeight w:val="236"/>
        </w:trPr>
        <w:tc>
          <w:tcPr>
            <w:tcW w:w="442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left w:val="single" w:sz="8" w:color="CFF0FC"/>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(56,361</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(24,572</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(65,702</w:t>
            </w:r>
          </w:p>
        </w:tc>
        <w:tc>
          <w:tcPr>
            <w:tcW w:w="180" w:type="dxa"/>
            <w:vAlign w:val="bottom"/>
            <w:tcBorders>
              <w:bottom w:val="single" w:sz="8" w:color="CFF0FC"/>
              <w:right w:val="single" w:sz="8" w:color="CFF0FC"/>
            </w:tcBorders>
            <w:shd w:val="clear" w:color="auto" w:fill="CFF0FC"/>
          </w:tcPr>
          <w:p>
            <w:pPr>
              <w:jc w:val="center"/>
              <w:ind w:right="3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(47,731</w:t>
            </w:r>
          </w:p>
        </w:tc>
        <w:tc>
          <w:tcPr>
            <w:tcW w:w="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r>
      <w:tr>
        <w:trPr>
          <w:trHeight w:val="322"/>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5"/>
          </w:tcPr>
          <w:p>
            <w:pPr>
              <w:ind w:left="440"/>
              <w:spacing w:after="0"/>
              <w:rPr>
                <w:sz w:val="20"/>
                <w:szCs w:val="20"/>
                <w:color w:val="auto"/>
              </w:rPr>
            </w:pPr>
            <w:r>
              <w:rPr>
                <w:rFonts w:ascii="Arial" w:cs="Arial" w:eastAsia="Arial" w:hAnsi="Arial"/>
                <w:sz w:val="14"/>
                <w:szCs w:val="14"/>
                <w:b w:val="1"/>
                <w:bCs w:val="1"/>
                <w:color w:val="auto"/>
                <w:w w:val="93"/>
              </w:rPr>
              <w:t>Three Months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jc w:val="center"/>
              <w:ind w:left="273"/>
              <w:spacing w:after="0"/>
              <w:rPr>
                <w:sz w:val="20"/>
                <w:szCs w:val="20"/>
                <w:color w:val="auto"/>
              </w:rPr>
            </w:pPr>
            <w:r>
              <w:rPr>
                <w:rFonts w:ascii="Arial" w:cs="Arial" w:eastAsia="Arial" w:hAnsi="Arial"/>
                <w:sz w:val="14"/>
                <w:szCs w:val="14"/>
                <w:b w:val="1"/>
                <w:bCs w:val="1"/>
                <w:color w:val="auto"/>
                <w:w w:val="93"/>
              </w:rPr>
              <w:t>Six Months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9"/>
          </w:tcPr>
          <w:p>
            <w:pPr>
              <w:ind w:left="420"/>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6"/>
                <w:szCs w:val="16"/>
                <w:color w:val="auto"/>
              </w:rPr>
            </w:pPr>
          </w:p>
        </w:tc>
        <w:tc>
          <w:tcPr>
            <w:tcW w:w="21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3"/>
              </w:rPr>
              <w:t>Ended June 30,</w:t>
            </w:r>
          </w:p>
        </w:tc>
      </w:tr>
      <w:tr>
        <w:trPr>
          <w:trHeight w:val="169"/>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6"/>
        </w:trPr>
        <w:tc>
          <w:tcPr>
            <w:tcW w:w="4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00" w:type="dxa"/>
            <w:vAlign w:val="bottom"/>
            <w:tcBorders>
              <w:left w:val="single" w:sz="8" w:color="CFF0FC"/>
            </w:tcBorders>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Subscription</w:t>
            </w:r>
          </w:p>
        </w:tc>
        <w:tc>
          <w:tcPr>
            <w:tcW w:w="200" w:type="dxa"/>
            <w:vAlign w:val="bottom"/>
          </w:tcPr>
          <w:p>
            <w:pPr>
              <w:spacing w:after="0"/>
              <w:rPr>
                <w:sz w:val="17"/>
                <w:szCs w:val="17"/>
                <w:color w:val="auto"/>
              </w:rPr>
            </w:pPr>
          </w:p>
        </w:tc>
        <w:tc>
          <w:tcPr>
            <w:tcW w:w="10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98 %</w:t>
            </w:r>
          </w:p>
        </w:tc>
        <w:tc>
          <w:tcPr>
            <w:tcW w:w="28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97 %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98 %</w:t>
            </w:r>
          </w:p>
        </w:tc>
        <w:tc>
          <w:tcPr>
            <w:tcW w:w="280" w:type="dxa"/>
            <w:vAlign w:val="bottom"/>
          </w:tcPr>
          <w:p>
            <w:pPr>
              <w:spacing w:after="0"/>
              <w:rPr>
                <w:sz w:val="17"/>
                <w:szCs w:val="17"/>
                <w:color w:val="auto"/>
              </w:rPr>
            </w:pP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96 %</w:t>
            </w:r>
          </w:p>
        </w:tc>
      </w:tr>
      <w:tr>
        <w:trPr>
          <w:trHeight w:val="203"/>
        </w:trPr>
        <w:tc>
          <w:tcPr>
            <w:tcW w:w="44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Professional services and other</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200" w:type="dxa"/>
            <w:vAlign w:val="bottom"/>
            <w:tcBorders>
              <w:left w:val="single" w:sz="8" w:color="CFF0FC"/>
            </w:tcBorders>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Subscription</w:t>
            </w:r>
          </w:p>
        </w:tc>
        <w:tc>
          <w:tcPr>
            <w:tcW w:w="2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Professional services and other</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Borders>
              <w:left w:val="single" w:sz="8" w:color="CFF0FC"/>
            </w:tcBorders>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left w:val="single" w:sz="8" w:color="CFF0FC"/>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tcBorders>
              <w:left w:val="single" w:sz="8" w:color="CFF0FC"/>
            </w:tcBorders>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20"/>
                <w:szCs w:val="20"/>
                <w:color w:val="auto"/>
              </w:rPr>
            </w:pPr>
            <w:r>
              <w:rPr>
                <w:rFonts w:ascii="Arial" w:cs="Arial" w:eastAsia="Arial" w:hAnsi="Arial"/>
                <w:sz w:val="16"/>
                <w:szCs w:val="16"/>
                <w:color w:val="auto"/>
                <w:w w:val="74"/>
              </w:rPr>
              <w:t>)</w:t>
            </w: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03"/>
        </w:trPr>
        <w:tc>
          <w:tcPr>
            <w:tcW w:w="44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Total other (expense) income</w:t>
            </w:r>
          </w:p>
        </w:tc>
        <w:tc>
          <w:tcPr>
            <w:tcW w:w="20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tcPr>
          <w:p>
            <w:pPr>
              <w:spacing w:after="0"/>
              <w:rPr>
                <w:sz w:val="17"/>
                <w:szCs w:val="17"/>
                <w:color w:val="auto"/>
              </w:rPr>
            </w:pPr>
          </w:p>
        </w:tc>
      </w:tr>
      <w:tr>
        <w:trPr>
          <w:trHeight w:val="196"/>
        </w:trPr>
        <w:tc>
          <w:tcPr>
            <w:tcW w:w="44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Loss before income tax expense</w:t>
            </w:r>
          </w:p>
        </w:tc>
        <w:tc>
          <w:tcPr>
            <w:tcW w:w="200" w:type="dxa"/>
            <w:vAlign w:val="bottom"/>
            <w:tcBorders>
              <w:top w:val="single" w:sz="8" w:color="auto"/>
              <w:left w:val="single" w:sz="8" w:color="CFF0FC"/>
            </w:tcBorders>
            <w:shd w:val="clear" w:color="auto" w:fill="CFF0FC"/>
          </w:tcPr>
          <w:p>
            <w:pPr>
              <w:spacing w:after="0"/>
              <w:rPr>
                <w:sz w:val="17"/>
                <w:szCs w:val="17"/>
                <w:color w:val="auto"/>
              </w:rPr>
            </w:pPr>
          </w:p>
        </w:tc>
        <w:tc>
          <w:tcPr>
            <w:tcW w:w="8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20"/>
                <w:szCs w:val="20"/>
                <w:color w:val="auto"/>
              </w:rPr>
            </w:pPr>
            <w:r>
              <w:rPr>
                <w:rFonts w:ascii="Arial" w:cs="Arial" w:eastAsia="Arial" w:hAnsi="Arial"/>
                <w:sz w:val="16"/>
                <w:szCs w:val="16"/>
                <w:color w:val="auto"/>
                <w:w w:val="74"/>
              </w:rPr>
              <w:t>)</w:t>
            </w: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03"/>
        </w:trPr>
        <w:tc>
          <w:tcPr>
            <w:tcW w:w="44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(0 )</w:t>
            </w:r>
          </w:p>
        </w:tc>
        <w:tc>
          <w:tcPr>
            <w:tcW w:w="140" w:type="dxa"/>
            <w:vAlign w:val="bottom"/>
          </w:tcPr>
          <w:p>
            <w:pPr>
              <w:spacing w:after="0"/>
              <w:rPr>
                <w:sz w:val="17"/>
                <w:szCs w:val="17"/>
                <w:color w:val="auto"/>
              </w:rPr>
            </w:pPr>
          </w:p>
        </w:tc>
      </w:tr>
      <w:tr>
        <w:trPr>
          <w:trHeight w:val="196"/>
        </w:trPr>
        <w:tc>
          <w:tcPr>
            <w:tcW w:w="4420" w:type="dxa"/>
            <w:vAlign w:val="bottom"/>
            <w:gridSpan w:val="2"/>
          </w:tcPr>
          <w:p>
            <w:pPr>
              <w:spacing w:after="0" w:line="182" w:lineRule="exact"/>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(13</w:t>
            </w:r>
          </w:p>
        </w:tc>
        <w:tc>
          <w:tcPr>
            <w:tcW w:w="220" w:type="dxa"/>
            <w:vAlign w:val="bottom"/>
            <w:gridSpan w:val="2"/>
          </w:tcPr>
          <w:p>
            <w:pPr>
              <w:spacing w:after="0" w:line="182" w:lineRule="exact"/>
              <w:rPr>
                <w:sz w:val="20"/>
                <w:szCs w:val="20"/>
                <w:color w:val="auto"/>
              </w:rPr>
            </w:pPr>
            <w:r>
              <w:rPr>
                <w:rFonts w:ascii="Arial" w:cs="Arial" w:eastAsia="Arial" w:hAnsi="Arial"/>
                <w:sz w:val="18"/>
                <w:szCs w:val="18"/>
                <w:color w:val="auto"/>
                <w:w w:val="90"/>
              </w:rPr>
              <w:t>)%</w:t>
            </w:r>
          </w:p>
        </w:tc>
        <w:tc>
          <w:tcPr>
            <w:tcW w:w="2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w:t>
            </w:r>
          </w:p>
        </w:tc>
        <w:tc>
          <w:tcPr>
            <w:tcW w:w="220" w:type="dxa"/>
            <w:vAlign w:val="bottom"/>
            <w:gridSpan w:val="2"/>
          </w:tcPr>
          <w:p>
            <w:pPr>
              <w:ind w:left="20"/>
              <w:spacing w:after="0" w:line="182" w:lineRule="exact"/>
              <w:rPr>
                <w:sz w:val="20"/>
                <w:szCs w:val="20"/>
                <w:color w:val="auto"/>
              </w:rPr>
            </w:pPr>
            <w:r>
              <w:rPr>
                <w:rFonts w:ascii="Arial" w:cs="Arial" w:eastAsia="Arial" w:hAnsi="Arial"/>
                <w:sz w:val="18"/>
                <w:szCs w:val="18"/>
                <w:color w:val="auto"/>
                <w:w w:val="81"/>
              </w:rPr>
              <w:t>)%</w:t>
            </w: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w:t>
            </w:r>
          </w:p>
        </w:tc>
        <w:tc>
          <w:tcPr>
            <w:tcW w:w="240" w:type="dxa"/>
            <w:vAlign w:val="bottom"/>
            <w:gridSpan w:val="2"/>
          </w:tcPr>
          <w:p>
            <w:pPr>
              <w:spacing w:after="0" w:line="182" w:lineRule="exact"/>
              <w:rPr>
                <w:sz w:val="20"/>
                <w:szCs w:val="20"/>
                <w:color w:val="auto"/>
              </w:rPr>
            </w:pPr>
            <w:r>
              <w:rPr>
                <w:rFonts w:ascii="Arial" w:cs="Arial" w:eastAsia="Arial" w:hAnsi="Arial"/>
                <w:sz w:val="18"/>
                <w:szCs w:val="18"/>
                <w:color w:val="auto"/>
                <w:w w:val="90"/>
              </w:rPr>
              <w:t>)%</w:t>
            </w:r>
          </w:p>
        </w:tc>
        <w:tc>
          <w:tcPr>
            <w:tcW w:w="2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w:t>
            </w:r>
          </w:p>
        </w:tc>
        <w:tc>
          <w:tcPr>
            <w:tcW w:w="220" w:type="dxa"/>
            <w:vAlign w:val="bottom"/>
            <w:gridSpan w:val="2"/>
          </w:tcPr>
          <w:p>
            <w:pPr>
              <w:spacing w:after="0" w:line="182" w:lineRule="exact"/>
              <w:rPr>
                <w:sz w:val="20"/>
                <w:szCs w:val="20"/>
                <w:color w:val="auto"/>
              </w:rPr>
            </w:pPr>
            <w:r>
              <w:rPr>
                <w:rFonts w:ascii="Arial" w:cs="Arial" w:eastAsia="Arial" w:hAnsi="Arial"/>
                <w:sz w:val="18"/>
                <w:szCs w:val="18"/>
                <w:color w:val="auto"/>
                <w:w w:val="90"/>
              </w:rPr>
              <w:t>)%</w:t>
            </w: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-5697220</wp:posOffset>
            </wp:positionV>
            <wp:extent cx="6032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-5697220</wp:posOffset>
            </wp:positionV>
            <wp:extent cx="6032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-5697220</wp:posOffset>
            </wp:positionV>
            <wp:extent cx="5143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-5697220</wp:posOffset>
            </wp:positionV>
            <wp:extent cx="5143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-5165725</wp:posOffset>
            </wp:positionV>
            <wp:extent cx="6032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-5165725</wp:posOffset>
            </wp:positionV>
            <wp:extent cx="6032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-5165725</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-5165725</wp:posOffset>
            </wp:positionV>
            <wp:extent cx="5143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-4891405</wp:posOffset>
            </wp:positionV>
            <wp:extent cx="6032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-4891405</wp:posOffset>
            </wp:positionV>
            <wp:extent cx="603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-4891405</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-4891405</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-4368165</wp:posOffset>
            </wp:positionV>
            <wp:extent cx="6032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-4368165</wp:posOffset>
            </wp:positionV>
            <wp:extent cx="603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-4368165</wp:posOffset>
            </wp:positionV>
            <wp:extent cx="5143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-4368165</wp:posOffset>
            </wp:positionV>
            <wp:extent cx="5143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-4093845</wp:posOffset>
            </wp:positionV>
            <wp:extent cx="6032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-4093845</wp:posOffset>
            </wp:positionV>
            <wp:extent cx="6032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-4093845</wp:posOffset>
            </wp:positionV>
            <wp:extent cx="5143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-4093845</wp:posOffset>
            </wp:positionV>
            <wp:extent cx="5143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-3571240</wp:posOffset>
            </wp:positionV>
            <wp:extent cx="6032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-3571240</wp:posOffset>
            </wp:positionV>
            <wp:extent cx="6032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-3571240</wp:posOffset>
            </wp:positionV>
            <wp:extent cx="5143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-3571240</wp:posOffset>
            </wp:positionV>
            <wp:extent cx="5143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-3034030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-3016885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-3034030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-3016885</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-3034030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-3016885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-3034030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-3016885</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-2156460</wp:posOffset>
            </wp:positionV>
            <wp:extent cx="6032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-2156460</wp:posOffset>
            </wp:positionV>
            <wp:extent cx="6032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-2156460</wp:posOffset>
            </wp:positionV>
            <wp:extent cx="5143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-2156460</wp:posOffset>
            </wp:positionV>
            <wp:extent cx="514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-1624965</wp:posOffset>
            </wp:positionV>
            <wp:extent cx="6032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-1624965</wp:posOffset>
            </wp:positionV>
            <wp:extent cx="603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-1624965</wp:posOffset>
            </wp:positionV>
            <wp:extent cx="5143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-1624965</wp:posOffset>
            </wp:positionV>
            <wp:extent cx="5143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-1350645</wp:posOffset>
            </wp:positionV>
            <wp:extent cx="6032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-1350645</wp:posOffset>
            </wp:positionV>
            <wp:extent cx="603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-1350645</wp:posOffset>
            </wp:positionV>
            <wp:extent cx="5143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-1350645</wp:posOffset>
            </wp:positionV>
            <wp:extent cx="5143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-828040</wp:posOffset>
            </wp:positionV>
            <wp:extent cx="6032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-828040</wp:posOffset>
            </wp:positionV>
            <wp:extent cx="6032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-828040</wp:posOffset>
            </wp:positionV>
            <wp:extent cx="5143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-828040</wp:posOffset>
            </wp:positionV>
            <wp:extent cx="5143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-153670</wp:posOffset>
            </wp:positionV>
            <wp:extent cx="5700395"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Percentages are based on actual values. Totals may not sum due to rounding.</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9"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Three Months Ended June 30, 2022 Compared to the Three Months Ended June 30, 2021</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rPr>
              <w:t>Six Months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Ended June 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Ended June 30,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6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600" w:type="dxa"/>
            <w:vAlign w:val="bottom"/>
          </w:tcPr>
          <w:p>
            <w:pPr>
              <w:jc w:val="right"/>
              <w:ind w:right="16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580" w:type="dxa"/>
            <w:vAlign w:val="bottom"/>
          </w:tcPr>
          <w:p>
            <w:pPr>
              <w:jc w:val="right"/>
              <w:ind w:right="14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3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258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Revenues:</w:t>
            </w: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680" w:type="dxa"/>
            <w:vAlign w:val="bottom"/>
            <w:gridSpan w:val="2"/>
          </w:tcPr>
          <w:p>
            <w:pPr>
              <w:ind w:left="200"/>
              <w:spacing w:after="0"/>
              <w:rPr>
                <w:sz w:val="20"/>
                <w:szCs w:val="20"/>
                <w:color w:val="auto"/>
              </w:rPr>
            </w:pPr>
            <w:r>
              <w:rPr>
                <w:rFonts w:ascii="Arial" w:cs="Arial" w:eastAsia="Arial" w:hAnsi="Arial"/>
                <w:sz w:val="16"/>
                <w:szCs w:val="16"/>
                <w:color w:val="auto"/>
              </w:rPr>
              <w:t>Subscription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412,401</w:t>
            </w:r>
          </w:p>
        </w:tc>
        <w:tc>
          <w:tcPr>
            <w:tcW w:w="4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300,423</w:t>
            </w:r>
          </w:p>
        </w:tc>
        <w:tc>
          <w:tcPr>
            <w:tcW w:w="46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111,978</w:t>
            </w:r>
          </w:p>
        </w:tc>
        <w:tc>
          <w:tcPr>
            <w:tcW w:w="240" w:type="dxa"/>
            <w:vAlign w:val="bottom"/>
          </w:tcPr>
          <w:p>
            <w:pPr>
              <w:spacing w:after="0"/>
              <w:rPr>
                <w:sz w:val="16"/>
                <w:szCs w:val="16"/>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37 % $</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797,356</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570,686</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226,670</w:t>
            </w:r>
          </w:p>
        </w:tc>
        <w:tc>
          <w:tcPr>
            <w:tcW w:w="200" w:type="dxa"/>
            <w:vAlign w:val="bottom"/>
          </w:tcPr>
          <w:p>
            <w:pPr>
              <w:spacing w:after="0"/>
              <w:rPr>
                <w:sz w:val="16"/>
                <w:szCs w:val="16"/>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40 %</w:t>
            </w:r>
          </w:p>
        </w:tc>
      </w:tr>
      <w:tr>
        <w:trPr>
          <w:trHeight w:val="189"/>
        </w:trPr>
        <w:tc>
          <w:tcPr>
            <w:tcW w:w="2680" w:type="dxa"/>
            <w:vAlign w:val="bottom"/>
            <w:gridSpan w:val="2"/>
          </w:tcPr>
          <w:p>
            <w:pPr>
              <w:ind w:left="200"/>
              <w:spacing w:after="0"/>
              <w:rPr>
                <w:sz w:val="20"/>
                <w:szCs w:val="20"/>
                <w:color w:val="auto"/>
              </w:rPr>
            </w:pPr>
            <w:r>
              <w:rPr>
                <w:rFonts w:ascii="Arial" w:cs="Arial" w:eastAsia="Arial" w:hAnsi="Arial"/>
                <w:sz w:val="16"/>
                <w:szCs w:val="16"/>
                <w:color w:val="auto"/>
              </w:rPr>
              <w:t>Professional services and other</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9,354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10,365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(1,011 )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19,998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21,467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(1,469 )</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(7 )%</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680" w:type="dxa"/>
            <w:vAlign w:val="bottom"/>
            <w:gridSpan w:val="2"/>
          </w:tcPr>
          <w:p>
            <w:pPr>
              <w:ind w:left="380"/>
              <w:spacing w:after="0" w:line="169" w:lineRule="exact"/>
              <w:rPr>
                <w:sz w:val="20"/>
                <w:szCs w:val="20"/>
                <w:color w:val="auto"/>
              </w:rPr>
            </w:pPr>
            <w:r>
              <w:rPr>
                <w:rFonts w:ascii="Arial" w:cs="Arial" w:eastAsia="Arial" w:hAnsi="Arial"/>
                <w:sz w:val="16"/>
                <w:szCs w:val="16"/>
                <w:color w:val="auto"/>
              </w:rPr>
              <w:t>Total revenue</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w w:val="96"/>
              </w:rPr>
              <w:t>421,755</w:t>
            </w:r>
          </w:p>
        </w:tc>
        <w:tc>
          <w:tcPr>
            <w:tcW w:w="220" w:type="dxa"/>
            <w:vAlign w:val="bottom"/>
          </w:tcPr>
          <w:p>
            <w:pPr>
              <w:spacing w:after="0"/>
              <w:rPr>
                <w:sz w:val="15"/>
                <w:szCs w:val="15"/>
                <w:color w:val="auto"/>
              </w:rPr>
            </w:pPr>
          </w:p>
        </w:tc>
        <w:tc>
          <w:tcPr>
            <w:tcW w:w="200" w:type="dxa"/>
            <w:vAlign w:val="bottom"/>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310,788</w:t>
            </w:r>
          </w:p>
        </w:tc>
        <w:tc>
          <w:tcPr>
            <w:tcW w:w="240" w:type="dxa"/>
            <w:vAlign w:val="bottom"/>
          </w:tcPr>
          <w:p>
            <w:pPr>
              <w:spacing w:after="0"/>
              <w:rPr>
                <w:sz w:val="15"/>
                <w:szCs w:val="15"/>
                <w:color w:val="auto"/>
              </w:rPr>
            </w:pP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110,967</w:t>
            </w:r>
          </w:p>
        </w:tc>
        <w:tc>
          <w:tcPr>
            <w:tcW w:w="240" w:type="dxa"/>
            <w:vAlign w:val="bottom"/>
          </w:tcPr>
          <w:p>
            <w:pPr>
              <w:spacing w:after="0"/>
              <w:rPr>
                <w:sz w:val="15"/>
                <w:szCs w:val="15"/>
                <w:color w:val="auto"/>
              </w:rPr>
            </w:pPr>
          </w:p>
        </w:tc>
        <w:tc>
          <w:tcPr>
            <w:tcW w:w="1400" w:type="dxa"/>
            <w:vAlign w:val="bottom"/>
            <w:gridSpan w:val="3"/>
          </w:tcPr>
          <w:p>
            <w:pPr>
              <w:jc w:val="right"/>
              <w:ind w:right="60"/>
              <w:spacing w:after="0" w:line="169" w:lineRule="exact"/>
              <w:rPr>
                <w:sz w:val="20"/>
                <w:szCs w:val="20"/>
                <w:color w:val="auto"/>
              </w:rPr>
            </w:pPr>
            <w:r>
              <w:rPr>
                <w:rFonts w:ascii="Arial" w:cs="Arial" w:eastAsia="Arial" w:hAnsi="Arial"/>
                <w:sz w:val="12"/>
                <w:szCs w:val="12"/>
                <w:color w:val="auto"/>
              </w:rPr>
              <w:t xml:space="preserve">36 % </w:t>
            </w:r>
            <w:r>
              <w:rPr>
                <w:rFonts w:ascii="Arial" w:cs="Arial" w:eastAsia="Arial" w:hAnsi="Arial"/>
                <w:sz w:val="19"/>
                <w:szCs w:val="19"/>
                <w:color w:val="auto"/>
                <w:vertAlign w:val="superscript"/>
              </w:rPr>
              <w:t>$</w:t>
            </w:r>
          </w:p>
        </w:tc>
        <w:tc>
          <w:tcPr>
            <w:tcW w:w="580" w:type="dxa"/>
            <w:vAlign w:val="bottom"/>
          </w:tcPr>
          <w:p>
            <w:pPr>
              <w:jc w:val="right"/>
              <w:spacing w:after="0" w:line="169" w:lineRule="exact"/>
              <w:rPr>
                <w:sz w:val="20"/>
                <w:szCs w:val="20"/>
                <w:color w:val="auto"/>
              </w:rPr>
            </w:pPr>
            <w:r>
              <w:rPr>
                <w:rFonts w:ascii="Arial" w:cs="Arial" w:eastAsia="Arial" w:hAnsi="Arial"/>
                <w:sz w:val="16"/>
                <w:szCs w:val="16"/>
                <w:color w:val="auto"/>
                <w:w w:val="96"/>
              </w:rPr>
              <w:t>817,354</w:t>
            </w:r>
          </w:p>
        </w:tc>
        <w:tc>
          <w:tcPr>
            <w:tcW w:w="38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592,153</w:t>
            </w:r>
          </w:p>
        </w:tc>
        <w:tc>
          <w:tcPr>
            <w:tcW w:w="420" w:type="dxa"/>
            <w:vAlign w:val="bottom"/>
            <w:gridSpan w:val="2"/>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w w:val="96"/>
              </w:rPr>
              <w:t>225,201</w:t>
            </w:r>
          </w:p>
        </w:tc>
        <w:tc>
          <w:tcPr>
            <w:tcW w:w="200" w:type="dxa"/>
            <w:vAlign w:val="bottom"/>
          </w:tcPr>
          <w:p>
            <w:pPr>
              <w:spacing w:after="0"/>
              <w:rPr>
                <w:sz w:val="15"/>
                <w:szCs w:val="15"/>
                <w:color w:val="auto"/>
              </w:rPr>
            </w:pPr>
          </w:p>
        </w:tc>
        <w:tc>
          <w:tcPr>
            <w:tcW w:w="1320" w:type="dxa"/>
            <w:vAlign w:val="bottom"/>
            <w:gridSpan w:val="3"/>
          </w:tcPr>
          <w:p>
            <w:pPr>
              <w:jc w:val="right"/>
              <w:ind w:right="60"/>
              <w:spacing w:after="0" w:line="169" w:lineRule="exact"/>
              <w:rPr>
                <w:sz w:val="20"/>
                <w:szCs w:val="20"/>
                <w:color w:val="auto"/>
              </w:rPr>
            </w:pPr>
            <w:r>
              <w:rPr>
                <w:rFonts w:ascii="Arial" w:cs="Arial" w:eastAsia="Arial" w:hAnsi="Arial"/>
                <w:sz w:val="16"/>
                <w:szCs w:val="16"/>
                <w:color w:val="auto"/>
              </w:rPr>
              <w:t>38 %</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Subscription revenue increased during the three months ended June 30, 2022 compared to the same period in 2021 primarily due to the increase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Customers, which grew from 121,048 as of June 30, 2021 to 150,865 as of June 30, 2022. Average Subscription Revenue per Customer increased from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$10,198 for the three months ended June 30, 2021 to $11,198 for the three months ended June 30, 2022. The growth in Customers was primarily driven by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our increased sales representative capacity to meet market demand as well a continued demand for our CRM Platform. The increase in Average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Subscription Revenue per Customer was primarily driven by a continued demand for our Professional and Enterprise products, product upgrades by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existing customers and impact from customer mix, offset by the impact of foreign currency translations primarily attributable to the decline in the value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Euro relative to the U.S. Dollar.</w:t>
      </w:r>
    </w:p>
    <w:p>
      <w:pPr>
        <w:spacing w:after="0" w:line="169"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Professional services and other revenue decreased during the three months ended June 30, 2022 compared to the same period in 2021 primarily due to lower overall services revenue from onboardings and trainings, and lower fees earned from revenue share arrangements with third parties, partially offset by fees earned from Payments and other revenue streams.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Subscription revenue increased during the three months ended June 30, 2022 compared to the same period in 2021 primarily due to the increase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Customers, which grew from 121,048 as of June 30, 2021 to 150,865 as of June 30, 2022. Average Subscription Revenue per Customer increased from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$10,111 for the six months ended June 30, 2021 to $11,137 for the six months ended June 30, 2022. The growth in Customers was primarily driven by our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increased sales representative capacity to meet market demand as well a continued demand for our CRM Platform. The increase in Average Subscription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Revenue per Customer was primarily driven by a continued demand for our Professional and Enterprise products, product upgrades by existing customers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impact from customer mix, offset by the impact of foreign currency translations primarily attributable to the decline in the value of the Euro relative to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U.S. Dollar.</w:t>
      </w:r>
    </w:p>
    <w:p>
      <w:pPr>
        <w:spacing w:after="0" w:line="16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Professional services and other revenue decreased during the six months ended June 30, 2022 compared to the same period in 2021 primarily due to non-recurring advertising revenue generated from our acquisition of the Hustle in the first quarter of 2021, lower overall services revenue from onboardings and trainings, and lower fees earned from revenue share arrangements with third parties, partially offset by fees earned from Payments and other revenue streams.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ind w:left="400"/>
              <w:spacing w:after="0"/>
              <w:rPr>
                <w:sz w:val="20"/>
                <w:szCs w:val="20"/>
                <w:color w:val="auto"/>
              </w:rPr>
            </w:pPr>
            <w:r>
              <w:rPr>
                <w:rFonts w:ascii="Arial" w:cs="Arial" w:eastAsia="Arial" w:hAnsi="Arial"/>
                <w:sz w:val="14"/>
                <w:szCs w:val="14"/>
                <w:b w:val="1"/>
                <w:bCs w:val="1"/>
                <w:color w:val="auto"/>
              </w:rPr>
              <w:t>Three Months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400"/>
              <w:spacing w:after="0"/>
              <w:rPr>
                <w:sz w:val="20"/>
                <w:szCs w:val="20"/>
                <w:color w:val="auto"/>
              </w:rPr>
            </w:pPr>
            <w:r>
              <w:rPr>
                <w:rFonts w:ascii="Arial" w:cs="Arial" w:eastAsia="Arial" w:hAnsi="Arial"/>
                <w:sz w:val="14"/>
                <w:szCs w:val="14"/>
                <w:b w:val="1"/>
                <w:bCs w:val="1"/>
                <w:color w:val="auto"/>
                <w:w w:val="91"/>
              </w:rPr>
              <w:t>Ended June 30,</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June 30,</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2120" w:type="dxa"/>
            <w:vAlign w:val="bottom"/>
            <w:gridSpan w:val="2"/>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83"/>
              </w:rPr>
              <w:t>2021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2"/>
              <w:spacing w:after="0"/>
              <w:rPr>
                <w:sz w:val="20"/>
                <w:szCs w:val="20"/>
                <w:color w:val="auto"/>
              </w:rPr>
            </w:pPr>
            <w:r>
              <w:rPr>
                <w:rFonts w:ascii="Arial" w:cs="Arial" w:eastAsia="Arial" w:hAnsi="Arial"/>
                <w:sz w:val="14"/>
                <w:szCs w:val="14"/>
                <w:b w:val="1"/>
                <w:bCs w:val="1"/>
                <w:color w:val="auto"/>
                <w:w w:val="91"/>
              </w:rPr>
              <w:t>$ Change</w:t>
            </w:r>
          </w:p>
        </w:tc>
        <w:tc>
          <w:tcPr>
            <w:tcW w:w="240" w:type="dxa"/>
            <w:vAlign w:val="bottom"/>
          </w:tcPr>
          <w:p>
            <w:pPr>
              <w:spacing w:after="0"/>
              <w:rPr>
                <w:sz w:val="14"/>
                <w:szCs w:val="14"/>
                <w:color w:val="auto"/>
              </w:rPr>
            </w:pPr>
          </w:p>
        </w:tc>
        <w:tc>
          <w:tcPr>
            <w:tcW w:w="118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42"/>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200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color w:val="auto"/>
              </w:rPr>
              <w:t>Total cost of revenue</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78,931</w:t>
            </w:r>
          </w:p>
        </w:tc>
        <w:tc>
          <w:tcPr>
            <w:tcW w:w="240" w:type="dxa"/>
            <w:vAlign w:val="bottom"/>
          </w:tcPr>
          <w:p>
            <w:pPr>
              <w:spacing w:after="0"/>
              <w:rPr>
                <w:sz w:val="15"/>
                <w:szCs w:val="15"/>
                <w:color w:val="auto"/>
              </w:rPr>
            </w:pPr>
          </w:p>
        </w:tc>
        <w:tc>
          <w:tcPr>
            <w:tcW w:w="320" w:type="dxa"/>
            <w:vAlign w:val="bottom"/>
            <w:tcBorders>
              <w:top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62,877</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16,054</w:t>
            </w:r>
          </w:p>
        </w:tc>
        <w:tc>
          <w:tcPr>
            <w:tcW w:w="240" w:type="dxa"/>
            <w:vAlign w:val="bottom"/>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26</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151,869</w:t>
            </w:r>
          </w:p>
        </w:tc>
        <w:tc>
          <w:tcPr>
            <w:tcW w:w="200" w:type="dxa"/>
            <w:vAlign w:val="bottom"/>
          </w:tcPr>
          <w:p>
            <w:pPr>
              <w:spacing w:after="0"/>
              <w:rPr>
                <w:sz w:val="15"/>
                <w:szCs w:val="15"/>
                <w:color w:val="auto"/>
              </w:rPr>
            </w:pPr>
          </w:p>
        </w:tc>
        <w:tc>
          <w:tcPr>
            <w:tcW w:w="280" w:type="dxa"/>
            <w:vAlign w:val="bottom"/>
            <w:tcBorders>
              <w:top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117,611</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34,258</w:t>
            </w:r>
          </w:p>
        </w:tc>
        <w:tc>
          <w:tcPr>
            <w:tcW w:w="220" w:type="dxa"/>
            <w:vAlign w:val="bottom"/>
          </w:tcPr>
          <w:p>
            <w:pPr>
              <w:spacing w:after="0"/>
              <w:rPr>
                <w:sz w:val="15"/>
                <w:szCs w:val="15"/>
                <w:color w:val="auto"/>
              </w:rPr>
            </w:pPr>
          </w:p>
        </w:tc>
        <w:tc>
          <w:tcPr>
            <w:tcW w:w="10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29</w:t>
            </w:r>
          </w:p>
        </w:tc>
        <w:tc>
          <w:tcPr>
            <w:tcW w:w="140" w:type="dxa"/>
            <w:vAlign w:val="bottom"/>
            <w:gridSpan w:val="2"/>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189"/>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342,824</w:t>
            </w:r>
          </w:p>
        </w:tc>
        <w:tc>
          <w:tcPr>
            <w:tcW w:w="24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247,911</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94,913</w:t>
            </w:r>
          </w:p>
        </w:tc>
        <w:tc>
          <w:tcPr>
            <w:tcW w:w="1620" w:type="dxa"/>
            <w:vAlign w:val="bottom"/>
            <w:gridSpan w:val="4"/>
          </w:tcPr>
          <w:p>
            <w:pPr>
              <w:jc w:val="right"/>
              <w:ind w:right="44"/>
              <w:spacing w:after="0"/>
              <w:rPr>
                <w:sz w:val="20"/>
                <w:szCs w:val="20"/>
                <w:color w:val="auto"/>
              </w:rPr>
            </w:pPr>
            <w:r>
              <w:rPr>
                <w:rFonts w:ascii="Arial" w:cs="Arial" w:eastAsia="Arial" w:hAnsi="Arial"/>
                <w:sz w:val="16"/>
                <w:szCs w:val="16"/>
                <w:color w:val="auto"/>
              </w:rPr>
              <w:t>38 % $</w:t>
            </w:r>
          </w:p>
        </w:tc>
        <w:tc>
          <w:tcPr>
            <w:tcW w:w="680" w:type="dxa"/>
            <w:vAlign w:val="bottom"/>
          </w:tcPr>
          <w:p>
            <w:pPr>
              <w:jc w:val="right"/>
              <w:spacing w:after="0"/>
              <w:rPr>
                <w:sz w:val="20"/>
                <w:szCs w:val="20"/>
                <w:color w:val="auto"/>
              </w:rPr>
            </w:pPr>
            <w:r>
              <w:rPr>
                <w:rFonts w:ascii="Arial" w:cs="Arial" w:eastAsia="Arial" w:hAnsi="Arial"/>
                <w:sz w:val="16"/>
                <w:szCs w:val="16"/>
                <w:color w:val="auto"/>
              </w:rPr>
              <w:t>665,485</w:t>
            </w:r>
          </w:p>
        </w:tc>
        <w:tc>
          <w:tcPr>
            <w:tcW w:w="200" w:type="dxa"/>
            <w:vAlign w:val="bottom"/>
          </w:tcPr>
          <w:p>
            <w:pPr>
              <w:spacing w:after="0"/>
              <w:rPr>
                <w:sz w:val="16"/>
                <w:szCs w:val="16"/>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474,542</w:t>
            </w:r>
          </w:p>
        </w:tc>
        <w:tc>
          <w:tcPr>
            <w:tcW w:w="2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190,943</w:t>
            </w: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40 %</w:t>
            </w:r>
          </w:p>
        </w:tc>
      </w:tr>
      <w:tr>
        <w:trPr>
          <w:trHeight w:val="189"/>
        </w:trPr>
        <w:tc>
          <w:tcPr>
            <w:tcW w:w="2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Gross margin percentage</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81 %</w:t>
            </w:r>
          </w:p>
        </w:tc>
        <w:tc>
          <w:tcPr>
            <w:tcW w:w="3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81 %</w:t>
            </w:r>
          </w:p>
        </w:tc>
        <w:tc>
          <w:tcPr>
            <w:tcW w:w="2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80 %</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20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4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Total cost of revenue for the three and six months ended June 30, 2022 increased compared to the same period in 2021 primarily due to an increase in subscription and hosting costs, employee-related costs, amortization of capitalized software development costs,</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9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allocated overhead expenses, and amortization of acquired technology. Gross margins remained consistent year-over-year.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ind w:left="520"/>
              <w:spacing w:after="0"/>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4"/>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ind w:left="520"/>
              <w:spacing w:after="0"/>
              <w:rPr>
                <w:sz w:val="20"/>
                <w:szCs w:val="20"/>
                <w:color w:val="auto"/>
              </w:rPr>
            </w:pPr>
            <w:r>
              <w:rPr>
                <w:rFonts w:ascii="Arial" w:cs="Arial" w:eastAsia="Arial" w:hAnsi="Arial"/>
                <w:sz w:val="13"/>
                <w:szCs w:val="13"/>
                <w:b w:val="1"/>
                <w:bCs w:val="1"/>
                <w:color w:val="auto"/>
              </w:rPr>
              <w:t>Ended June 30,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Ended June 30,</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70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800" w:type="dxa"/>
            <w:vAlign w:val="bottom"/>
            <w:tcBorders>
              <w:top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3"/>
                <w:szCs w:val="13"/>
                <w:b w:val="1"/>
                <w:bCs w:val="1"/>
                <w:color w:val="auto"/>
                <w:w w:val="92"/>
              </w:rPr>
              <w:t>$ Change</w:t>
            </w:r>
          </w:p>
        </w:tc>
        <w:tc>
          <w:tcPr>
            <w:tcW w:w="22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w w:val="95"/>
              </w:rPr>
              <w:t>% Change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3"/>
                <w:szCs w:val="13"/>
                <w:b w:val="1"/>
                <w:bCs w:val="1"/>
                <w:color w:val="auto"/>
                <w:w w:val="92"/>
              </w:rPr>
              <w:t>$ Change</w:t>
            </w:r>
          </w:p>
        </w:tc>
        <w:tc>
          <w:tcPr>
            <w:tcW w:w="200" w:type="dxa"/>
            <w:vAlign w:val="bottom"/>
          </w:tcPr>
          <w:p>
            <w:pPr>
              <w:spacing w:after="0"/>
              <w:rPr>
                <w:sz w:val="13"/>
                <w:szCs w:val="13"/>
                <w:color w:val="auto"/>
              </w:rPr>
            </w:pPr>
          </w:p>
        </w:tc>
        <w:tc>
          <w:tcPr>
            <w:tcW w:w="1180" w:type="dxa"/>
            <w:vAlign w:val="bottom"/>
            <w:gridSpan w:val="2"/>
          </w:tcPr>
          <w:p>
            <w:pPr>
              <w:jc w:val="right"/>
              <w:ind w:right="279"/>
              <w:spacing w:after="0"/>
              <w:rPr>
                <w:sz w:val="20"/>
                <w:szCs w:val="20"/>
                <w:color w:val="auto"/>
              </w:rPr>
            </w:pPr>
            <w:r>
              <w:rPr>
                <w:rFonts w:ascii="Arial" w:cs="Arial" w:eastAsia="Arial" w:hAnsi="Arial"/>
                <w:sz w:val="13"/>
                <w:szCs w:val="13"/>
                <w:b w:val="1"/>
                <w:bCs w:val="1"/>
                <w:color w:val="auto"/>
              </w:rPr>
              <w:t>% Change</w:t>
            </w:r>
          </w:p>
        </w:tc>
      </w:tr>
      <w:tr>
        <w:trPr>
          <w:trHeight w:val="183"/>
        </w:trPr>
        <w:tc>
          <w:tcPr>
            <w:tcW w:w="260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color w:val="auto"/>
              </w:rPr>
              <w:t>Subscription cost of revenue</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   64,431</w:t>
            </w:r>
          </w:p>
        </w:tc>
        <w:tc>
          <w:tcPr>
            <w:tcW w:w="220" w:type="dxa"/>
            <w:vAlign w:val="bottom"/>
          </w:tcPr>
          <w:p>
            <w:pPr>
              <w:spacing w:after="0"/>
              <w:rPr>
                <w:sz w:val="15"/>
                <w:szCs w:val="15"/>
                <w:color w:val="auto"/>
              </w:rPr>
            </w:pPr>
          </w:p>
        </w:tc>
        <w:tc>
          <w:tcPr>
            <w:tcW w:w="200" w:type="dxa"/>
            <w:vAlign w:val="bottom"/>
            <w:tcBorders>
              <w:top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51,134</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13,297</w:t>
            </w: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78"/>
              </w:rPr>
              <w:t>26</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200" w:type="dxa"/>
            <w:vAlign w:val="bottom"/>
            <w:tcBorders>
              <w:top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123,816</w:t>
            </w:r>
          </w:p>
        </w:tc>
        <w:tc>
          <w:tcPr>
            <w:tcW w:w="200" w:type="dxa"/>
            <w:vAlign w:val="bottom"/>
          </w:tcPr>
          <w:p>
            <w:pPr>
              <w:spacing w:after="0"/>
              <w:rPr>
                <w:sz w:val="15"/>
                <w:szCs w:val="15"/>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94,986</w:t>
            </w:r>
          </w:p>
        </w:tc>
        <w:tc>
          <w:tcPr>
            <w:tcW w:w="20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28,830</w:t>
            </w:r>
          </w:p>
        </w:tc>
        <w:tc>
          <w:tcPr>
            <w:tcW w:w="200" w:type="dxa"/>
            <w:vAlign w:val="bottom"/>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30</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206"/>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Percentage of subscription revenue</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16 %</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16 %</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200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37"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increase in subscription cost of revenue for the three and six months ended June 30, 2022 compared to the same period in 2021 was primarily due to the following:</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99"/>
              </w:rPr>
              <w:t>Six Months</w:t>
            </w:r>
          </w:p>
        </w:tc>
        <w:tc>
          <w:tcPr>
            <w:tcW w:w="80" w:type="dxa"/>
            <w:vAlign w:val="bottom"/>
          </w:tcPr>
          <w:p>
            <w:pPr>
              <w:spacing w:after="0"/>
              <w:rPr>
                <w:sz w:val="18"/>
                <w:szCs w:val="18"/>
                <w:color w:val="auto"/>
              </w:rPr>
            </w:pPr>
          </w:p>
        </w:tc>
      </w:tr>
      <w:tr>
        <w:trPr>
          <w:trHeight w:val="169"/>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74"/>
              </w:rPr>
              <w:t>thousands)</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7,337</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16,459</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Employee-related costs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7,354</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w:t>
            </w:r>
          </w:p>
        </w:tc>
        <w:tc>
          <w:tcPr>
            <w:tcW w:w="8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r>
      <w:tr>
        <w:trPr>
          <w:trHeight w:val="216"/>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acquired technology</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96"/>
        </w:trPr>
        <w:tc>
          <w:tcPr>
            <w:tcW w:w="50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28,830</w:t>
            </w:r>
          </w:p>
        </w:tc>
        <w:tc>
          <w:tcPr>
            <w:tcW w:w="8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-159385</wp:posOffset>
            </wp:positionV>
            <wp:extent cx="5969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Subscription and hosting costs increased primarily due to growth in our Total Customer base from 121,048 as of June 30, 2021 to 150,865 as of June 30, 2022. We also saw higher subscription and hosting costs as we launched an additional data center in the third quarter of 2021 and continued to focus on the security, reliability and performance of our CRM Platform. Employee-related costs increased as a result of increased headcount as we grew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an increase in shared company expenses associated with our systems and infrastructure that is needed to grow our business. Amortization of acquired technology increased due to certain acquired technology being amortized using a method reflective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the expected economic benefit consumption over the expected useful life of the asset.</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171"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Subscription and hosting costs increased primarily due to growth in our Total Customer base from 121,048 as of June 30, 2021 to 150,865 as of June 30, 2022. We also saw higher subscription and hosting costs as we launched an additional data center in the third quarter of 2021 and continued to focus on the security, reliability and performance of our CRM Platform. Employee-related costs increased as a result of increased headcount as we grew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an increase in shared company expenses associated with our systems and infrastructure as we continued to grow our business. Amortization of acquired technology increased due to certain acquired technology being amortized using a method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reflective of the expected economic benefit consumption over the expected useful life of the asset.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ind w:left="540"/>
              <w:spacing w:after="0"/>
              <w:rPr>
                <w:sz w:val="20"/>
                <w:szCs w:val="20"/>
                <w:color w:val="auto"/>
              </w:rPr>
            </w:pPr>
            <w:r>
              <w:rPr>
                <w:rFonts w:ascii="Arial" w:cs="Arial" w:eastAsia="Arial" w:hAnsi="Arial"/>
                <w:sz w:val="13"/>
                <w:szCs w:val="13"/>
                <w:b w:val="1"/>
                <w:bCs w:val="1"/>
                <w:color w:val="auto"/>
              </w:rPr>
              <w:t>Three Months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ind w:left="540"/>
              <w:spacing w:after="0"/>
              <w:rPr>
                <w:sz w:val="20"/>
                <w:szCs w:val="20"/>
                <w:color w:val="auto"/>
              </w:rPr>
            </w:pPr>
            <w:r>
              <w:rPr>
                <w:rFonts w:ascii="Arial" w:cs="Arial" w:eastAsia="Arial" w:hAnsi="Arial"/>
                <w:sz w:val="13"/>
                <w:szCs w:val="13"/>
                <w:b w:val="1"/>
                <w:bCs w:val="1"/>
                <w:color w:val="auto"/>
              </w:rPr>
              <w:t>Ended June 30,</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Ended June 30,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w w:val="95"/>
              </w:rPr>
              <w:t>$ Change</w:t>
            </w:r>
          </w:p>
        </w:tc>
        <w:tc>
          <w:tcPr>
            <w:tcW w:w="220" w:type="dxa"/>
            <w:vAlign w:val="bottom"/>
          </w:tcPr>
          <w:p>
            <w:pPr>
              <w:spacing w:after="0"/>
              <w:rPr>
                <w:sz w:val="13"/>
                <w:szCs w:val="13"/>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2"/>
              </w:rPr>
              <w:t>$ Change</w:t>
            </w:r>
          </w:p>
        </w:tc>
        <w:tc>
          <w:tcPr>
            <w:tcW w:w="200" w:type="dxa"/>
            <w:vAlign w:val="bottom"/>
          </w:tcPr>
          <w:p>
            <w:pPr>
              <w:spacing w:after="0"/>
              <w:rPr>
                <w:sz w:val="13"/>
                <w:szCs w:val="13"/>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 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20"/>
              <w:spacing w:after="0" w:line="146" w:lineRule="exact"/>
              <w:rPr>
                <w:sz w:val="20"/>
                <w:szCs w:val="20"/>
                <w:color w:val="auto"/>
              </w:rPr>
            </w:pPr>
            <w:r>
              <w:rPr>
                <w:rFonts w:ascii="Arial" w:cs="Arial" w:eastAsia="Arial" w:hAnsi="Arial"/>
                <w:sz w:val="16"/>
                <w:szCs w:val="16"/>
                <w:color w:val="auto"/>
              </w:rPr>
              <w:t>Professional services and other</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   14,500</w:t>
            </w:r>
          </w:p>
        </w:tc>
        <w:tc>
          <w:tcPr>
            <w:tcW w:w="22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11,743</w:t>
            </w:r>
          </w:p>
        </w:tc>
        <w:tc>
          <w:tcPr>
            <w:tcW w:w="2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2,757</w:t>
            </w:r>
          </w:p>
        </w:tc>
        <w:tc>
          <w:tcPr>
            <w:tcW w:w="1580" w:type="dxa"/>
            <w:vAlign w:val="bottom"/>
            <w:gridSpan w:val="4"/>
            <w:vMerge w:val="restart"/>
          </w:tcPr>
          <w:p>
            <w:pPr>
              <w:jc w:val="right"/>
              <w:ind w:right="100"/>
              <w:spacing w:after="0"/>
              <w:rPr>
                <w:sz w:val="20"/>
                <w:szCs w:val="20"/>
                <w:color w:val="auto"/>
              </w:rPr>
            </w:pPr>
            <w:r>
              <w:rPr>
                <w:rFonts w:ascii="Arial" w:cs="Arial" w:eastAsia="Arial" w:hAnsi="Arial"/>
                <w:sz w:val="16"/>
                <w:szCs w:val="16"/>
                <w:color w:val="auto"/>
              </w:rPr>
              <w:t>23 % $</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28,053</w:t>
            </w:r>
          </w:p>
        </w:tc>
        <w:tc>
          <w:tcPr>
            <w:tcW w:w="20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22,625</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5,428</w:t>
            </w:r>
          </w:p>
        </w:tc>
        <w:tc>
          <w:tcPr>
            <w:tcW w:w="1360" w:type="dxa"/>
            <w:vAlign w:val="bottom"/>
            <w:gridSpan w:val="3"/>
            <w:vMerge w:val="restart"/>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199"/>
        </w:trPr>
        <w:tc>
          <w:tcPr>
            <w:tcW w:w="2380" w:type="dxa"/>
            <w:vAlign w:val="bottom"/>
            <w:gridSpan w:val="2"/>
          </w:tcPr>
          <w:p>
            <w:pPr>
              <w:ind w:left="140"/>
              <w:spacing w:after="0"/>
              <w:rPr>
                <w:sz w:val="20"/>
                <w:szCs w:val="20"/>
                <w:color w:val="auto"/>
              </w:rPr>
            </w:pPr>
            <w:r>
              <w:rPr>
                <w:rFonts w:ascii="Arial" w:cs="Arial" w:eastAsia="Arial" w:hAnsi="Arial"/>
                <w:sz w:val="16"/>
                <w:szCs w:val="16"/>
                <w:color w:val="auto"/>
              </w:rPr>
              <w:t>cost of revenue</w:t>
            </w: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Percentage of professional</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155 %</w:t>
            </w:r>
          </w:p>
        </w:tc>
        <w:tc>
          <w:tcPr>
            <w:tcW w:w="220" w:type="dxa"/>
            <w:vAlign w:val="bottom"/>
          </w:tcPr>
          <w:p>
            <w:pPr>
              <w:spacing w:after="0"/>
              <w:rPr>
                <w:sz w:val="13"/>
                <w:szCs w:val="13"/>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113 %</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140 %</w:t>
            </w:r>
          </w:p>
        </w:tc>
        <w:tc>
          <w:tcPr>
            <w:tcW w:w="320" w:type="dxa"/>
            <w:vAlign w:val="bottom"/>
          </w:tcPr>
          <w:p>
            <w:pPr>
              <w:spacing w:after="0"/>
              <w:rPr>
                <w:sz w:val="13"/>
                <w:szCs w:val="13"/>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380" w:type="dxa"/>
            <w:vAlign w:val="bottom"/>
            <w:gridSpan w:val="2"/>
          </w:tcPr>
          <w:p>
            <w:pPr>
              <w:ind w:left="100"/>
              <w:spacing w:after="0"/>
              <w:rPr>
                <w:sz w:val="20"/>
                <w:szCs w:val="20"/>
                <w:color w:val="auto"/>
              </w:rPr>
            </w:pPr>
            <w:r>
              <w:rPr>
                <w:rFonts w:ascii="Arial" w:cs="Arial" w:eastAsia="Arial" w:hAnsi="Arial"/>
                <w:sz w:val="16"/>
                <w:szCs w:val="16"/>
                <w:color w:val="auto"/>
              </w:rPr>
              <w:t>services and other revenue</w:t>
            </w: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2228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3" w:right="299" w:bottom="1440" w:gutter="0" w:footer="0" w:header="0"/>
        </w:sectPr>
      </w:pPr>
    </w:p>
    <w:bookmarkStart w:id="26" w:name="page27"/>
    <w:bookmarkEnd w:id="26"/>
    <w:p>
      <w:pPr>
        <w:ind w:right="380" w:firstLine="749"/>
        <w:spacing w:after="0" w:line="261" w:lineRule="auto"/>
        <w:rPr>
          <w:sz w:val="20"/>
          <w:szCs w:val="20"/>
          <w:color w:val="auto"/>
        </w:rPr>
      </w:pPr>
      <w:r>
        <w:rPr>
          <w:rFonts w:ascii="Arial" w:cs="Arial" w:eastAsia="Arial" w:hAnsi="Arial"/>
          <w:sz w:val="18"/>
          <w:szCs w:val="18"/>
          <w:color w:val="auto"/>
        </w:rPr>
        <w:t>The increase in professional services and other cost of revenue for three and six months ended June 30, 2022 compared to the same period in 2021 was primarily due to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93"/>
              </w:rPr>
              <w:t>Change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99"/>
              </w:rPr>
              <w:t>Six Months</w:t>
            </w:r>
          </w:p>
        </w:tc>
        <w:tc>
          <w:tcPr>
            <w:tcW w:w="80" w:type="dxa"/>
            <w:vAlign w:val="bottom"/>
          </w:tcPr>
          <w:p>
            <w:pPr>
              <w:spacing w:after="0"/>
              <w:rPr>
                <w:sz w:val="18"/>
                <w:szCs w:val="18"/>
                <w:color w:val="auto"/>
              </w:rPr>
            </w:pPr>
          </w:p>
        </w:tc>
      </w:tr>
      <w:tr>
        <w:trPr>
          <w:trHeight w:val="196"/>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Employee-related costs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2,657</w:t>
            </w:r>
          </w:p>
        </w:tc>
        <w:tc>
          <w:tcPr>
            <w:tcW w:w="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5,099</w:t>
            </w:r>
          </w:p>
        </w:tc>
        <w:tc>
          <w:tcPr>
            <w:tcW w:w="80" w:type="dxa"/>
            <w:vAlign w:val="bottom"/>
            <w:shd w:val="clear" w:color="auto" w:fill="CFF0FC"/>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Allocated overhead expenses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w:t>
            </w:r>
          </w:p>
        </w:tc>
        <w:tc>
          <w:tcPr>
            <w:tcW w:w="80" w:type="dxa"/>
            <w:vAlign w:val="bottom"/>
          </w:tcPr>
          <w:p>
            <w:pPr>
              <w:spacing w:after="0"/>
              <w:rPr>
                <w:sz w:val="17"/>
                <w:szCs w:val="17"/>
                <w:color w:val="auto"/>
              </w:rPr>
            </w:pPr>
          </w:p>
        </w:tc>
      </w:tr>
      <w:tr>
        <w:trPr>
          <w:trHeight w:val="236"/>
        </w:trPr>
        <w:tc>
          <w:tcPr>
            <w:tcW w:w="50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2,757</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5,428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Employee-related costs increased as a result of increased headcount as we grew our professional services organization to support our customer growth. Allocated overhead expenses increased due to an increase in shared company expenses associated with our systems and infrastructure as we continued to grow our business.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ind w:left="340"/>
              <w:spacing w:after="0"/>
              <w:rPr>
                <w:sz w:val="20"/>
                <w:szCs w:val="20"/>
                <w:color w:val="auto"/>
              </w:rPr>
            </w:pPr>
            <w:r>
              <w:rPr>
                <w:rFonts w:ascii="Arial" w:cs="Arial" w:eastAsia="Arial" w:hAnsi="Arial"/>
                <w:sz w:val="13"/>
                <w:szCs w:val="13"/>
                <w:b w:val="1"/>
                <w:bCs w:val="1"/>
                <w:color w:val="auto"/>
                <w:w w:val="96"/>
              </w:rPr>
              <w:t>Three Months</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center"/>
              <w:ind w:left="287"/>
              <w:spacing w:after="0"/>
              <w:rPr>
                <w:sz w:val="20"/>
                <w:szCs w:val="20"/>
                <w:color w:val="auto"/>
              </w:rPr>
            </w:pPr>
            <w:r>
              <w:rPr>
                <w:rFonts w:ascii="Arial" w:cs="Arial" w:eastAsia="Arial" w:hAnsi="Arial"/>
                <w:sz w:val="13"/>
                <w:szCs w:val="13"/>
                <w:b w:val="1"/>
                <w:bCs w:val="1"/>
                <w:color w:val="auto"/>
                <w:w w:val="95"/>
              </w:rPr>
              <w:t>Six Months</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4"/>
        </w:trPr>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ind w:left="340"/>
              <w:spacing w:after="0"/>
              <w:rPr>
                <w:sz w:val="20"/>
                <w:szCs w:val="20"/>
                <w:color w:val="auto"/>
              </w:rPr>
            </w:pPr>
            <w:r>
              <w:rPr>
                <w:rFonts w:ascii="Arial" w:cs="Arial" w:eastAsia="Arial" w:hAnsi="Arial"/>
                <w:sz w:val="13"/>
                <w:szCs w:val="13"/>
                <w:b w:val="1"/>
                <w:bCs w:val="1"/>
                <w:color w:val="auto"/>
              </w:rPr>
              <w:t>Ended June 30,</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center"/>
              <w:ind w:left="327"/>
              <w:spacing w:after="0"/>
              <w:rPr>
                <w:sz w:val="20"/>
                <w:szCs w:val="20"/>
                <w:color w:val="auto"/>
              </w:rPr>
            </w:pPr>
            <w:r>
              <w:rPr>
                <w:rFonts w:ascii="Arial" w:cs="Arial" w:eastAsia="Arial" w:hAnsi="Arial"/>
                <w:sz w:val="13"/>
                <w:szCs w:val="13"/>
                <w:b w:val="1"/>
                <w:bCs w:val="1"/>
                <w:color w:val="auto"/>
                <w:w w:val="94"/>
              </w:rPr>
              <w:t>Ended June 30,</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44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64"/>
              <w:spacing w:after="0"/>
              <w:rPr>
                <w:sz w:val="20"/>
                <w:szCs w:val="20"/>
                <w:color w:val="auto"/>
              </w:rPr>
            </w:pPr>
            <w:r>
              <w:rPr>
                <w:rFonts w:ascii="Arial" w:cs="Arial" w:eastAsia="Arial" w:hAnsi="Arial"/>
                <w:sz w:val="13"/>
                <w:szCs w:val="13"/>
                <w:b w:val="1"/>
                <w:bCs w:val="1"/>
                <w:color w:val="auto"/>
                <w:w w:val="96"/>
              </w:rPr>
              <w:t>2021</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 Change</w:t>
            </w:r>
          </w:p>
        </w:tc>
        <w:tc>
          <w:tcPr>
            <w:tcW w:w="240" w:type="dxa"/>
            <w:vAlign w:val="bottom"/>
          </w:tcPr>
          <w:p>
            <w:pPr>
              <w:spacing w:after="0"/>
              <w:rPr>
                <w:sz w:val="13"/>
                <w:szCs w:val="13"/>
                <w:color w:val="auto"/>
              </w:rPr>
            </w:pPr>
          </w:p>
        </w:tc>
        <w:tc>
          <w:tcPr>
            <w:tcW w:w="116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rPr>
              <w:t>% Change</w:t>
            </w: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07"/>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44"/>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 Change</w:t>
            </w:r>
          </w:p>
        </w:tc>
        <w:tc>
          <w:tcPr>
            <w:tcW w:w="220" w:type="dxa"/>
            <w:vAlign w:val="bottom"/>
          </w:tcPr>
          <w:p>
            <w:pPr>
              <w:spacing w:after="0"/>
              <w:rPr>
                <w:sz w:val="13"/>
                <w:szCs w:val="13"/>
                <w:color w:val="auto"/>
              </w:rPr>
            </w:pPr>
          </w:p>
        </w:tc>
        <w:tc>
          <w:tcPr>
            <w:tcW w:w="1100" w:type="dxa"/>
            <w:vAlign w:val="bottom"/>
            <w:gridSpan w:val="2"/>
          </w:tcPr>
          <w:p>
            <w:pPr>
              <w:jc w:val="right"/>
              <w:ind w:right="239"/>
              <w:spacing w:after="0"/>
              <w:rPr>
                <w:sz w:val="20"/>
                <w:szCs w:val="20"/>
                <w:color w:val="auto"/>
              </w:rPr>
            </w:pPr>
            <w:r>
              <w:rPr>
                <w:rFonts w:ascii="Arial" w:cs="Arial" w:eastAsia="Arial" w:hAnsi="Arial"/>
                <w:sz w:val="13"/>
                <w:szCs w:val="13"/>
                <w:b w:val="1"/>
                <w:bCs w:val="1"/>
                <w:color w:val="auto"/>
              </w:rPr>
              <w:t>% Change</w:t>
            </w:r>
          </w:p>
        </w:tc>
      </w:tr>
      <w:tr>
        <w:trPr>
          <w:trHeight w:val="183"/>
        </w:trPr>
        <w:tc>
          <w:tcPr>
            <w:tcW w:w="230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5"/>
                <w:szCs w:val="15"/>
                <w:color w:val="auto"/>
              </w:rPr>
            </w:pPr>
          </w:p>
        </w:tc>
        <w:tc>
          <w:tcPr>
            <w:tcW w:w="200" w:type="dxa"/>
            <w:vAlign w:val="bottom"/>
            <w:tcBorders>
              <w:top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118,914</w:t>
            </w:r>
          </w:p>
        </w:tc>
        <w:tc>
          <w:tcPr>
            <w:tcW w:w="260" w:type="dxa"/>
            <w:vAlign w:val="bottom"/>
          </w:tcPr>
          <w:p>
            <w:pPr>
              <w:spacing w:after="0"/>
              <w:rPr>
                <w:sz w:val="15"/>
                <w:szCs w:val="15"/>
                <w:color w:val="auto"/>
              </w:rPr>
            </w:pPr>
          </w:p>
        </w:tc>
        <w:tc>
          <w:tcPr>
            <w:tcW w:w="22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72,104</w:t>
            </w:r>
          </w:p>
        </w:tc>
        <w:tc>
          <w:tcPr>
            <w:tcW w:w="260" w:type="dxa"/>
            <w:vAlign w:val="bottom"/>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   46,810</w:t>
            </w:r>
          </w:p>
        </w:tc>
        <w:tc>
          <w:tcPr>
            <w:tcW w:w="240" w:type="dxa"/>
            <w:vAlign w:val="bottom"/>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65</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w w:val="98"/>
              </w:rPr>
              <w:t>%</w:t>
            </w:r>
          </w:p>
        </w:tc>
        <w:tc>
          <w:tcPr>
            <w:tcW w:w="24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211,650</w:t>
            </w:r>
          </w:p>
        </w:tc>
        <w:tc>
          <w:tcPr>
            <w:tcW w:w="220" w:type="dxa"/>
            <w:vAlign w:val="bottom"/>
          </w:tcPr>
          <w:p>
            <w:pPr>
              <w:spacing w:after="0"/>
              <w:rPr>
                <w:sz w:val="15"/>
                <w:szCs w:val="15"/>
                <w:color w:val="auto"/>
              </w:rPr>
            </w:pPr>
          </w:p>
        </w:tc>
        <w:tc>
          <w:tcPr>
            <w:tcW w:w="300" w:type="dxa"/>
            <w:vAlign w:val="bottom"/>
            <w:tcBorders>
              <w:top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140,500</w:t>
            </w:r>
          </w:p>
        </w:tc>
        <w:tc>
          <w:tcPr>
            <w:tcW w:w="240" w:type="dxa"/>
            <w:vAlign w:val="bottom"/>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   71,150</w:t>
            </w:r>
          </w:p>
        </w:tc>
        <w:tc>
          <w:tcPr>
            <w:tcW w:w="220" w:type="dxa"/>
            <w:vAlign w:val="bottom"/>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51</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206"/>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28 %</w:t>
            </w:r>
          </w:p>
        </w:tc>
        <w:tc>
          <w:tcPr>
            <w:tcW w:w="2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23 %</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26 %</w:t>
            </w:r>
          </w:p>
        </w:tc>
        <w:tc>
          <w:tcPr>
            <w:tcW w:w="3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24 %</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200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24"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increase in research and development expense for the three and six months ended June 30, 2022 compared to the same period in 2021 was primarily due to the following:</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Three Months</w:t>
            </w:r>
          </w:p>
        </w:tc>
        <w:tc>
          <w:tcPr>
            <w:tcW w:w="180" w:type="dxa"/>
            <w:vAlign w:val="bottom"/>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8"/>
                <w:szCs w:val="18"/>
                <w:color w:val="auto"/>
              </w:rPr>
            </w:pPr>
          </w:p>
        </w:tc>
      </w:tr>
      <w:tr>
        <w:trPr>
          <w:trHeight w:val="169"/>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71"/>
              </w:rPr>
              <w:t>thousands)</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Employee-related costs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47,783</w:t>
            </w:r>
          </w:p>
        </w:tc>
        <w:tc>
          <w:tcPr>
            <w:tcW w:w="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73,625</w:t>
            </w:r>
          </w:p>
        </w:tc>
        <w:tc>
          <w:tcPr>
            <w:tcW w:w="80" w:type="dxa"/>
            <w:vAlign w:val="bottom"/>
            <w:shd w:val="clear" w:color="auto" w:fill="CFF0FC"/>
          </w:tcPr>
          <w:p>
            <w:pPr>
              <w:spacing w:after="0"/>
              <w:rPr>
                <w:sz w:val="17"/>
                <w:szCs w:val="17"/>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1,916</w:t>
            </w:r>
          </w:p>
        </w:tc>
        <w:tc>
          <w:tcPr>
            <w:tcW w:w="80" w:type="dxa"/>
            <w:vAlign w:val="bottom"/>
          </w:tcPr>
          <w:p>
            <w:pPr>
              <w:spacing w:after="0"/>
              <w:rPr>
                <w:sz w:val="19"/>
                <w:szCs w:val="19"/>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Hosting expenses</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(1,880 )</w:t>
            </w:r>
          </w:p>
        </w:tc>
        <w:tc>
          <w:tcPr>
            <w:tcW w:w="80" w:type="dxa"/>
            <w:vAlign w:val="bottom"/>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(4,391 )</w:t>
            </w:r>
          </w:p>
        </w:tc>
      </w:tr>
      <w:tr>
        <w:trPr>
          <w:trHeight w:val="196"/>
        </w:trPr>
        <w:tc>
          <w:tcPr>
            <w:tcW w:w="492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46,810</w:t>
            </w:r>
          </w:p>
        </w:tc>
        <w:tc>
          <w:tcPr>
            <w:tcW w:w="100" w:type="dxa"/>
            <w:vAlign w:val="bottom"/>
            <w:tcBorders>
              <w:top w:val="single" w:sz="8" w:color="CFF0FC"/>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71,150</w:t>
            </w:r>
          </w:p>
        </w:tc>
        <w:tc>
          <w:tcPr>
            <w:tcW w:w="80" w:type="dxa"/>
            <w:vAlign w:val="bottom"/>
            <w:tcBorders>
              <w:top w:val="single" w:sz="8" w:color="CFF0FC"/>
            </w:tcBorders>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-159385</wp:posOffset>
            </wp:positionV>
            <wp:extent cx="6032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Employee-related costs increased as a result of increased headcount as we continue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 and expand headcount. Hosting expense decreased due to incremental spend in the second quarter of 2021 associated with product development infrastructure that is unrelated to the hosting of our CRM Platform for paying Customers. In July of 2021, we launched a new data center and the ongoing expenses related to the hosting of our CRM Platform on that data center are classified as subscription cost of revenue.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18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Employee-related costs increased as a result of increased headcount as we continue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 and expand headcount. Hosting expense decreased due to incremental spend in the first half of 2021 associated with product development infrastructure that is unrelated to the hosting of our CRM Platform for paying Customers. In July of 2021, we launched a new data center and the ongoing expenses related to the hosting of our CRM Platform on that data center are classified as subscription cost of revenue.</w:t>
      </w:r>
    </w:p>
    <w:p>
      <w:pPr>
        <w:spacing w:after="0" w:line="35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ind w:left="400"/>
              <w:spacing w:after="0"/>
              <w:rPr>
                <w:sz w:val="20"/>
                <w:szCs w:val="20"/>
                <w:color w:val="auto"/>
              </w:rPr>
            </w:pPr>
            <w:r>
              <w:rPr>
                <w:rFonts w:ascii="Arial" w:cs="Arial" w:eastAsia="Arial" w:hAnsi="Arial"/>
                <w:sz w:val="13"/>
                <w:szCs w:val="13"/>
                <w:b w:val="1"/>
                <w:bCs w:val="1"/>
                <w:color w:val="auto"/>
                <w:w w:val="96"/>
              </w:rPr>
              <w:t>Three Months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4"/>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400"/>
              <w:spacing w:after="0"/>
              <w:rPr>
                <w:sz w:val="20"/>
                <w:szCs w:val="20"/>
                <w:color w:val="auto"/>
              </w:rPr>
            </w:pPr>
            <w:r>
              <w:rPr>
                <w:rFonts w:ascii="Arial" w:cs="Arial" w:eastAsia="Arial" w:hAnsi="Arial"/>
                <w:sz w:val="13"/>
                <w:szCs w:val="13"/>
                <w:b w:val="1"/>
                <w:bCs w:val="1"/>
                <w:color w:val="auto"/>
              </w:rPr>
              <w:t>Ended June 30,</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Ended June 30,</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44"/>
              <w:spacing w:after="0"/>
              <w:rPr>
                <w:sz w:val="20"/>
                <w:szCs w:val="20"/>
                <w:color w:val="auto"/>
              </w:rPr>
            </w:pPr>
            <w:r>
              <w:rPr>
                <w:rFonts w:ascii="Arial" w:cs="Arial" w:eastAsia="Arial" w:hAnsi="Arial"/>
                <w:sz w:val="13"/>
                <w:szCs w:val="13"/>
                <w:b w:val="1"/>
                <w:bCs w:val="1"/>
                <w:color w:val="auto"/>
                <w:w w:val="96"/>
              </w:rPr>
              <w:t>2021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3"/>
                <w:szCs w:val="13"/>
                <w:b w:val="1"/>
                <w:bCs w:val="1"/>
                <w:color w:val="auto"/>
                <w:w w:val="92"/>
              </w:rPr>
              <w:t>$ Change</w:t>
            </w:r>
          </w:p>
        </w:tc>
        <w:tc>
          <w:tcPr>
            <w:tcW w:w="22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3"/>
                <w:szCs w:val="13"/>
                <w:b w:val="1"/>
                <w:bCs w:val="1"/>
                <w:color w:val="auto"/>
                <w:w w:val="95"/>
              </w:rPr>
              <w:t>% Change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27"/>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26"/>
              <w:spacing w:after="0"/>
              <w:rPr>
                <w:sz w:val="20"/>
                <w:szCs w:val="20"/>
                <w:color w:val="auto"/>
              </w:rPr>
            </w:pPr>
            <w:r>
              <w:rPr>
                <w:rFonts w:ascii="Arial" w:cs="Arial" w:eastAsia="Arial" w:hAnsi="Arial"/>
                <w:sz w:val="13"/>
                <w:szCs w:val="13"/>
                <w:b w:val="1"/>
                <w:bCs w:val="1"/>
                <w:color w:val="auto"/>
                <w:w w:val="99"/>
              </w:rPr>
              <w:t>$ Change</w:t>
            </w:r>
          </w:p>
        </w:tc>
        <w:tc>
          <w:tcPr>
            <w:tcW w:w="200" w:type="dxa"/>
            <w:vAlign w:val="bottom"/>
          </w:tcPr>
          <w:p>
            <w:pPr>
              <w:spacing w:after="0"/>
              <w:rPr>
                <w:sz w:val="13"/>
                <w:szCs w:val="13"/>
                <w:color w:val="auto"/>
              </w:rPr>
            </w:pPr>
          </w:p>
        </w:tc>
        <w:tc>
          <w:tcPr>
            <w:tcW w:w="1140" w:type="dxa"/>
            <w:vAlign w:val="bottom"/>
            <w:gridSpan w:val="2"/>
          </w:tcPr>
          <w:p>
            <w:pPr>
              <w:jc w:val="right"/>
              <w:ind w:right="259"/>
              <w:spacing w:after="0"/>
              <w:rPr>
                <w:sz w:val="20"/>
                <w:szCs w:val="20"/>
                <w:color w:val="auto"/>
              </w:rPr>
            </w:pPr>
            <w:r>
              <w:rPr>
                <w:rFonts w:ascii="Arial" w:cs="Arial" w:eastAsia="Arial" w:hAnsi="Arial"/>
                <w:sz w:val="13"/>
                <w:szCs w:val="13"/>
                <w:b w:val="1"/>
                <w:bCs w:val="1"/>
                <w:color w:val="auto"/>
              </w:rPr>
              <w:t>% Change</w:t>
            </w:r>
          </w:p>
        </w:tc>
      </w:tr>
      <w:tr>
        <w:trPr>
          <w:trHeight w:val="183"/>
        </w:trPr>
        <w:tc>
          <w:tcPr>
            <w:tcW w:w="218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224,262</w:t>
            </w:r>
          </w:p>
        </w:tc>
        <w:tc>
          <w:tcPr>
            <w:tcW w:w="220" w:type="dxa"/>
            <w:vAlign w:val="bottom"/>
          </w:tcPr>
          <w:p>
            <w:pPr>
              <w:spacing w:after="0"/>
              <w:rPr>
                <w:sz w:val="15"/>
                <w:szCs w:val="15"/>
                <w:color w:val="auto"/>
              </w:rPr>
            </w:pPr>
          </w:p>
        </w:tc>
        <w:tc>
          <w:tcPr>
            <w:tcW w:w="320" w:type="dxa"/>
            <w:vAlign w:val="bottom"/>
            <w:tcBorders>
              <w:top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157,799</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66,463</w:t>
            </w: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78"/>
              </w:rPr>
              <w:t>42</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200" w:type="dxa"/>
            <w:vAlign w:val="bottom"/>
            <w:tcBorders>
              <w:top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421,396</w:t>
            </w:r>
          </w:p>
        </w:tc>
        <w:tc>
          <w:tcPr>
            <w:tcW w:w="200" w:type="dxa"/>
            <w:vAlign w:val="bottom"/>
          </w:tcPr>
          <w:p>
            <w:pPr>
              <w:spacing w:after="0"/>
              <w:rPr>
                <w:sz w:val="15"/>
                <w:szCs w:val="15"/>
                <w:color w:val="auto"/>
              </w:rPr>
            </w:pPr>
          </w:p>
        </w:tc>
        <w:tc>
          <w:tcPr>
            <w:tcW w:w="280" w:type="dxa"/>
            <w:vAlign w:val="bottom"/>
            <w:tcBorders>
              <w:top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298,817</w:t>
            </w:r>
          </w:p>
        </w:tc>
        <w:tc>
          <w:tcPr>
            <w:tcW w:w="200" w:type="dxa"/>
            <w:vAlign w:val="bottom"/>
          </w:tcPr>
          <w:p>
            <w:pPr>
              <w:spacing w:after="0"/>
              <w:rPr>
                <w:sz w:val="15"/>
                <w:szCs w:val="15"/>
                <w:color w:val="auto"/>
              </w:rPr>
            </w:pPr>
          </w:p>
        </w:tc>
        <w:tc>
          <w:tcPr>
            <w:tcW w:w="1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122,579</w:t>
            </w:r>
          </w:p>
        </w:tc>
        <w:tc>
          <w:tcPr>
            <w:tcW w:w="200" w:type="dxa"/>
            <w:vAlign w:val="bottom"/>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41</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206"/>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53 %</w:t>
            </w:r>
          </w:p>
        </w:tc>
        <w:tc>
          <w:tcPr>
            <w:tcW w:w="3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51 %</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52 %</w:t>
            </w:r>
          </w:p>
        </w:tc>
        <w:tc>
          <w:tcPr>
            <w:tcW w:w="2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50 %</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200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3" w:right="299" w:bottom="1440" w:gutter="0" w:footer="0" w:header="0"/>
        </w:sectPr>
      </w:pPr>
    </w:p>
    <w:bookmarkStart w:id="27" w:name="page28"/>
    <w:bookmarkEnd w:id="27"/>
    <w:p>
      <w:pPr>
        <w:ind w:right="240" w:firstLine="509"/>
        <w:spacing w:after="0" w:line="261" w:lineRule="auto"/>
        <w:rPr>
          <w:sz w:val="20"/>
          <w:szCs w:val="20"/>
          <w:color w:val="auto"/>
        </w:rPr>
      </w:pPr>
      <w:r>
        <w:rPr>
          <w:rFonts w:ascii="Arial" w:cs="Arial" w:eastAsia="Arial" w:hAnsi="Arial"/>
          <w:sz w:val="18"/>
          <w:szCs w:val="18"/>
          <w:color w:val="auto"/>
        </w:rPr>
        <w:t>The increase in sales and marketing expense for the three and six months ended June 30, 2022 compared to the same period in 2021 was primarily due to the following:</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Change</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5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8"/>
                <w:szCs w:val="18"/>
                <w:color w:val="auto"/>
              </w:rPr>
            </w:pPr>
          </w:p>
        </w:tc>
      </w:tr>
      <w:tr>
        <w:trPr>
          <w:trHeight w:val="169"/>
        </w:trPr>
        <w:tc>
          <w:tcPr>
            <w:tcW w:w="4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74"/>
              </w:rPr>
              <w:t>thousands)</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460" w:type="dxa"/>
            <w:vAlign w:val="bottom"/>
            <w:shd w:val="clear" w:color="auto" w:fill="CFF0FC"/>
          </w:tcPr>
          <w:p>
            <w:pPr>
              <w:jc w:val="right"/>
              <w:ind w:right="12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52,612</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91,384</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Solutions Partner commissions</w:t>
            </w:r>
          </w:p>
        </w:tc>
        <w:tc>
          <w:tcPr>
            <w:tcW w:w="1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14,195</w:t>
            </w:r>
          </w:p>
        </w:tc>
        <w:tc>
          <w:tcPr>
            <w:tcW w:w="8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Marketing programs</w:t>
            </w:r>
          </w:p>
        </w:tc>
        <w:tc>
          <w:tcPr>
            <w:tcW w:w="14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5,349</w:t>
            </w:r>
          </w:p>
        </w:tc>
        <w:tc>
          <w:tcPr>
            <w:tcW w:w="8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4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FF0FC"/>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Amortization of intangible asset</w:t>
            </w:r>
          </w:p>
        </w:tc>
        <w:tc>
          <w:tcPr>
            <w:tcW w:w="1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r>
      <w:tr>
        <w:trPr>
          <w:trHeight w:val="236"/>
        </w:trPr>
        <w:tc>
          <w:tcPr>
            <w:tcW w:w="458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127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66,463</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122,579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-25400</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180" w:firstLine="509"/>
        <w:spacing w:after="0" w:line="257" w:lineRule="auto"/>
        <w:rPr>
          <w:sz w:val="20"/>
          <w:szCs w:val="20"/>
          <w:color w:val="auto"/>
        </w:rPr>
      </w:pPr>
      <w:r>
        <w:rPr>
          <w:rFonts w:ascii="Arial" w:cs="Arial" w:eastAsia="Arial" w:hAnsi="Arial"/>
          <w:sz w:val="17"/>
          <w:szCs w:val="17"/>
          <w:color w:val="auto"/>
        </w:rPr>
        <w:t>Employee-related costs increased as a result of increased headcount as we expanded our selling and marketing organizations to grow our customer base. Solutions Partner commissions increased as a result of increased revenue generated through our Solutions Partners. Marketing programs increased due to the timing and size of certain marketing efforts as we made investments in attracting new customers. Allocated overhead expenses increased due to an increase in shared company expenses associated with our systems and infrastructure as we continued to grow our business. Professional fees increased due to an increase in the use of third-party services and contractors for our marketing efforts. Amortization of intangible assets increased primarily due to the purchase of a domain name in the three months ended June 30, 2022.</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185"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Employee-related costs increased as a result of increased headcount as we expanded our selling and marketing organizations to grow our customer base. Solutions Partner commissions increased as a result of increased revenue generated through our Solutions Partners. Marketing programs increased due to the timing and size of certain marketing efforts as we continue to make investments in attracting new customers. Allocated overhead expenses increased due to an increase in shared company expenses associated with our systems and infrastructure as we continued to grow our business. Professional fees increased due to an increase in the use of third-party services and contractors for our marketing efforts. Amortization of intangible assets increased primarily due to the purchase of a domain name in the six months ended June 30, 2022.</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ind w:left="360"/>
              <w:spacing w:after="0"/>
              <w:rPr>
                <w:sz w:val="20"/>
                <w:szCs w:val="20"/>
                <w:color w:val="auto"/>
              </w:rPr>
            </w:pPr>
            <w:r>
              <w:rPr>
                <w:rFonts w:ascii="Arial" w:cs="Arial" w:eastAsia="Arial" w:hAnsi="Arial"/>
                <w:sz w:val="13"/>
                <w:szCs w:val="13"/>
                <w:b w:val="1"/>
                <w:bCs w:val="1"/>
                <w:color w:val="auto"/>
                <w:w w:val="96"/>
              </w:rPr>
              <w:t>Three Months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4"/>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ind w:left="360"/>
              <w:spacing w:after="0"/>
              <w:rPr>
                <w:sz w:val="20"/>
                <w:szCs w:val="20"/>
                <w:color w:val="auto"/>
              </w:rPr>
            </w:pPr>
            <w:r>
              <w:rPr>
                <w:rFonts w:ascii="Arial" w:cs="Arial" w:eastAsia="Arial" w:hAnsi="Arial"/>
                <w:sz w:val="13"/>
                <w:szCs w:val="13"/>
                <w:b w:val="1"/>
                <w:bCs w:val="1"/>
                <w:color w:val="auto"/>
              </w:rPr>
              <w:t>Ended June 30,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Ended June 30,</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204"/>
              <w:spacing w:after="0"/>
              <w:rPr>
                <w:sz w:val="20"/>
                <w:szCs w:val="20"/>
                <w:color w:val="auto"/>
              </w:rPr>
            </w:pPr>
            <w:r>
              <w:rPr>
                <w:rFonts w:ascii="Arial" w:cs="Arial" w:eastAsia="Arial" w:hAnsi="Arial"/>
                <w:sz w:val="13"/>
                <w:szCs w:val="13"/>
                <w:b w:val="1"/>
                <w:bCs w:val="1"/>
                <w:color w:val="auto"/>
                <w:w w:val="96"/>
              </w:rPr>
              <w:t>2021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3"/>
                <w:szCs w:val="13"/>
                <w:b w:val="1"/>
                <w:bCs w:val="1"/>
                <w:color w:val="auto"/>
                <w:w w:val="92"/>
              </w:rPr>
              <w:t>$ Change</w:t>
            </w:r>
          </w:p>
        </w:tc>
        <w:tc>
          <w:tcPr>
            <w:tcW w:w="24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3"/>
                <w:szCs w:val="13"/>
                <w:b w:val="1"/>
                <w:bCs w:val="1"/>
                <w:color w:val="auto"/>
                <w:w w:val="95"/>
              </w:rPr>
              <w:t>% Change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27"/>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3"/>
                <w:szCs w:val="13"/>
                <w:b w:val="1"/>
                <w:bCs w:val="1"/>
                <w:color w:val="auto"/>
                <w:w w:val="92"/>
              </w:rPr>
              <w:t>$ Change</w:t>
            </w:r>
          </w:p>
        </w:tc>
        <w:tc>
          <w:tcPr>
            <w:tcW w:w="220" w:type="dxa"/>
            <w:vAlign w:val="bottom"/>
          </w:tcPr>
          <w:p>
            <w:pPr>
              <w:spacing w:after="0"/>
              <w:rPr>
                <w:sz w:val="13"/>
                <w:szCs w:val="13"/>
                <w:color w:val="auto"/>
              </w:rPr>
            </w:pPr>
          </w:p>
        </w:tc>
        <w:tc>
          <w:tcPr>
            <w:tcW w:w="1220" w:type="dxa"/>
            <w:vAlign w:val="bottom"/>
            <w:gridSpan w:val="2"/>
          </w:tcPr>
          <w:p>
            <w:pPr>
              <w:jc w:val="right"/>
              <w:ind w:right="299"/>
              <w:spacing w:after="0"/>
              <w:rPr>
                <w:sz w:val="20"/>
                <w:szCs w:val="20"/>
                <w:color w:val="auto"/>
              </w:rPr>
            </w:pPr>
            <w:r>
              <w:rPr>
                <w:rFonts w:ascii="Arial" w:cs="Arial" w:eastAsia="Arial" w:hAnsi="Arial"/>
                <w:sz w:val="13"/>
                <w:szCs w:val="13"/>
                <w:b w:val="1"/>
                <w:bCs w:val="1"/>
                <w:color w:val="auto"/>
              </w:rPr>
              <w:t>% Change</w:t>
            </w:r>
          </w:p>
        </w:tc>
      </w:tr>
      <w:tr>
        <w:trPr>
          <w:trHeight w:val="183"/>
        </w:trPr>
        <w:tc>
          <w:tcPr>
            <w:tcW w:w="232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51,898</w:t>
            </w:r>
          </w:p>
        </w:tc>
        <w:tc>
          <w:tcPr>
            <w:tcW w:w="240" w:type="dxa"/>
            <w:vAlign w:val="bottom"/>
          </w:tcPr>
          <w:p>
            <w:pPr>
              <w:spacing w:after="0"/>
              <w:rPr>
                <w:sz w:val="15"/>
                <w:szCs w:val="15"/>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34,610</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17,288</w:t>
            </w:r>
          </w:p>
        </w:tc>
        <w:tc>
          <w:tcPr>
            <w:tcW w:w="2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78"/>
              </w:rPr>
              <w:t>50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95,844</w:t>
            </w:r>
          </w:p>
        </w:tc>
        <w:tc>
          <w:tcPr>
            <w:tcW w:w="200" w:type="dxa"/>
            <w:vAlign w:val="bottom"/>
          </w:tcPr>
          <w:p>
            <w:pPr>
              <w:spacing w:after="0"/>
              <w:rPr>
                <w:sz w:val="15"/>
                <w:szCs w:val="15"/>
                <w:color w:val="auto"/>
              </w:rPr>
            </w:pPr>
          </w:p>
        </w:tc>
        <w:tc>
          <w:tcPr>
            <w:tcW w:w="24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66,860</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28,984</w:t>
            </w:r>
          </w:p>
        </w:tc>
        <w:tc>
          <w:tcPr>
            <w:tcW w:w="220" w:type="dxa"/>
            <w:vAlign w:val="bottom"/>
          </w:tcPr>
          <w:p>
            <w:pPr>
              <w:spacing w:after="0"/>
              <w:rPr>
                <w:sz w:val="15"/>
                <w:szCs w:val="15"/>
                <w:color w:val="auto"/>
              </w:rPr>
            </w:pPr>
          </w:p>
        </w:tc>
        <w:tc>
          <w:tcPr>
            <w:tcW w:w="10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43</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4"/>
              </w:rPr>
              <w:t>%</w:t>
            </w:r>
          </w:p>
        </w:tc>
      </w:tr>
      <w:tr>
        <w:trPr>
          <w:trHeight w:val="206"/>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12 %</w:t>
            </w:r>
          </w:p>
        </w:tc>
        <w:tc>
          <w:tcPr>
            <w:tcW w:w="2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c>
          <w:tcPr>
            <w:tcW w:w="2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200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2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increase in general and administrative expense for the three and six months ended June 30, 2022 compared to the same period in 2021 was primarily due to the following:</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8"/>
                <w:szCs w:val="18"/>
                <w:color w:val="auto"/>
              </w:rPr>
            </w:pPr>
          </w:p>
        </w:tc>
      </w:tr>
      <w:tr>
        <w:trPr>
          <w:trHeight w:val="169"/>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38"/>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76"/>
              </w:rPr>
              <w:t>thousands)</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Employee-related costs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14,546</w:t>
            </w: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24,018</w:t>
            </w:r>
          </w:p>
        </w:tc>
        <w:tc>
          <w:tcPr>
            <w:tcW w:w="8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Allocated overhead expenses</w:t>
            </w: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1,238</w:t>
            </w:r>
          </w:p>
        </w:tc>
        <w:tc>
          <w:tcPr>
            <w:tcW w:w="80" w:type="dxa"/>
            <w:vAlign w:val="bottom"/>
          </w:tcPr>
          <w:p>
            <w:pPr>
              <w:spacing w:after="0"/>
              <w:rPr>
                <w:sz w:val="17"/>
                <w:szCs w:val="17"/>
                <w:color w:val="auto"/>
              </w:rPr>
            </w:pPr>
          </w:p>
        </w:tc>
      </w:tr>
      <w:tr>
        <w:trPr>
          <w:trHeight w:val="203"/>
        </w:trPr>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Customer credit card fees</w:t>
            </w:r>
          </w:p>
        </w:tc>
        <w:tc>
          <w:tcPr>
            <w:tcW w:w="2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1,856</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3,728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28,984</w:t>
            </w:r>
          </w:p>
        </w:tc>
        <w:tc>
          <w:tcPr>
            <w:tcW w:w="8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-159385</wp:posOffset>
            </wp:positionV>
            <wp:extent cx="5969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580" w:firstLine="509"/>
        <w:spacing w:after="0" w:line="291" w:lineRule="auto"/>
        <w:rPr>
          <w:sz w:val="20"/>
          <w:szCs w:val="20"/>
          <w:color w:val="auto"/>
        </w:rPr>
      </w:pPr>
      <w:r>
        <w:rPr>
          <w:rFonts w:ascii="Arial" w:cs="Arial" w:eastAsia="Arial" w:hAnsi="Arial"/>
          <w:sz w:val="17"/>
          <w:szCs w:val="17"/>
          <w:color w:val="auto"/>
        </w:rPr>
        <w:t>Employee-related costs increased as a result of increased headcount as we grew our business and required additional personnel to support our expanded operations. Allocated overhead expenses increased due to an increase in shared company expenses associated</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03" w:right="299" w:bottom="1440" w:gutter="0" w:footer="0" w:header="0"/>
        </w:sectPr>
      </w:pPr>
    </w:p>
    <w:bookmarkStart w:id="28" w:name="page29"/>
    <w:bookmarkEnd w:id="28"/>
    <w:p>
      <w:pPr>
        <w:ind w:right="120"/>
        <w:spacing w:after="0" w:line="261" w:lineRule="auto"/>
        <w:rPr>
          <w:sz w:val="20"/>
          <w:szCs w:val="20"/>
          <w:color w:val="auto"/>
        </w:rPr>
      </w:pPr>
      <w:r>
        <w:rPr>
          <w:rFonts w:ascii="Arial" w:cs="Arial" w:eastAsia="Arial" w:hAnsi="Arial"/>
          <w:sz w:val="18"/>
          <w:szCs w:val="18"/>
          <w:color w:val="auto"/>
        </w:rPr>
        <w:t>with our systems and infrastructure as we continued to grow our business. Customer credit card fees increased due to increased customer transactions as we continue to grow our business.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171" w:lineRule="exact"/>
        <w:rPr>
          <w:sz w:val="20"/>
          <w:szCs w:val="20"/>
          <w:color w:val="auto"/>
        </w:rPr>
      </w:pPr>
    </w:p>
    <w:p>
      <w:pPr>
        <w:ind w:right="140" w:firstLine="509"/>
        <w:spacing w:after="0" w:line="322" w:lineRule="auto"/>
        <w:rPr>
          <w:sz w:val="20"/>
          <w:szCs w:val="20"/>
          <w:color w:val="auto"/>
        </w:rPr>
      </w:pPr>
      <w:r>
        <w:rPr>
          <w:rFonts w:ascii="Arial" w:cs="Arial" w:eastAsia="Arial" w:hAnsi="Arial"/>
          <w:sz w:val="15"/>
          <w:szCs w:val="15"/>
          <w:color w:val="auto"/>
        </w:rPr>
        <w:t>Employee-related costs increased as a result of increased headcount as we grew our business and required additional personnel to support our expanded operations. Allocated overhead expenses increased due to an increase in shared company expenses associated with our systems and infrastructure as we continued to grow our business. Customer credit card fees increased due to increased customer transactions as we continue to grow our business.</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ind w:left="340"/>
              <w:spacing w:after="0"/>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4"/>
        </w:trPr>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bottom w:val="single" w:sz="8" w:color="auto"/>
            </w:tcBorders>
            <w:gridSpan w:val="4"/>
          </w:tcPr>
          <w:p>
            <w:pPr>
              <w:ind w:left="340"/>
              <w:spacing w:after="0"/>
              <w:rPr>
                <w:sz w:val="20"/>
                <w:szCs w:val="20"/>
                <w:color w:val="auto"/>
              </w:rPr>
            </w:pPr>
            <w:r>
              <w:rPr>
                <w:rFonts w:ascii="Arial" w:cs="Arial" w:eastAsia="Arial" w:hAnsi="Arial"/>
                <w:sz w:val="13"/>
                <w:szCs w:val="13"/>
                <w:b w:val="1"/>
                <w:bCs w:val="1"/>
                <w:color w:val="auto"/>
              </w:rPr>
              <w:t>Ended June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3"/>
                <w:szCs w:val="13"/>
                <w:b w:val="1"/>
                <w:bCs w:val="1"/>
                <w:color w:val="auto"/>
              </w:rPr>
              <w:t>Ended June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304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620" w:type="dxa"/>
            <w:vAlign w:val="bottom"/>
          </w:tcPr>
          <w:p>
            <w:pPr>
              <w:jc w:val="right"/>
              <w:ind w:right="85"/>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121"/>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3"/>
                <w:szCs w:val="13"/>
                <w:b w:val="1"/>
                <w:bCs w:val="1"/>
                <w:color w:val="auto"/>
                <w:w w:val="95"/>
              </w:rPr>
              <w:t>$ Change</w:t>
            </w:r>
          </w:p>
        </w:tc>
        <w:tc>
          <w:tcPr>
            <w:tcW w:w="200" w:type="dxa"/>
            <w:vAlign w:val="bottom"/>
          </w:tcPr>
          <w:p>
            <w:pPr>
              <w:spacing w:after="0"/>
              <w:rPr>
                <w:sz w:val="13"/>
                <w:szCs w:val="13"/>
                <w:color w:val="auto"/>
              </w:rPr>
            </w:pPr>
          </w:p>
        </w:tc>
        <w:tc>
          <w:tcPr>
            <w:tcW w:w="900" w:type="dxa"/>
            <w:vAlign w:val="bottom"/>
          </w:tcPr>
          <w:p>
            <w:pPr>
              <w:ind w:left="280"/>
              <w:spacing w:after="0"/>
              <w:rPr>
                <w:sz w:val="20"/>
                <w:szCs w:val="20"/>
                <w:color w:val="auto"/>
              </w:rPr>
            </w:pPr>
            <w:r>
              <w:rPr>
                <w:rFonts w:ascii="Arial" w:cs="Arial" w:eastAsia="Arial" w:hAnsi="Arial"/>
                <w:sz w:val="13"/>
                <w:szCs w:val="13"/>
                <w:b w:val="1"/>
                <w:bCs w:val="1"/>
                <w:color w:val="auto"/>
                <w:w w:val="95"/>
              </w:rPr>
              <w:t>% Change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20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ind w:right="101"/>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3"/>
                <w:szCs w:val="13"/>
                <w:b w:val="1"/>
                <w:bCs w:val="1"/>
                <w:color w:val="auto"/>
                <w:w w:val="95"/>
              </w:rPr>
              <w:t>$ Change</w:t>
            </w:r>
          </w:p>
        </w:tc>
        <w:tc>
          <w:tcPr>
            <w:tcW w:w="220" w:type="dxa"/>
            <w:vAlign w:val="bottom"/>
          </w:tcPr>
          <w:p>
            <w:pPr>
              <w:spacing w:after="0"/>
              <w:rPr>
                <w:sz w:val="13"/>
                <w:szCs w:val="13"/>
                <w:color w:val="auto"/>
              </w:rPr>
            </w:pPr>
          </w:p>
        </w:tc>
        <w:tc>
          <w:tcPr>
            <w:tcW w:w="980" w:type="dxa"/>
            <w:vAlign w:val="bottom"/>
            <w:gridSpan w:val="2"/>
          </w:tcPr>
          <w:p>
            <w:pPr>
              <w:jc w:val="right"/>
              <w:ind w:right="175"/>
              <w:spacing w:after="0"/>
              <w:rPr>
                <w:sz w:val="20"/>
                <w:szCs w:val="20"/>
                <w:color w:val="auto"/>
              </w:rPr>
            </w:pPr>
            <w:r>
              <w:rPr>
                <w:rFonts w:ascii="Arial" w:cs="Arial" w:eastAsia="Arial" w:hAnsi="Arial"/>
                <w:sz w:val="13"/>
                <w:szCs w:val="13"/>
                <w:b w:val="1"/>
                <w:bCs w:val="1"/>
                <w:color w:val="auto"/>
              </w:rPr>
              <w:t>% Change</w:t>
            </w:r>
          </w:p>
        </w:tc>
      </w:tr>
      <w:tr>
        <w:trPr>
          <w:trHeight w:val="178"/>
        </w:trPr>
        <w:tc>
          <w:tcPr>
            <w:tcW w:w="2920" w:type="dxa"/>
            <w:vAlign w:val="bottom"/>
            <w:tcBorders>
              <w:top w:val="single" w:sz="8" w:color="auto"/>
            </w:tcBorders>
          </w:tcPr>
          <w:p>
            <w:pPr>
              <w:ind w:left="20"/>
              <w:spacing w:after="0" w:line="178" w:lineRule="exact"/>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5"/>
                <w:szCs w:val="15"/>
                <w:color w:val="auto"/>
              </w:rPr>
            </w:pPr>
          </w:p>
        </w:tc>
        <w:tc>
          <w:tcPr>
            <w:tcW w:w="6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97"/>
              </w:rPr>
              <w:t>$  2,050</w:t>
            </w:r>
          </w:p>
        </w:tc>
        <w:tc>
          <w:tcPr>
            <w:tcW w:w="240" w:type="dxa"/>
            <w:vAlign w:val="bottom"/>
          </w:tcPr>
          <w:p>
            <w:pPr>
              <w:spacing w:after="0"/>
              <w:rPr>
                <w:sz w:val="15"/>
                <w:szCs w:val="15"/>
                <w:color w:val="auto"/>
              </w:rPr>
            </w:pPr>
          </w:p>
        </w:tc>
        <w:tc>
          <w:tcPr>
            <w:tcW w:w="1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341</w:t>
            </w:r>
          </w:p>
        </w:tc>
        <w:tc>
          <w:tcPr>
            <w:tcW w:w="240" w:type="dxa"/>
            <w:vAlign w:val="bottom"/>
          </w:tcPr>
          <w:p>
            <w:pPr>
              <w:spacing w:after="0"/>
              <w:rPr>
                <w:sz w:val="15"/>
                <w:szCs w:val="15"/>
                <w:color w:val="auto"/>
              </w:rPr>
            </w:pPr>
          </w:p>
        </w:tc>
        <w:tc>
          <w:tcPr>
            <w:tcW w:w="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1,709</w:t>
            </w: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501</w:t>
            </w:r>
          </w:p>
        </w:tc>
        <w:tc>
          <w:tcPr>
            <w:tcW w:w="220" w:type="dxa"/>
            <w:vAlign w:val="bottom"/>
          </w:tcPr>
          <w:p>
            <w:pPr>
              <w:jc w:val="right"/>
              <w:spacing w:after="0" w:line="178" w:lineRule="exact"/>
              <w:rPr>
                <w:sz w:val="20"/>
                <w:szCs w:val="20"/>
                <w:color w:val="auto"/>
              </w:rPr>
            </w:pPr>
            <w:r>
              <w:rPr>
                <w:rFonts w:ascii="Arial" w:cs="Arial" w:eastAsia="Arial" w:hAnsi="Arial"/>
                <w:sz w:val="17"/>
                <w:szCs w:val="17"/>
                <w:color w:val="auto"/>
                <w:w w:val="92"/>
              </w:rPr>
              <w:t>%</w:t>
            </w:r>
          </w:p>
        </w:tc>
        <w:tc>
          <w:tcPr>
            <w:tcW w:w="200" w:type="dxa"/>
            <w:vAlign w:val="bottom"/>
            <w:tcBorders>
              <w:top w:val="single" w:sz="8" w:color="auto"/>
            </w:tcBorders>
          </w:tcPr>
          <w:p>
            <w:pPr>
              <w:jc w:val="right"/>
              <w:ind w:right="15"/>
              <w:spacing w:after="0" w:line="178" w:lineRule="exact"/>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2,564</w:t>
            </w:r>
          </w:p>
        </w:tc>
        <w:tc>
          <w:tcPr>
            <w:tcW w:w="220" w:type="dxa"/>
            <w:vAlign w:val="bottom"/>
          </w:tcPr>
          <w:p>
            <w:pPr>
              <w:spacing w:after="0"/>
              <w:rPr>
                <w:sz w:val="15"/>
                <w:szCs w:val="15"/>
                <w:color w:val="auto"/>
              </w:rPr>
            </w:pPr>
          </w:p>
        </w:tc>
        <w:tc>
          <w:tcPr>
            <w:tcW w:w="1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816</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1,748</w:t>
            </w:r>
          </w:p>
        </w:tc>
        <w:tc>
          <w:tcPr>
            <w:tcW w:w="220" w:type="dxa"/>
            <w:vAlign w:val="bottom"/>
          </w:tcPr>
          <w:p>
            <w:pPr>
              <w:spacing w:after="0"/>
              <w:rPr>
                <w:sz w:val="15"/>
                <w:szCs w:val="15"/>
                <w:color w:val="auto"/>
              </w:rPr>
            </w:pPr>
          </w:p>
        </w:tc>
        <w:tc>
          <w:tcPr>
            <w:tcW w:w="8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214</w:t>
            </w:r>
          </w:p>
        </w:tc>
        <w:tc>
          <w:tcPr>
            <w:tcW w:w="140" w:type="dxa"/>
            <w:vAlign w:val="bottom"/>
          </w:tcPr>
          <w:p>
            <w:pPr>
              <w:jc w:val="right"/>
              <w:spacing w:after="0" w:line="178" w:lineRule="exact"/>
              <w:rPr>
                <w:sz w:val="20"/>
                <w:szCs w:val="20"/>
                <w:color w:val="auto"/>
              </w:rPr>
            </w:pPr>
            <w:r>
              <w:rPr>
                <w:rFonts w:ascii="Arial" w:cs="Arial" w:eastAsia="Arial" w:hAnsi="Arial"/>
                <w:sz w:val="17"/>
                <w:szCs w:val="17"/>
                <w:color w:val="auto"/>
                <w:w w:val="79"/>
              </w:rPr>
              <w:t>%</w:t>
            </w: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7"/>
                <w:szCs w:val="17"/>
                <w:color w:val="auto"/>
              </w:rPr>
              <w:t>Percentage of total revenue</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171" w:lineRule="exact"/>
        <w:rPr>
          <w:sz w:val="20"/>
          <w:szCs w:val="20"/>
          <w:color w:val="auto"/>
        </w:rPr>
      </w:pPr>
    </w:p>
    <w:p>
      <w:pPr>
        <w:ind w:right="220" w:firstLine="544"/>
        <w:spacing w:after="0" w:line="261"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increase during the three and six months ended June 30, 2022 is due to an increase in yields on our investment balances.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ind w:left="420"/>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center"/>
              <w:ind w:left="365"/>
              <w:spacing w:after="0"/>
              <w:rPr>
                <w:sz w:val="20"/>
                <w:szCs w:val="20"/>
                <w:color w:val="auto"/>
              </w:rPr>
            </w:pPr>
            <w:r>
              <w:rPr>
                <w:rFonts w:ascii="Arial" w:cs="Arial" w:eastAsia="Arial" w:hAnsi="Arial"/>
                <w:sz w:val="13"/>
                <w:szCs w:val="13"/>
                <w:b w:val="1"/>
                <w:bCs w:val="1"/>
                <w:color w:val="auto"/>
                <w:w w:val="95"/>
              </w:rPr>
              <w:t>Six Months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4"/>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420"/>
              <w:spacing w:after="0"/>
              <w:rPr>
                <w:sz w:val="20"/>
                <w:szCs w:val="20"/>
                <w:color w:val="auto"/>
              </w:rPr>
            </w:pPr>
            <w:r>
              <w:rPr>
                <w:rFonts w:ascii="Arial" w:cs="Arial" w:eastAsia="Arial" w:hAnsi="Arial"/>
                <w:sz w:val="13"/>
                <w:szCs w:val="13"/>
                <w:b w:val="1"/>
                <w:bCs w:val="1"/>
                <w:color w:val="auto"/>
              </w:rPr>
              <w:t>Ended June 30,</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6"/>
          </w:tcPr>
          <w:p>
            <w:pPr>
              <w:jc w:val="center"/>
              <w:ind w:right="375"/>
              <w:spacing w:after="0"/>
              <w:rPr>
                <w:sz w:val="20"/>
                <w:szCs w:val="20"/>
                <w:color w:val="auto"/>
              </w:rPr>
            </w:pPr>
            <w:r>
              <w:rPr>
                <w:rFonts w:ascii="Arial" w:cs="Arial" w:eastAsia="Arial" w:hAnsi="Arial"/>
                <w:sz w:val="13"/>
                <w:szCs w:val="13"/>
                <w:b w:val="1"/>
                <w:bCs w:val="1"/>
                <w:color w:val="auto"/>
                <w:w w:val="92"/>
              </w:rPr>
              <w:t>Ended June 30,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250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900" w:type="dxa"/>
            <w:vAlign w:val="bottom"/>
            <w:gridSpan w:val="2"/>
          </w:tcPr>
          <w:p>
            <w:pPr>
              <w:jc w:val="center"/>
              <w:ind w:right="155"/>
              <w:spacing w:after="0"/>
              <w:rPr>
                <w:sz w:val="20"/>
                <w:szCs w:val="20"/>
                <w:color w:val="auto"/>
              </w:rPr>
            </w:pPr>
            <w:r>
              <w:rPr>
                <w:rFonts w:ascii="Arial" w:cs="Arial" w:eastAsia="Arial" w:hAnsi="Arial"/>
                <w:sz w:val="13"/>
                <w:szCs w:val="13"/>
                <w:b w:val="1"/>
                <w:bCs w:val="1"/>
                <w:color w:val="auto"/>
                <w:w w:val="92"/>
              </w:rPr>
              <w:t>$ Change</w:t>
            </w:r>
          </w:p>
        </w:tc>
        <w:tc>
          <w:tcPr>
            <w:tcW w:w="1180" w:type="dxa"/>
            <w:vAlign w:val="bottom"/>
            <w:gridSpan w:val="2"/>
          </w:tcPr>
          <w:p>
            <w:pPr>
              <w:jc w:val="right"/>
              <w:ind w:right="315"/>
              <w:spacing w:after="0"/>
              <w:rPr>
                <w:sz w:val="20"/>
                <w:szCs w:val="20"/>
                <w:color w:val="auto"/>
              </w:rPr>
            </w:pPr>
            <w:r>
              <w:rPr>
                <w:rFonts w:ascii="Arial" w:cs="Arial" w:eastAsia="Arial" w:hAnsi="Arial"/>
                <w:sz w:val="13"/>
                <w:szCs w:val="13"/>
                <w:b w:val="1"/>
                <w:bCs w:val="1"/>
                <w:color w:val="auto"/>
              </w:rPr>
              <w:t>% Change</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61"/>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75"/>
              <w:spacing w:after="0"/>
              <w:rPr>
                <w:sz w:val="20"/>
                <w:szCs w:val="20"/>
                <w:color w:val="auto"/>
              </w:rPr>
            </w:pPr>
            <w:r>
              <w:rPr>
                <w:rFonts w:ascii="Arial" w:cs="Arial" w:eastAsia="Arial" w:hAnsi="Arial"/>
                <w:sz w:val="13"/>
                <w:szCs w:val="13"/>
                <w:b w:val="1"/>
                <w:bCs w:val="1"/>
                <w:color w:val="auto"/>
                <w:w w:val="95"/>
              </w:rPr>
              <w:t>$ Change</w:t>
            </w:r>
          </w:p>
        </w:tc>
        <w:tc>
          <w:tcPr>
            <w:tcW w:w="1260" w:type="dxa"/>
            <w:vAlign w:val="bottom"/>
            <w:gridSpan w:val="2"/>
          </w:tcPr>
          <w:p>
            <w:pPr>
              <w:jc w:val="right"/>
              <w:ind w:right="335"/>
              <w:spacing w:after="0"/>
              <w:rPr>
                <w:sz w:val="20"/>
                <w:szCs w:val="20"/>
                <w:color w:val="auto"/>
              </w:rPr>
            </w:pPr>
            <w:r>
              <w:rPr>
                <w:rFonts w:ascii="Arial" w:cs="Arial" w:eastAsia="Arial" w:hAnsi="Arial"/>
                <w:sz w:val="13"/>
                <w:szCs w:val="13"/>
                <w:b w:val="1"/>
                <w:bCs w:val="1"/>
                <w:color w:val="auto"/>
              </w:rPr>
              <w:t>% Change</w:t>
            </w:r>
          </w:p>
        </w:tc>
      </w:tr>
      <w:tr>
        <w:trPr>
          <w:trHeight w:val="178"/>
        </w:trPr>
        <w:tc>
          <w:tcPr>
            <w:tcW w:w="2380" w:type="dxa"/>
            <w:vAlign w:val="bottom"/>
            <w:tcBorders>
              <w:top w:val="single" w:sz="8" w:color="auto"/>
            </w:tcBorders>
          </w:tcPr>
          <w:p>
            <w:pPr>
              <w:ind w:left="20"/>
              <w:spacing w:after="0" w:line="178" w:lineRule="exact"/>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(949</w:t>
            </w:r>
          </w:p>
        </w:tc>
        <w:tc>
          <w:tcPr>
            <w:tcW w:w="260" w:type="dxa"/>
            <w:vAlign w:val="bottom"/>
          </w:tcPr>
          <w:p>
            <w:pPr>
              <w:jc w:val="right"/>
              <w:ind w:right="95"/>
              <w:spacing w:after="0" w:line="178"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auto"/>
            </w:tcBorders>
          </w:tcPr>
          <w:p>
            <w:pPr>
              <w:jc w:val="right"/>
              <w:ind w:right="35"/>
              <w:spacing w:after="0" w:line="178"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(7,179</w:t>
            </w:r>
          </w:p>
        </w:tc>
        <w:tc>
          <w:tcPr>
            <w:tcW w:w="240" w:type="dxa"/>
            <w:vAlign w:val="bottom"/>
          </w:tcPr>
          <w:p>
            <w:pPr>
              <w:jc w:val="right"/>
              <w:ind w:right="100"/>
              <w:spacing w:after="0" w:line="178" w:lineRule="exact"/>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95"/>
              </w:rPr>
              <w:t>$  (6,230</w:t>
            </w:r>
          </w:p>
        </w:tc>
        <w:tc>
          <w:tcPr>
            <w:tcW w:w="220" w:type="dxa"/>
            <w:vAlign w:val="bottom"/>
          </w:tcPr>
          <w:p>
            <w:pPr>
              <w:jc w:val="right"/>
              <w:ind w:right="55"/>
              <w:spacing w:after="0" w:line="178"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(87</w:t>
            </w:r>
          </w:p>
        </w:tc>
        <w:tc>
          <w:tcPr>
            <w:tcW w:w="220" w:type="dxa"/>
            <w:vAlign w:val="bottom"/>
          </w:tcPr>
          <w:p>
            <w:pPr>
              <w:jc w:val="right"/>
              <w:spacing w:after="0" w:line="178" w:lineRule="exact"/>
              <w:rPr>
                <w:sz w:val="20"/>
                <w:szCs w:val="20"/>
                <w:color w:val="auto"/>
              </w:rPr>
            </w:pPr>
            <w:r>
              <w:rPr>
                <w:rFonts w:ascii="Arial" w:cs="Arial" w:eastAsia="Arial" w:hAnsi="Arial"/>
                <w:sz w:val="17"/>
                <w:szCs w:val="17"/>
                <w:color w:val="auto"/>
                <w:w w:val="96"/>
              </w:rPr>
              <w:t>)%</w:t>
            </w:r>
          </w:p>
        </w:tc>
        <w:tc>
          <w:tcPr>
            <w:tcW w:w="1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(1,898</w:t>
            </w:r>
          </w:p>
        </w:tc>
        <w:tc>
          <w:tcPr>
            <w:tcW w:w="220" w:type="dxa"/>
            <w:vAlign w:val="bottom"/>
          </w:tcPr>
          <w:p>
            <w:pPr>
              <w:jc w:val="right"/>
              <w:ind w:right="55"/>
              <w:spacing w:after="0" w:line="178" w:lineRule="exact"/>
              <w:rPr>
                <w:sz w:val="20"/>
                <w:szCs w:val="20"/>
                <w:color w:val="auto"/>
              </w:rPr>
            </w:pPr>
            <w:r>
              <w:rPr>
                <w:rFonts w:ascii="Arial" w:cs="Arial" w:eastAsia="Arial" w:hAnsi="Arial"/>
                <w:sz w:val="17"/>
                <w:szCs w:val="17"/>
                <w:color w:val="auto"/>
              </w:rPr>
              <w:t>)</w:t>
            </w:r>
          </w:p>
        </w:tc>
        <w:tc>
          <w:tcPr>
            <w:tcW w:w="340" w:type="dxa"/>
            <w:vAlign w:val="bottom"/>
            <w:tcBorders>
              <w:top w:val="single" w:sz="8" w:color="auto"/>
            </w:tcBorders>
          </w:tcPr>
          <w:p>
            <w:pPr>
              <w:jc w:val="right"/>
              <w:ind w:right="155"/>
              <w:spacing w:after="0" w:line="178"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(16,578</w:t>
            </w:r>
          </w:p>
        </w:tc>
        <w:tc>
          <w:tcPr>
            <w:tcW w:w="220" w:type="dxa"/>
            <w:vAlign w:val="bottom"/>
          </w:tcPr>
          <w:p>
            <w:pPr>
              <w:jc w:val="right"/>
              <w:ind w:right="55"/>
              <w:spacing w:after="0" w:line="178" w:lineRule="exact"/>
              <w:rPr>
                <w:sz w:val="20"/>
                <w:szCs w:val="20"/>
                <w:color w:val="auto"/>
              </w:rPr>
            </w:pPr>
            <w:r>
              <w:rPr>
                <w:rFonts w:ascii="Arial" w:cs="Arial" w:eastAsia="Arial" w:hAnsi="Arial"/>
                <w:sz w:val="17"/>
                <w:szCs w:val="17"/>
                <w:color w:val="auto"/>
              </w:rPr>
              <w:t>)</w:t>
            </w:r>
          </w:p>
        </w:tc>
        <w:tc>
          <w:tcPr>
            <w:tcW w:w="1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(14,680</w:t>
            </w:r>
          </w:p>
        </w:tc>
        <w:tc>
          <w:tcPr>
            <w:tcW w:w="220" w:type="dxa"/>
            <w:vAlign w:val="bottom"/>
          </w:tcPr>
          <w:p>
            <w:pPr>
              <w:jc w:val="right"/>
              <w:ind w:right="55"/>
              <w:spacing w:after="0" w:line="178"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(89</w:t>
            </w:r>
          </w:p>
        </w:tc>
        <w:tc>
          <w:tcPr>
            <w:tcW w:w="200" w:type="dxa"/>
            <w:vAlign w:val="bottom"/>
          </w:tcPr>
          <w:p>
            <w:pPr>
              <w:jc w:val="right"/>
              <w:spacing w:after="0" w:line="178" w:lineRule="exact"/>
              <w:rPr>
                <w:sz w:val="20"/>
                <w:szCs w:val="20"/>
                <w:color w:val="auto"/>
              </w:rPr>
            </w:pPr>
            <w:r>
              <w:rPr>
                <w:rFonts w:ascii="Arial" w:cs="Arial" w:eastAsia="Arial" w:hAnsi="Arial"/>
                <w:sz w:val="17"/>
                <w:szCs w:val="17"/>
                <w:color w:val="auto"/>
                <w:w w:val="86"/>
              </w:rPr>
              <w:t>)%</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7"/>
                <w:szCs w:val="17"/>
                <w:color w:val="auto"/>
              </w:rPr>
              <w:t>Percentage of total revenue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(2 )%</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change in interest expense for the three and six months ended June 30, 2022 compared to the same period in 2021 is due to the following:</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right"/>
              <w:ind w:right="167"/>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8"/>
                <w:szCs w:val="18"/>
                <w:color w:val="auto"/>
              </w:rPr>
            </w:pPr>
          </w:p>
        </w:tc>
      </w:tr>
      <w:tr>
        <w:trPr>
          <w:trHeight w:val="196"/>
        </w:trPr>
        <w:tc>
          <w:tcPr>
            <w:tcW w:w="5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62"/>
        </w:trPr>
        <w:tc>
          <w:tcPr>
            <w:tcW w:w="5560" w:type="dxa"/>
            <w:vAlign w:val="bottom"/>
          </w:tcPr>
          <w:p>
            <w:pPr>
              <w:spacing w:after="0" w:line="162" w:lineRule="exact"/>
              <w:rPr>
                <w:sz w:val="20"/>
                <w:szCs w:val="20"/>
                <w:color w:val="auto"/>
              </w:rPr>
            </w:pPr>
            <w:r>
              <w:rPr>
                <w:rFonts w:ascii="Arial" w:cs="Arial" w:eastAsia="Arial" w:hAnsi="Arial"/>
                <w:sz w:val="18"/>
                <w:szCs w:val="18"/>
                <w:color w:val="auto"/>
              </w:rPr>
              <w:t>Amortization of the debt discount and issuance costs and</w:t>
            </w:r>
          </w:p>
        </w:tc>
        <w:tc>
          <w:tcPr>
            <w:tcW w:w="220" w:type="dxa"/>
            <w:vAlign w:val="bottom"/>
          </w:tcPr>
          <w:p>
            <w:pPr>
              <w:jc w:val="right"/>
              <w:ind w:right="30"/>
              <w:spacing w:after="0" w:line="16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line="162" w:lineRule="exact"/>
              <w:rPr>
                <w:sz w:val="20"/>
                <w:szCs w:val="20"/>
                <w:color w:val="auto"/>
              </w:rPr>
            </w:pPr>
            <w:r>
              <w:rPr>
                <w:rFonts w:ascii="Arial" w:cs="Arial" w:eastAsia="Arial" w:hAnsi="Arial"/>
                <w:sz w:val="18"/>
                <w:szCs w:val="18"/>
                <w:color w:val="auto"/>
              </w:rPr>
              <w:t>(5,547 )</w:t>
            </w:r>
          </w:p>
        </w:tc>
        <w:tc>
          <w:tcPr>
            <w:tcW w:w="100" w:type="dxa"/>
            <w:vAlign w:val="bottom"/>
          </w:tcPr>
          <w:p>
            <w:pPr>
              <w:spacing w:after="0"/>
              <w:rPr>
                <w:sz w:val="14"/>
                <w:szCs w:val="14"/>
                <w:color w:val="auto"/>
              </w:rPr>
            </w:pPr>
          </w:p>
        </w:tc>
        <w:tc>
          <w:tcPr>
            <w:tcW w:w="400" w:type="dxa"/>
            <w:vAlign w:val="bottom"/>
          </w:tcPr>
          <w:p>
            <w:pPr>
              <w:jc w:val="right"/>
              <w:ind w:right="247"/>
              <w:spacing w:after="0" w:line="162" w:lineRule="exact"/>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line="162" w:lineRule="exact"/>
              <w:rPr>
                <w:sz w:val="20"/>
                <w:szCs w:val="20"/>
                <w:color w:val="auto"/>
              </w:rPr>
            </w:pPr>
            <w:r>
              <w:rPr>
                <w:rFonts w:ascii="Arial" w:cs="Arial" w:eastAsia="Arial" w:hAnsi="Arial"/>
                <w:sz w:val="18"/>
                <w:szCs w:val="18"/>
                <w:color w:val="auto"/>
              </w:rPr>
              <w:t>(11,593 )</w:t>
            </w:r>
          </w:p>
        </w:tc>
      </w:tr>
      <w:tr>
        <w:trPr>
          <w:trHeight w:val="216"/>
        </w:trPr>
        <w:tc>
          <w:tcPr>
            <w:tcW w:w="5560" w:type="dxa"/>
            <w:vAlign w:val="bottom"/>
          </w:tcPr>
          <w:p>
            <w:pPr>
              <w:ind w:left="100"/>
              <w:spacing w:after="0"/>
              <w:rPr>
                <w:sz w:val="20"/>
                <w:szCs w:val="20"/>
                <w:color w:val="auto"/>
              </w:rPr>
            </w:pPr>
            <w:r>
              <w:rPr>
                <w:rFonts w:ascii="Arial" w:cs="Arial" w:eastAsia="Arial" w:hAnsi="Arial"/>
                <w:sz w:val="18"/>
                <w:szCs w:val="18"/>
                <w:color w:val="auto"/>
              </w:rPr>
              <w:t>contractual interest expense related to our Notes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Loss on early extinguishment of 2022 Convertible Notes</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(683 )</w:t>
            </w:r>
          </w:p>
        </w:tc>
        <w:tc>
          <w:tcPr>
            <w:tcW w:w="100" w:type="dxa"/>
            <w:vAlign w:val="bottom"/>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(3,087 )</w:t>
            </w:r>
          </w:p>
        </w:tc>
      </w:tr>
      <w:tr>
        <w:trPr>
          <w:trHeight w:val="20"/>
        </w:trPr>
        <w:tc>
          <w:tcPr>
            <w:tcW w:w="5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55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(6,230 )</w:t>
            </w:r>
          </w:p>
        </w:tc>
        <w:tc>
          <w:tcPr>
            <w:tcW w:w="10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(14,680 )</w:t>
            </w:r>
          </w:p>
        </w:tc>
      </w:tr>
      <w:tr>
        <w:trPr>
          <w:trHeight w:val="20"/>
        </w:trPr>
        <w:tc>
          <w:tcPr>
            <w:tcW w:w="5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-159385</wp:posOffset>
            </wp:positionV>
            <wp:extent cx="5969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85"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The decrease in interest expense related to the Notes and loss on extinguishment is primarily due to the adoption of the new convertible debt guidance.</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171"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The decrease in interest expense related to the Notes and loss on extinguishment is primarily due to the adoption of the new convertible debt guidance.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3"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ind w:left="360"/>
              <w:spacing w:after="0"/>
              <w:rPr>
                <w:sz w:val="20"/>
                <w:szCs w:val="20"/>
                <w:color w:val="auto"/>
              </w:rPr>
            </w:pPr>
            <w:r>
              <w:rPr>
                <w:rFonts w:ascii="Arial" w:cs="Arial" w:eastAsia="Arial" w:hAnsi="Arial"/>
                <w:sz w:val="13"/>
                <w:szCs w:val="13"/>
                <w:b w:val="1"/>
                <w:bCs w:val="1"/>
                <w:color w:val="auto"/>
              </w:rPr>
              <w:t>Three Months</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w w:val="92"/>
              </w:rPr>
              <w:t>Ended June 30,</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3"/>
                <w:szCs w:val="13"/>
                <w:b w:val="1"/>
                <w:bCs w:val="1"/>
                <w:color w:val="auto"/>
              </w:rPr>
              <w:t>Ended June 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540" w:type="dxa"/>
            <w:vAlign w:val="bottom"/>
            <w:gridSpan w:val="2"/>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Pr>
          <w:p>
            <w:pPr>
              <w:spacing w:after="0"/>
              <w:rPr>
                <w:sz w:val="13"/>
                <w:szCs w:val="13"/>
                <w:color w:val="auto"/>
              </w:rPr>
            </w:pPr>
          </w:p>
        </w:tc>
        <w:tc>
          <w:tcPr>
            <w:tcW w:w="740" w:type="dxa"/>
            <w:vAlign w:val="bottom"/>
          </w:tcPr>
          <w:p>
            <w:pPr>
              <w:jc w:val="right"/>
              <w:ind w:right="265"/>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jc w:val="right"/>
              <w:ind w:right="201"/>
              <w:spacing w:after="0"/>
              <w:rPr>
                <w:sz w:val="20"/>
                <w:szCs w:val="20"/>
                <w:color w:val="auto"/>
              </w:rPr>
            </w:pPr>
            <w:r>
              <w:rPr>
                <w:rFonts w:ascii="Arial" w:cs="Arial" w:eastAsia="Arial" w:hAnsi="Arial"/>
                <w:sz w:val="13"/>
                <w:szCs w:val="13"/>
                <w:b w:val="1"/>
                <w:bCs w:val="1"/>
                <w:color w:val="auto"/>
                <w:w w:val="82"/>
              </w:rPr>
              <w:t>2021</w:t>
            </w:r>
          </w:p>
        </w:tc>
        <w:tc>
          <w:tcPr>
            <w:tcW w:w="24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 Change</w:t>
            </w:r>
          </w:p>
        </w:tc>
        <w:tc>
          <w:tcPr>
            <w:tcW w:w="1220" w:type="dxa"/>
            <w:vAlign w:val="bottom"/>
            <w:gridSpan w:val="2"/>
          </w:tcPr>
          <w:p>
            <w:pPr>
              <w:jc w:val="right"/>
              <w:ind w:right="335"/>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3"/>
                <w:szCs w:val="13"/>
                <w:color w:val="auto"/>
              </w:rPr>
            </w:pPr>
          </w:p>
        </w:tc>
        <w:tc>
          <w:tcPr>
            <w:tcW w:w="660" w:type="dxa"/>
            <w:vAlign w:val="bottom"/>
          </w:tcPr>
          <w:p>
            <w:pPr>
              <w:jc w:val="right"/>
              <w:ind w:right="225"/>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241"/>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13"/>
                <w:szCs w:val="13"/>
                <w:color w:val="auto"/>
              </w:rPr>
            </w:pPr>
          </w:p>
        </w:tc>
        <w:tc>
          <w:tcPr>
            <w:tcW w:w="920" w:type="dxa"/>
            <w:vAlign w:val="bottom"/>
            <w:gridSpan w:val="3"/>
          </w:tcPr>
          <w:p>
            <w:pPr>
              <w:jc w:val="right"/>
              <w:ind w:right="215"/>
              <w:spacing w:after="0"/>
              <w:rPr>
                <w:sz w:val="20"/>
                <w:szCs w:val="20"/>
                <w:color w:val="auto"/>
              </w:rPr>
            </w:pPr>
            <w:r>
              <w:rPr>
                <w:rFonts w:ascii="Arial" w:cs="Arial" w:eastAsia="Arial" w:hAnsi="Arial"/>
                <w:sz w:val="13"/>
                <w:szCs w:val="13"/>
                <w:b w:val="1"/>
                <w:bCs w:val="1"/>
                <w:color w:val="auto"/>
              </w:rPr>
              <w:t>$ Change</w:t>
            </w:r>
          </w:p>
        </w:tc>
        <w:tc>
          <w:tcPr>
            <w:tcW w:w="1220" w:type="dxa"/>
            <w:vAlign w:val="bottom"/>
            <w:gridSpan w:val="2"/>
          </w:tcPr>
          <w:p>
            <w:pPr>
              <w:jc w:val="right"/>
              <w:ind w:right="295"/>
              <w:spacing w:after="0"/>
              <w:rPr>
                <w:sz w:val="20"/>
                <w:szCs w:val="20"/>
                <w:color w:val="auto"/>
              </w:rPr>
            </w:pPr>
            <w:r>
              <w:rPr>
                <w:rFonts w:ascii="Arial" w:cs="Arial" w:eastAsia="Arial" w:hAnsi="Arial"/>
                <w:sz w:val="13"/>
                <w:szCs w:val="13"/>
                <w:b w:val="1"/>
                <w:bCs w:val="1"/>
                <w:color w:val="auto"/>
              </w:rPr>
              <w:t>% Change</w:t>
            </w:r>
          </w:p>
        </w:tc>
      </w:tr>
      <w:tr>
        <w:trPr>
          <w:trHeight w:val="178"/>
        </w:trPr>
        <w:tc>
          <w:tcPr>
            <w:tcW w:w="2420" w:type="dxa"/>
            <w:vAlign w:val="bottom"/>
            <w:tcBorders>
              <w:top w:val="single" w:sz="8" w:color="auto"/>
            </w:tcBorders>
          </w:tcPr>
          <w:p>
            <w:pPr>
              <w:ind w:left="20"/>
              <w:spacing w:after="0" w:line="178" w:lineRule="exact"/>
              <w:rPr>
                <w:sz w:val="20"/>
                <w:szCs w:val="20"/>
                <w:color w:val="auto"/>
              </w:rPr>
            </w:pPr>
            <w:r>
              <w:rPr>
                <w:rFonts w:ascii="Arial" w:cs="Arial" w:eastAsia="Arial" w:hAnsi="Arial"/>
                <w:sz w:val="17"/>
                <w:szCs w:val="17"/>
                <w:color w:val="auto"/>
              </w:rPr>
              <w:t>Other (expense) income</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35"/>
              <w:spacing w:after="0" w:line="178"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(3,091</w:t>
            </w:r>
          </w:p>
        </w:tc>
        <w:tc>
          <w:tcPr>
            <w:tcW w:w="240" w:type="dxa"/>
            <w:vAlign w:val="bottom"/>
          </w:tcPr>
          <w:p>
            <w:pPr>
              <w:jc w:val="right"/>
              <w:ind w:right="75"/>
              <w:spacing w:after="0" w:line="178"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tcPr>
          <w:p>
            <w:pPr>
              <w:jc w:val="right"/>
              <w:ind w:right="95"/>
              <w:spacing w:after="0" w:line="178"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528</w:t>
            </w:r>
          </w:p>
        </w:tc>
        <w:tc>
          <w:tcPr>
            <w:tcW w:w="240" w:type="dxa"/>
            <w:vAlign w:val="bottom"/>
          </w:tcPr>
          <w:p>
            <w:pPr>
              <w:spacing w:after="0"/>
              <w:rPr>
                <w:sz w:val="15"/>
                <w:szCs w:val="15"/>
                <w:color w:val="auto"/>
              </w:rPr>
            </w:pPr>
          </w:p>
        </w:tc>
        <w:tc>
          <w:tcPr>
            <w:tcW w:w="7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  (3,619</w:t>
            </w:r>
          </w:p>
        </w:tc>
        <w:tc>
          <w:tcPr>
            <w:tcW w:w="220" w:type="dxa"/>
            <w:vAlign w:val="bottom"/>
          </w:tcPr>
          <w:p>
            <w:pPr>
              <w:jc w:val="right"/>
              <w:ind w:right="80"/>
              <w:spacing w:after="0" w:line="178" w:lineRule="exact"/>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(685</w:t>
            </w:r>
          </w:p>
        </w:tc>
        <w:tc>
          <w:tcPr>
            <w:tcW w:w="220" w:type="dxa"/>
            <w:vAlign w:val="bottom"/>
          </w:tcPr>
          <w:p>
            <w:pPr>
              <w:jc w:val="right"/>
              <w:spacing w:after="0" w:line="178" w:lineRule="exact"/>
              <w:rPr>
                <w:sz w:val="20"/>
                <w:szCs w:val="20"/>
                <w:color w:val="auto"/>
              </w:rPr>
            </w:pPr>
            <w:r>
              <w:rPr>
                <w:rFonts w:ascii="Arial" w:cs="Arial" w:eastAsia="Arial" w:hAnsi="Arial"/>
                <w:sz w:val="17"/>
                <w:szCs w:val="17"/>
                <w:color w:val="auto"/>
                <w:w w:val="96"/>
              </w:rPr>
              <w:t>)%</w:t>
            </w:r>
          </w:p>
        </w:tc>
        <w:tc>
          <w:tcPr>
            <w:tcW w:w="200" w:type="dxa"/>
            <w:vAlign w:val="bottom"/>
            <w:tcBorders>
              <w:top w:val="single" w:sz="8" w:color="auto"/>
            </w:tcBorders>
          </w:tcPr>
          <w:p>
            <w:pPr>
              <w:jc w:val="right"/>
              <w:ind w:right="15"/>
              <w:spacing w:after="0" w:line="178"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602</w:t>
            </w:r>
          </w:p>
        </w:tc>
        <w:tc>
          <w:tcPr>
            <w:tcW w:w="200" w:type="dxa"/>
            <w:vAlign w:val="bottom"/>
          </w:tcPr>
          <w:p>
            <w:pPr>
              <w:spacing w:after="0"/>
              <w:rPr>
                <w:sz w:val="15"/>
                <w:szCs w:val="15"/>
                <w:color w:val="auto"/>
              </w:rPr>
            </w:pPr>
          </w:p>
        </w:tc>
        <w:tc>
          <w:tcPr>
            <w:tcW w:w="280" w:type="dxa"/>
            <w:vAlign w:val="bottom"/>
            <w:tcBorders>
              <w:top w:val="single" w:sz="8" w:color="auto"/>
            </w:tcBorders>
          </w:tcPr>
          <w:p>
            <w:pPr>
              <w:jc w:val="right"/>
              <w:ind w:right="95"/>
              <w:spacing w:after="0" w:line="178"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1,188</w:t>
            </w:r>
          </w:p>
        </w:tc>
        <w:tc>
          <w:tcPr>
            <w:tcW w:w="220" w:type="dxa"/>
            <w:vAlign w:val="bottom"/>
          </w:tcPr>
          <w:p>
            <w:pPr>
              <w:spacing w:after="0"/>
              <w:rPr>
                <w:sz w:val="15"/>
                <w:szCs w:val="15"/>
                <w:color w:val="auto"/>
              </w:rPr>
            </w:pPr>
          </w:p>
        </w:tc>
        <w:tc>
          <w:tcPr>
            <w:tcW w:w="240" w:type="dxa"/>
            <w:vAlign w:val="bottom"/>
            <w:tcBorders>
              <w:top w:val="single" w:sz="8" w:color="auto"/>
            </w:tcBorders>
          </w:tcPr>
          <w:p>
            <w:pPr>
              <w:jc w:val="right"/>
              <w:ind w:right="64"/>
              <w:spacing w:after="0" w:line="178" w:lineRule="exact"/>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(586</w:t>
            </w:r>
          </w:p>
        </w:tc>
        <w:tc>
          <w:tcPr>
            <w:tcW w:w="220" w:type="dxa"/>
            <w:vAlign w:val="bottom"/>
          </w:tcPr>
          <w:p>
            <w:pPr>
              <w:jc w:val="right"/>
              <w:ind w:right="55"/>
              <w:spacing w:after="0" w:line="178"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49</w:t>
            </w:r>
          </w:p>
        </w:tc>
        <w:tc>
          <w:tcPr>
            <w:tcW w:w="140" w:type="dxa"/>
            <w:vAlign w:val="bottom"/>
          </w:tcPr>
          <w:p>
            <w:pPr>
              <w:jc w:val="right"/>
              <w:spacing w:after="0" w:line="178" w:lineRule="exact"/>
              <w:rPr>
                <w:sz w:val="20"/>
                <w:szCs w:val="20"/>
                <w:color w:val="auto"/>
              </w:rPr>
            </w:pPr>
            <w:r>
              <w:rPr>
                <w:rFonts w:ascii="Arial" w:cs="Arial" w:eastAsia="Arial" w:hAnsi="Arial"/>
                <w:sz w:val="17"/>
                <w:szCs w:val="17"/>
                <w:color w:val="auto"/>
                <w:w w:val="79"/>
              </w:rPr>
              <w:t>%</w:t>
            </w: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7"/>
                <w:szCs w:val="17"/>
                <w:color w:val="auto"/>
              </w:rPr>
              <w:t>Percentage of total revenue</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5"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other income during the three and six months ended June 30, 2022 is primarily due to the following: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right"/>
              <w:ind w:right="167"/>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5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Three Months</w:t>
            </w:r>
          </w:p>
        </w:tc>
        <w:tc>
          <w:tcPr>
            <w:tcW w:w="200" w:type="dxa"/>
            <w:vAlign w:val="bottom"/>
            <w:gridSpan w:val="2"/>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Six Months</w:t>
            </w:r>
          </w:p>
        </w:tc>
        <w:tc>
          <w:tcPr>
            <w:tcW w:w="80" w:type="dxa"/>
            <w:vAlign w:val="bottom"/>
          </w:tcPr>
          <w:p>
            <w:pPr>
              <w:spacing w:after="0"/>
              <w:rPr>
                <w:sz w:val="18"/>
                <w:szCs w:val="18"/>
                <w:color w:val="auto"/>
              </w:rPr>
            </w:pPr>
          </w:p>
        </w:tc>
      </w:tr>
      <w:tr>
        <w:trPr>
          <w:trHeight w:val="196"/>
        </w:trPr>
        <w:tc>
          <w:tcPr>
            <w:tcW w:w="5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Foreign currency transaction gains and losses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(2,597 )</w:t>
            </w:r>
          </w:p>
        </w:tc>
        <w:tc>
          <w:tcPr>
            <w:tcW w:w="100" w:type="dxa"/>
            <w:vAlign w:val="bottom"/>
          </w:tcPr>
          <w:p>
            <w:pPr>
              <w:spacing w:after="0"/>
              <w:rPr>
                <w:sz w:val="19"/>
                <w:szCs w:val="19"/>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(3,763 )</w:t>
            </w: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Gain on strategic investments</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(1,022 )</w:t>
            </w:r>
          </w:p>
        </w:tc>
        <w:tc>
          <w:tcPr>
            <w:tcW w:w="100" w:type="dxa"/>
            <w:vAlign w:val="bottom"/>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3,177</w:t>
            </w:r>
          </w:p>
        </w:tc>
        <w:tc>
          <w:tcPr>
            <w:tcW w:w="80" w:type="dxa"/>
            <w:vAlign w:val="bottom"/>
            <w:shd w:val="clear" w:color="auto" w:fill="CFF0FC"/>
          </w:tcPr>
          <w:p>
            <w:pPr>
              <w:spacing w:after="0"/>
              <w:rPr>
                <w:sz w:val="18"/>
                <w:szCs w:val="18"/>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55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(3,619 )</w:t>
            </w:r>
          </w:p>
        </w:tc>
        <w:tc>
          <w:tcPr>
            <w:tcW w:w="10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(586 )</w:t>
            </w:r>
          </w:p>
        </w:tc>
      </w:tr>
      <w:tr>
        <w:trPr>
          <w:trHeight w:val="20"/>
        </w:trPr>
        <w:tc>
          <w:tcPr>
            <w:tcW w:w="5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-159385</wp:posOffset>
            </wp:positionV>
            <wp:extent cx="5969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160" w:firstLine="544"/>
        <w:spacing w:after="0" w:line="284" w:lineRule="auto"/>
        <w:rPr>
          <w:sz w:val="20"/>
          <w:szCs w:val="20"/>
          <w:color w:val="auto"/>
        </w:rPr>
      </w:pPr>
      <w:r>
        <w:rPr>
          <w:rFonts w:ascii="Arial" w:cs="Arial" w:eastAsia="Arial" w:hAnsi="Arial"/>
          <w:sz w:val="16"/>
          <w:szCs w:val="16"/>
          <w:color w:val="auto"/>
        </w:rPr>
        <w:t>Other (expense) income primarily consists of the impact of foreign currency transaction gains and losses associated with monetary assets and liabilities and any gains or losses on our strategic investments. The increase in foreign currency transaction losses is primarily attributable to the decline in the value of the Euro relative to the U.S. Dollar. The decrease in gain on investments is due to an adjustment to the fair value of an investment as a result of an observable price change in the three months ended June 30, 2021, whereas no gain was recognized in the three months ended June 30, 2022.</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171"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Other (expense) income primarily consists of the impact of foreign currency transaction gains and losses associated with monetary assets and liabilities and any gains or losses on our strategic investments. The increase in foreign currency transaction losses is primarily attributable to the decline in the value of the Euro relative to the U.S. Dollar. The increase in gain on investments is due to an adjustment to the fair value of an investment as a result of an observable price change of $4.2 million in the six months ended June 30, 2022 compared to $1.0 million in the six months ended June 30, 2021.</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ind w:left="360"/>
              <w:spacing w:after="0"/>
              <w:rPr>
                <w:sz w:val="20"/>
                <w:szCs w:val="20"/>
                <w:color w:val="auto"/>
              </w:rPr>
            </w:pPr>
            <w:r>
              <w:rPr>
                <w:rFonts w:ascii="Arial" w:cs="Arial" w:eastAsia="Arial" w:hAnsi="Arial"/>
                <w:sz w:val="13"/>
                <w:szCs w:val="13"/>
                <w:b w:val="1"/>
                <w:bCs w:val="1"/>
                <w:color w:val="auto"/>
                <w:w w:val="93"/>
              </w:rPr>
              <w:t>Three Months</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jc w:val="center"/>
              <w:ind w:left="364"/>
              <w:spacing w:after="0"/>
              <w:rPr>
                <w:sz w:val="20"/>
                <w:szCs w:val="20"/>
                <w:color w:val="auto"/>
              </w:rPr>
            </w:pPr>
            <w:r>
              <w:rPr>
                <w:rFonts w:ascii="Arial" w:cs="Arial" w:eastAsia="Arial" w:hAnsi="Arial"/>
                <w:sz w:val="13"/>
                <w:szCs w:val="13"/>
                <w:b w:val="1"/>
                <w:bCs w:val="1"/>
                <w:color w:val="auto"/>
                <w:w w:val="95"/>
              </w:rPr>
              <w:t>Six Months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2"/>
        </w:trPr>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ind w:left="360"/>
              <w:spacing w:after="0"/>
              <w:rPr>
                <w:sz w:val="20"/>
                <w:szCs w:val="20"/>
                <w:color w:val="auto"/>
              </w:rPr>
            </w:pPr>
            <w:r>
              <w:rPr>
                <w:rFonts w:ascii="Arial" w:cs="Arial" w:eastAsia="Arial" w:hAnsi="Arial"/>
                <w:sz w:val="13"/>
                <w:szCs w:val="13"/>
                <w:b w:val="1"/>
                <w:bCs w:val="1"/>
                <w:color w:val="auto"/>
              </w:rPr>
              <w:t>Ended June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3"/>
                <w:szCs w:val="13"/>
                <w:b w:val="1"/>
                <w:bCs w:val="1"/>
                <w:color w:val="auto"/>
                <w:w w:val="92"/>
              </w:rPr>
              <w:t>Ended June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76"/>
        </w:trPr>
        <w:tc>
          <w:tcPr>
            <w:tcW w:w="1900" w:type="dxa"/>
            <w:vAlign w:val="bottom"/>
          </w:tcPr>
          <w:p>
            <w:pPr>
              <w:ind w:left="20"/>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2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ind w:right="198"/>
              <w:spacing w:after="0"/>
              <w:rPr>
                <w:sz w:val="20"/>
                <w:szCs w:val="20"/>
                <w:color w:val="auto"/>
              </w:rPr>
            </w:pPr>
            <w:r>
              <w:rPr>
                <w:rFonts w:ascii="Arial" w:cs="Arial" w:eastAsia="Arial" w:hAnsi="Arial"/>
                <w:sz w:val="13"/>
                <w:szCs w:val="13"/>
                <w:b w:val="1"/>
                <w:bCs w:val="1"/>
                <w:color w:val="auto"/>
                <w:w w:val="96"/>
              </w:rPr>
              <w:t>2021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50"/>
              <w:spacing w:after="0"/>
              <w:rPr>
                <w:sz w:val="20"/>
                <w:szCs w:val="20"/>
                <w:color w:val="auto"/>
              </w:rPr>
            </w:pPr>
            <w:r>
              <w:rPr>
                <w:rFonts w:ascii="Arial" w:cs="Arial" w:eastAsia="Arial" w:hAnsi="Arial"/>
                <w:sz w:val="13"/>
                <w:szCs w:val="13"/>
                <w:b w:val="1"/>
                <w:bCs w:val="1"/>
                <w:color w:val="auto"/>
                <w:w w:val="92"/>
              </w:rPr>
              <w:t>$ Change</w:t>
            </w:r>
          </w:p>
        </w:tc>
        <w:tc>
          <w:tcPr>
            <w:tcW w:w="840" w:type="dxa"/>
            <w:vAlign w:val="bottom"/>
          </w:tcPr>
          <w:p>
            <w:pPr>
              <w:ind w:left="220"/>
              <w:spacing w:after="0"/>
              <w:rPr>
                <w:sz w:val="20"/>
                <w:szCs w:val="20"/>
                <w:color w:val="auto"/>
              </w:rPr>
            </w:pPr>
            <w:r>
              <w:rPr>
                <w:rFonts w:ascii="Arial" w:cs="Arial" w:eastAsia="Arial" w:hAnsi="Arial"/>
                <w:sz w:val="13"/>
                <w:szCs w:val="13"/>
                <w:b w:val="1"/>
                <w:bCs w:val="1"/>
                <w:color w:val="auto"/>
                <w:w w:val="95"/>
              </w:rPr>
              <w:t>% Change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04"/>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ind w:right="278"/>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330"/>
              <w:spacing w:after="0"/>
              <w:rPr>
                <w:sz w:val="20"/>
                <w:szCs w:val="20"/>
                <w:color w:val="auto"/>
              </w:rPr>
            </w:pPr>
            <w:r>
              <w:rPr>
                <w:rFonts w:ascii="Arial" w:cs="Arial" w:eastAsia="Arial" w:hAnsi="Arial"/>
                <w:sz w:val="13"/>
                <w:szCs w:val="13"/>
                <w:b w:val="1"/>
                <w:bCs w:val="1"/>
                <w:color w:val="auto"/>
                <w:w w:val="95"/>
              </w:rPr>
              <w:t>$ Change</w:t>
            </w:r>
          </w:p>
        </w:tc>
        <w:tc>
          <w:tcPr>
            <w:tcW w:w="1200" w:type="dxa"/>
            <w:vAlign w:val="bottom"/>
            <w:gridSpan w:val="2"/>
          </w:tcPr>
          <w:p>
            <w:pPr>
              <w:jc w:val="right"/>
              <w:ind w:right="290"/>
              <w:spacing w:after="0"/>
              <w:rPr>
                <w:sz w:val="20"/>
                <w:szCs w:val="20"/>
                <w:color w:val="auto"/>
              </w:rPr>
            </w:pPr>
            <w:r>
              <w:rPr>
                <w:rFonts w:ascii="Arial" w:cs="Arial" w:eastAsia="Arial" w:hAnsi="Arial"/>
                <w:sz w:val="13"/>
                <w:szCs w:val="13"/>
                <w:b w:val="1"/>
                <w:bCs w:val="1"/>
                <w:color w:val="auto"/>
              </w:rPr>
              <w:t>% Change</w:t>
            </w:r>
          </w:p>
        </w:tc>
      </w:tr>
      <w:tr>
        <w:trPr>
          <w:trHeight w:val="197"/>
        </w:trPr>
        <w:tc>
          <w:tcPr>
            <w:tcW w:w="190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(2,121</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(1,660</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(461</w:t>
            </w:r>
          </w:p>
        </w:tc>
        <w:tc>
          <w:tcPr>
            <w:tcW w:w="2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28</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(3,565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(1,522</w:t>
            </w:r>
          </w:p>
        </w:tc>
        <w:tc>
          <w:tcPr>
            <w:tcW w:w="2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(2,043</w:t>
            </w:r>
          </w:p>
        </w:tc>
        <w:tc>
          <w:tcPr>
            <w:tcW w:w="2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19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9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Income tax expense consists of current and deferred taxes for U.S. and foreign income taxes. The increase in income tax expense was primarily driven by increased income in jurisdictions outside of the U.S. that are profitable from a tax perspective, the state tax effect of a U.S. federal tax law change in effect from January 1, 2022 that requires the capitalization of research and experimental costs, and lower-than-expected tax benefits associated with stock-based compensation.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185"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Income tax expense consists of current and deferred taxes for U.S. and foreign income taxes. The increase in income tax expense was primarily driven by increased income in jurisdictions outside of the U.S. that are profitable from a tax perspective, the state tax effect of a U.S. federal tax law change in effect from January 1, 2022 that requires the capitalization of research and experimental costs, and lower-than-expected tax benefits associated with stock-based compensation, partially offset by a non-recurring income tax benefit recognized in 2021 relating to the release of a portion of the Company’s valuation allowance. The release was due to recording net deferred tax liabilities related to the Hustle acquisition, which are a source of income to support the realizability of the Company’s pre-existing U.S. deferred tax assets.</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15" w:right="27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30" w:lineRule="exact"/>
        <w:rPr>
          <w:sz w:val="20"/>
          <w:szCs w:val="20"/>
          <w:color w:val="auto"/>
        </w:rPr>
      </w:pPr>
    </w:p>
    <w:p>
      <w:pPr>
        <w:jc w:val="both"/>
        <w:ind w:right="40" w:firstLine="554"/>
        <w:spacing w:after="0" w:line="248"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six months ended June 30, 2022 and 2021.</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2"/>
          </w:tcPr>
          <w:p>
            <w:pPr>
              <w:jc w:val="right"/>
              <w:ind w:right="599"/>
              <w:spacing w:after="0"/>
              <w:rPr>
                <w:sz w:val="20"/>
                <w:szCs w:val="20"/>
                <w:color w:val="auto"/>
              </w:rPr>
            </w:pPr>
            <w:r>
              <w:rPr>
                <w:rFonts w:ascii="Arial" w:cs="Arial" w:eastAsia="Arial" w:hAnsi="Arial"/>
                <w:sz w:val="14"/>
                <w:szCs w:val="14"/>
                <w:b w:val="1"/>
                <w:bCs w:val="1"/>
                <w:color w:val="auto"/>
                <w:w w:val="71"/>
              </w:rPr>
              <w:t>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FF0FC"/>
          </w:tcPr>
          <w:p>
            <w:pPr>
              <w:jc w:val="right"/>
              <w:ind w:right="802"/>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305,664</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9"/>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338,336</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10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869,617</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862,418</w:t>
            </w:r>
          </w:p>
        </w:tc>
        <w:tc>
          <w:tcPr>
            <w:tcW w:w="100" w:type="dxa"/>
            <w:vAlign w:val="bottom"/>
          </w:tcPr>
          <w:p>
            <w:pPr>
              <w:spacing w:after="0"/>
              <w:rPr>
                <w:sz w:val="17"/>
                <w:szCs w:val="17"/>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and cash equivalents provided by operating activities</w:t>
            </w: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123,146</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100,891</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Net cash and cash equivalents used in investing activities</w:t>
            </w:r>
          </w:p>
        </w:tc>
        <w:tc>
          <w:tcPr>
            <w:tcW w:w="1000" w:type="dxa"/>
            <w:vAlign w:val="bottom"/>
          </w:tcPr>
          <w:p>
            <w:pPr>
              <w:spacing w:after="0"/>
              <w:rPr>
                <w:sz w:val="17"/>
                <w:szCs w:val="17"/>
                <w:color w:val="auto"/>
              </w:rPr>
            </w:pPr>
          </w:p>
        </w:tc>
        <w:tc>
          <w:tcPr>
            <w:tcW w:w="9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w w:val="87"/>
              </w:rPr>
              <w:t>(176,013 )</w:t>
            </w:r>
          </w:p>
        </w:tc>
        <w:tc>
          <w:tcPr>
            <w:tcW w:w="9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7"/>
              </w:rPr>
              <w:t>(110,740 )</w:t>
            </w: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and cash equivalents used in financing activities</w:t>
            </w:r>
          </w:p>
        </w:tc>
        <w:tc>
          <w:tcPr>
            <w:tcW w:w="10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(9,008 )</w:t>
            </w:r>
          </w:p>
        </w:tc>
        <w:tc>
          <w:tcPr>
            <w:tcW w:w="9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9"/>
              </w:rPr>
              <w:t>(26,729 )</w:t>
            </w:r>
          </w:p>
        </w:tc>
      </w:tr>
    </w:tbl>
    <w:p>
      <w:pPr>
        <w:spacing w:after="0" w:line="161" w:lineRule="exact"/>
        <w:rPr>
          <w:sz w:val="20"/>
          <w:szCs w:val="20"/>
          <w:color w:val="auto"/>
        </w:rPr>
      </w:pPr>
    </w:p>
    <w:p>
      <w:pPr>
        <w:ind w:right="260" w:firstLine="509"/>
        <w:spacing w:after="0" w:line="262" w:lineRule="auto"/>
        <w:rPr>
          <w:sz w:val="20"/>
          <w:szCs w:val="20"/>
          <w:color w:val="auto"/>
        </w:rPr>
      </w:pPr>
      <w:r>
        <w:rPr>
          <w:rFonts w:ascii="Arial" w:cs="Arial" w:eastAsia="Arial" w:hAnsi="Arial"/>
          <w:sz w:val="17"/>
          <w:szCs w:val="17"/>
          <w:color w:val="auto"/>
        </w:rPr>
        <w:t>Our cash and cash equivalents at June 30, 2022 were held for working capital purposes. At June 30, 2022, $119.7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145"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Operating Activities</w:t>
      </w:r>
    </w:p>
    <w:p>
      <w:pPr>
        <w:spacing w:after="0" w:line="171"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4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Net cash and cash equivalents provided by operating activities during the six months ended June 30, 2022 primarily reflected our net loss of $65.7 million, benefit from deferred income taxes of $0.4 million, $0.2 million accretion of bond discounts, and gains on strategic investments of $4.2 million, offset by non-cash expenses that included $27.1 million of depreciation and amortization, $126.9 million in stock-based compensation, and $1.0 million of amortization of debt discount and issuance costs. Working capital sources of cash and cash equivalents primarily included a $52.5 million increase in deferred revenue primarily resulting from the growth in the number of customers invoiced during the period, a $13.4 million increase in right-of-use asset, a $9.0 million increase in accounts payable related to timing of bill payments, and $23.1 million increase in accrued expenses and other liabilities. These sources of cash and cash equivalents were offset by a $21.9 million increase in prepaid expenses and other assets, a $11.3 million decrease in operating lease liabilities, a $13.7 million increase in deferred commissions, and a $14.3 million increase in accounts receivable as a result of increased billings to customers.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and cash equivalents provided by operating activities during the six months ended June 30, 2021 primarily reflected our net loss of $47.7</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the portion of the repayment of the 2022 Notes attributable to the debt discount of $13.0 million, benefit from deferred income taxes of $1.1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million, and a gain on strategic investments of $1.0 million, offset by non-cash expenses that included $21.7 million of depreciation and amortization,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$75.9 million in stock-based compensation, $1.7 million amortization of bond discounts, $12.5 million of amortization of debt discount and issuance costs,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$3.1 million of loss on early extinguishment of 2022 Notes. Working capital sources of cash and cash equivalents primarily included a $49.4 million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increase in deferred revenue primarily resulting from the growth in the number of customers invoiced during the period, a $8.9 million decrease in accounts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receivable related to increased collection, a $18.5 million increase in right-of-use asset, and $15.5 million increase in accrued expenses and other liabilities.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These sources of cash and cash equivalents were offset by a $1.3 million increase in accounts payable related to timing of bill payments, a $7.7 million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increase in prepaid expenses and other assets, a $18.4 million decrease in operating lease liabilities, and a $16.4 million increase in deferred commissions.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Used in Investing Activities</w:t>
      </w:r>
    </w:p>
    <w:p>
      <w:pPr>
        <w:spacing w:after="0" w:line="185"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Our investing activities have consisted primarily of purchases and maturities of investments, sale of investments, property and equipment purchases, an acquisition of a business, purchase of intangible assets, purchases of strategic investments, an equity method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1" w:name="page32"/>
    <w:bookmarkEnd w:id="31"/>
    <w:p>
      <w:pPr>
        <w:ind w:right="180"/>
        <w:spacing w:after="0" w:line="261" w:lineRule="auto"/>
        <w:rPr>
          <w:sz w:val="20"/>
          <w:szCs w:val="20"/>
          <w:color w:val="auto"/>
        </w:rPr>
      </w:pPr>
      <w:r>
        <w:rPr>
          <w:rFonts w:ascii="Arial" w:cs="Arial" w:eastAsia="Arial" w:hAnsi="Arial"/>
          <w:sz w:val="18"/>
          <w:szCs w:val="18"/>
          <w:color w:val="auto"/>
        </w:rPr>
        <w:t>investment and capitalization of software development costs. Capitalized software development costs are related to new products or improvements to our existing software platform that expands the functionality for our customers.</w:t>
      </w:r>
    </w:p>
    <w:p>
      <w:pPr>
        <w:spacing w:after="0" w:line="14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Net cash and cash equivalents used in investing activities during the six months ended June 30, 2022 consisted primarily of $864.1 million purchases of investments, $18.3 million of purchased property and equipment, $13.9 million of purchases of strategic investments, $19.9 million of capitalized software development costs, and a $10.0 million purchase of intangible assets. These uses of cash were offset by $625.4 million received related to the maturity of investments and $125.0 million received for sale of investments.</w:t>
      </w:r>
    </w:p>
    <w:p>
      <w:pPr>
        <w:spacing w:after="0" w:line="147"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Net cash and cash equivalents used in investing activities during the six months ended June 30, 2021 consisted primarily of $654.1 million purchases of investments, $10.7 million of purchased property and equipment, a $16.8 million business acquisition, $6.2 million of purchases of strategic investments, $3.1 million in an equity method investment and $16.4 million of capitalized software development costs. These uses of cash were offset by $596.6 million received related to the maturity of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Financing Activities</w:t>
      </w:r>
    </w:p>
    <w:p>
      <w:pPr>
        <w:spacing w:after="0" w:line="185" w:lineRule="exact"/>
        <w:rPr>
          <w:sz w:val="20"/>
          <w:szCs w:val="20"/>
          <w:color w:val="auto"/>
        </w:rPr>
      </w:pPr>
    </w:p>
    <w:p>
      <w:pPr>
        <w:ind w:right="580" w:firstLine="509"/>
        <w:spacing w:after="0" w:line="324" w:lineRule="auto"/>
        <w:rPr>
          <w:sz w:val="20"/>
          <w:szCs w:val="20"/>
          <w:color w:val="auto"/>
        </w:rPr>
      </w:pPr>
      <w:r>
        <w:rPr>
          <w:rFonts w:ascii="Arial" w:cs="Arial" w:eastAsia="Arial" w:hAnsi="Arial"/>
          <w:sz w:val="16"/>
          <w:szCs w:val="16"/>
          <w:color w:val="auto"/>
        </w:rPr>
        <w:t>Our financing activities have consisted primarily of the various components of our 2022 Notes repayment, repayment of our 2025 Notes, the issuance of common stock under our stock plans, and payments of employee taxes related to the net share settlement of stock-based awards,.</w:t>
      </w:r>
    </w:p>
    <w:p>
      <w:pPr>
        <w:spacing w:after="0" w:line="8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For the six months ended June 30, 2022 cash used in financing activities consisted of $1.6 million used for the repayment of the 2025 Notes attributable to the principal, $79.8 million payment for settlement of the 2022 Notes, and $7.8 million used for payment of employee taxes related to the net share settlement of stock-based awards, offset by $19.7 million of proceeds related to issuance of common stock under stock plans and $60.5 million of proceeds from settlement of the Convertible Note Hedges.</w:t>
      </w:r>
    </w:p>
    <w:p>
      <w:pPr>
        <w:spacing w:after="0" w:line="147"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For the six months ended June 30, 2021 cash used in financing activities consisted of $45.4 million used for repayment of the 2022 Notes attributable to the principal and $6.9 million used for payment of employee taxes related to the net share settlement of stock-based awards, offset by $0.7 million of proceeds from the settlement of the Convertible Note Hedges related to the 2022 Notes and $24.9 million of proceeds related to issuance of common stock under stock plans.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80" w:firstLine="544"/>
        <w:spacing w:after="0" w:line="291"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six months ended June 30, 2022 as compared to the critical accounting policies and estimates disclosed in our Annual Report on Form 10-K for the year ended December 31,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See Note 10 for all obligations the Company is committed to in the notes to the consolidated financial statements appearing elsewhere in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Quarterly Report on Form 10-Q.</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As of June 30, 2022, we are committed to contribute additional capital of $9.2 million to the Black Economic Development Fund. There were no other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2" w:lineRule="exact"/>
        <w:rPr>
          <w:sz w:val="20"/>
          <w:szCs w:val="20"/>
          <w:color w:val="auto"/>
        </w:rPr>
      </w:pPr>
    </w:p>
    <w:p>
      <w:pPr>
        <w:ind w:right="260" w:firstLine="544"/>
        <w:spacing w:after="0" w:line="261"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Euro, British Pound Sterling, Australian dollar, Singaporean dollar, Japanese Yen, and Colombian Peso. Since we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translate foreign currencies into U.S. dollars for financial reporting purposes, currency fluctuations can have an impact on our financial results.</w:t>
      </w:r>
    </w:p>
    <w:p>
      <w:pPr>
        <w:spacing w:after="0" w:line="223" w:lineRule="exact"/>
        <w:rPr>
          <w:sz w:val="20"/>
          <w:szCs w:val="20"/>
          <w:color w:val="auto"/>
        </w:rPr>
      </w:pPr>
    </w:p>
    <w:p>
      <w:pPr>
        <w:ind w:firstLine="544"/>
        <w:spacing w:after="0" w:line="241" w:lineRule="auto"/>
        <w:rPr>
          <w:sz w:val="20"/>
          <w:szCs w:val="20"/>
          <w:color w:val="auto"/>
        </w:rPr>
      </w:pPr>
      <w:r>
        <w:rPr>
          <w:rFonts w:ascii="Arial" w:cs="Arial" w:eastAsia="Arial" w:hAnsi="Arial"/>
          <w:sz w:val="18"/>
          <w:szCs w:val="18"/>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While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12" w:lineRule="exact"/>
        <w:rPr>
          <w:sz w:val="20"/>
          <w:szCs w:val="20"/>
          <w:color w:val="auto"/>
        </w:rPr>
      </w:pPr>
    </w:p>
    <w:p>
      <w:pPr>
        <w:ind w:right="100" w:firstLine="544"/>
        <w:spacing w:after="0" w:line="259"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212"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In June 2020, we issued $460 million aggregate principal amount of convertible senior notes due June 1, 2025, of which $459.1 million remains outstanding as of June 30, 2022.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our senior convertible notes will increase as interest rates fall and decrease as interest rates rise. Additionally, we carry the convertible senior notes at face value less unamortized discount on our balance sheet, and we present the fair value for required disclosure purposes only. The Federal Reserve recently raised interest rates in an effort to combat high inflation and may continue to do so in the future. There continues to be uncertainty in the changing market and economic conditions, including the possibility or additional measures that could be taken by the Federal Reserve and other government agencies, related to concerns over inflation risk.</w:t>
      </w:r>
    </w:p>
    <w:p>
      <w:pPr>
        <w:spacing w:after="0" w:line="180" w:lineRule="exact"/>
        <w:rPr>
          <w:sz w:val="20"/>
          <w:szCs w:val="20"/>
          <w:color w:val="auto"/>
        </w:rPr>
      </w:pPr>
    </w:p>
    <w:p>
      <w:pPr>
        <w:ind w:right="100" w:firstLine="544"/>
        <w:spacing w:after="0" w:line="248"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June 30, 2022 and the estimated impact on the fair value of the 2025 Notes. The selected scenarios are not predictions of future events, but rather are intended to illustrate the effect such an event may have on the fair value of the 2025 Notes.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2025 Notes</w:t>
      </w:r>
    </w:p>
    <w:tbl>
      <w:tblPr>
        <w:tblLayout w:type="fixed"/>
        <w:tblInd w:w="58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w w:val="91"/>
              </w:rPr>
              <w:t>Estimated change in</w:t>
            </w:r>
          </w:p>
        </w:tc>
        <w:tc>
          <w:tcPr>
            <w:tcW w:w="2160" w:type="dxa"/>
            <w:vAlign w:val="bottom"/>
            <w:gridSpan w:val="2"/>
          </w:tcPr>
          <w:p>
            <w:pPr>
              <w:jc w:val="center"/>
              <w:ind w:right="190"/>
              <w:spacing w:after="0" w:line="162" w:lineRule="exact"/>
              <w:rPr>
                <w:sz w:val="20"/>
                <w:szCs w:val="20"/>
                <w:color w:val="auto"/>
              </w:rPr>
            </w:pPr>
            <w:r>
              <w:rPr>
                <w:rFonts w:ascii="Arial" w:cs="Arial" w:eastAsia="Arial" w:hAnsi="Arial"/>
                <w:sz w:val="16"/>
                <w:szCs w:val="16"/>
                <w:b w:val="1"/>
                <w:bCs w:val="1"/>
                <w:color w:val="auto"/>
                <w:w w:val="90"/>
              </w:rPr>
              <w:t>Hypothetical percentage</w:t>
            </w:r>
          </w:p>
        </w:tc>
        <w:tc>
          <w:tcPr>
            <w:tcW w:w="0" w:type="dxa"/>
            <w:vAlign w:val="bottom"/>
          </w:tcPr>
          <w:p>
            <w:pPr>
              <w:spacing w:after="0"/>
              <w:rPr>
                <w:sz w:val="1"/>
                <w:szCs w:val="1"/>
                <w:color w:val="auto"/>
              </w:rPr>
            </w:pPr>
          </w:p>
        </w:tc>
      </w:tr>
      <w:tr>
        <w:trPr>
          <w:trHeight w:val="162"/>
        </w:trPr>
        <w:tc>
          <w:tcPr>
            <w:tcW w:w="4320" w:type="dxa"/>
            <w:vAlign w:val="bottom"/>
            <w:vMerge w:val="restart"/>
          </w:tcPr>
          <w:p>
            <w:pPr>
              <w:spacing w:after="0"/>
              <w:rPr>
                <w:sz w:val="20"/>
                <w:szCs w:val="20"/>
                <w:color w:val="auto"/>
              </w:rPr>
            </w:pPr>
            <w:r>
              <w:rPr>
                <w:rFonts w:ascii="Arial" w:cs="Arial" w:eastAsia="Arial" w:hAnsi="Arial"/>
                <w:sz w:val="16"/>
                <w:szCs w:val="16"/>
                <w:b w:val="1"/>
                <w:bCs w:val="1"/>
                <w:color w:val="auto"/>
              </w:rPr>
              <w:t>Hypothetical change in HubSpot stock price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160" w:type="dxa"/>
            <w:vAlign w:val="bottom"/>
            <w:gridSpan w:val="2"/>
          </w:tcPr>
          <w:p>
            <w:pPr>
              <w:jc w:val="center"/>
              <w:ind w:right="170"/>
              <w:spacing w:after="0" w:line="162" w:lineRule="exact"/>
              <w:rPr>
                <w:sz w:val="20"/>
                <w:szCs w:val="20"/>
                <w:color w:val="auto"/>
              </w:rPr>
            </w:pPr>
            <w:r>
              <w:rPr>
                <w:rFonts w:ascii="Arial" w:cs="Arial" w:eastAsia="Arial" w:hAnsi="Arial"/>
                <w:sz w:val="16"/>
                <w:szCs w:val="16"/>
                <w:b w:val="1"/>
                <w:bCs w:val="1"/>
                <w:color w:val="auto"/>
                <w:w w:val="90"/>
              </w:rPr>
              <w:t>increase (decrease) in fair</w:t>
            </w:r>
          </w:p>
        </w:tc>
        <w:tc>
          <w:tcPr>
            <w:tcW w:w="0" w:type="dxa"/>
            <w:vAlign w:val="bottom"/>
          </w:tcPr>
          <w:p>
            <w:pPr>
              <w:spacing w:after="0"/>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fair value</w:t>
            </w:r>
          </w:p>
        </w:tc>
        <w:tc>
          <w:tcPr>
            <w:tcW w:w="216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2"/>
              </w:rPr>
              <w:t>value</w:t>
            </w: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 increase</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625,409</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19,231</w:t>
            </w:r>
          </w:p>
        </w:tc>
        <w:tc>
          <w:tcPr>
            <w:tcW w:w="200" w:type="dxa"/>
            <w:vAlign w:val="bottom"/>
          </w:tcPr>
          <w:p>
            <w:pPr>
              <w:spacing w:after="0"/>
              <w:rPr>
                <w:sz w:val="17"/>
                <w:szCs w:val="17"/>
                <w:color w:val="auto"/>
              </w:rPr>
            </w:pPr>
          </w:p>
        </w:tc>
        <w:tc>
          <w:tcPr>
            <w:tcW w:w="1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4320" w:type="dxa"/>
            <w:vAlign w:val="bottom"/>
          </w:tcPr>
          <w:p>
            <w:pPr>
              <w:spacing w:after="0"/>
              <w:rPr>
                <w:sz w:val="20"/>
                <w:szCs w:val="20"/>
                <w:color w:val="auto"/>
              </w:rPr>
            </w:pPr>
            <w:r>
              <w:rPr>
                <w:rFonts w:ascii="Arial" w:cs="Arial" w:eastAsia="Arial" w:hAnsi="Arial"/>
                <w:sz w:val="16"/>
                <w:szCs w:val="16"/>
                <w:color w:val="auto"/>
              </w:rPr>
              <w:t>No change</w:t>
            </w: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606,178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10% decrease</w:t>
            </w: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549,660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(56,518 )</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-384810</wp:posOffset>
            </wp:positionV>
            <wp:extent cx="6412230"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1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8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3" w:name="page34"/>
    <w:bookmarkEnd w:id="33"/>
    <w:p>
      <w:pPr>
        <w:ind w:firstLine="509"/>
        <w:spacing w:after="0" w:line="270" w:lineRule="auto"/>
        <w:rPr>
          <w:sz w:val="20"/>
          <w:szCs w:val="20"/>
          <w:color w:val="auto"/>
        </w:rPr>
      </w:pPr>
      <w:r>
        <w:rPr>
          <w:rFonts w:ascii="Arial" w:cs="Arial" w:eastAsia="Arial" w:hAnsi="Arial"/>
          <w:sz w:val="16"/>
          <w:szCs w:val="16"/>
          <w:u w:val="single" w:color="auto"/>
          <w:color w:val="auto"/>
        </w:rPr>
        <w:t>Inherent Limitations of Internal Controls</w:t>
      </w:r>
      <w:r>
        <w:rPr>
          <w:rFonts w:ascii="Arial" w:cs="Arial" w:eastAsia="Arial" w:hAnsi="Arial"/>
          <w:sz w:val="16"/>
          <w:szCs w:val="16"/>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6"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130"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derive, and expect to continue to derive, a substantial portion of our revenue from the sale of subscriptions to our CRM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71"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right="80"/>
        <w:spacing w:after="0" w:line="261" w:lineRule="auto"/>
        <w:rPr>
          <w:sz w:val="20"/>
          <w:szCs w:val="20"/>
          <w:color w:val="auto"/>
        </w:rPr>
      </w:pPr>
      <w:r>
        <w:rPr>
          <w:rFonts w:ascii="Arial" w:cs="Arial" w:eastAsia="Arial" w:hAnsi="Arial"/>
          <w:sz w:val="18"/>
          <w:szCs w:val="18"/>
          <w:color w:val="auto"/>
        </w:rPr>
        <w:t>in a decline in our revenue in future quarters. If we were to experience significant downturns in subscription sales and renewal rates, our reported financial results might not reflect such downturns until future periods.</w:t>
      </w:r>
    </w:p>
    <w:p>
      <w:pPr>
        <w:spacing w:after="0" w:line="130"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148" w:lineRule="exact"/>
        <w:rPr>
          <w:sz w:val="20"/>
          <w:szCs w:val="20"/>
          <w:color w:val="auto"/>
        </w:rPr>
      </w:pPr>
    </w:p>
    <w:p>
      <w:pPr>
        <w:ind w:right="320" w:firstLine="509"/>
        <w:spacing w:after="0" w:line="294" w:lineRule="auto"/>
        <w:rPr>
          <w:sz w:val="20"/>
          <w:szCs w:val="20"/>
          <w:color w:val="auto"/>
        </w:rPr>
      </w:pPr>
      <w:r>
        <w:rPr>
          <w:rFonts w:ascii="Arial" w:cs="Arial" w:eastAsia="Arial" w:hAnsi="Arial"/>
          <w:sz w:val="16"/>
          <w:szCs w:val="16"/>
          <w:color w:val="auto"/>
        </w:rPr>
        <w:t>The marketing, sales, customer service, operations,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07"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71"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171"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5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6" w:name="page37"/>
    <w:bookmarkEnd w:id="36"/>
    <w:p>
      <w:pPr>
        <w:ind w:right="200"/>
        <w:spacing w:after="0" w:line="324"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88"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Our headcount and operations have grown substantially. For example, we had 7,045 full-time employees as of June 30, 2022, compared with 5,895 as of December 31, 2021. We have opened several international offices and may plan to open additional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our employees work remotely from geographic areas across the globe and more of our employees work remotely on a permanent basis (pursuant to our newly implemented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and we may experience unpredictability in our expenses and employee work culture. If we experience any of these effects in connection with future growth, if our new employees perform poorly, or if we are unsuccessful in recruiting, hiring, training, managing and integrating these new employees, or retaining these or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4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addition, to manage the recent growth of our headcount, operations and geographic expansion, we will need to continue to expand our information technology infrastructure, operational, financial and management systems and procedures. Our anticipated additional headcount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14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14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To increase Customers and achieve broader market acceptance of our CRM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58" w:lineRule="exact"/>
        <w:rPr>
          <w:sz w:val="20"/>
          <w:szCs w:val="20"/>
          <w:color w:val="auto"/>
        </w:rPr>
      </w:pPr>
    </w:p>
    <w:p>
      <w:pPr>
        <w:ind w:right="200" w:firstLine="509"/>
        <w:spacing w:after="0" w:line="266" w:lineRule="auto"/>
        <w:rPr>
          <w:sz w:val="20"/>
          <w:szCs w:val="20"/>
          <w:color w:val="auto"/>
        </w:rPr>
      </w:pPr>
      <w:r>
        <w:rPr>
          <w:rFonts w:ascii="Arial" w:cs="Arial" w:eastAsia="Arial" w:hAnsi="Arial"/>
          <w:sz w:val="16"/>
          <w:szCs w:val="16"/>
          <w:color w:val="212529"/>
        </w:rPr>
        <w:t>We rely on our Solutions Partners to provide certain services to our customers, as well as pursue sales of our CRM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58"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color w:val="auto"/>
        </w:rPr>
        <w:t>We believe that maintaining our thought leadership position in inbound marketing, sales, services, operations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7" w:name="page38"/>
    <w:bookmarkEnd w:id="37"/>
    <w:p>
      <w:pPr>
        <w:ind w:right="260"/>
        <w:spacing w:after="0" w:line="261"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130" w:lineRule="exact"/>
        <w:rPr>
          <w:sz w:val="20"/>
          <w:szCs w:val="20"/>
          <w:color w:val="auto"/>
        </w:rPr>
      </w:pPr>
    </w:p>
    <w:p>
      <w:pPr>
        <w:ind w:right="100" w:firstLine="509"/>
        <w:spacing w:after="0" w:line="258"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3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117" w:lineRule="exact"/>
        <w:rPr>
          <w:sz w:val="20"/>
          <w:szCs w:val="20"/>
          <w:color w:val="auto"/>
        </w:rPr>
      </w:pPr>
    </w:p>
    <w:p>
      <w:pPr>
        <w:ind w:right="160" w:firstLine="509"/>
        <w:spacing w:after="0" w:line="238" w:lineRule="auto"/>
        <w:rPr>
          <w:sz w:val="20"/>
          <w:szCs w:val="20"/>
          <w:color w:val="auto"/>
        </w:rPr>
      </w:pPr>
      <w:r>
        <w:rPr>
          <w:rFonts w:ascii="Arial" w:cs="Arial" w:eastAsia="Arial" w:hAnsi="Arial"/>
          <w:sz w:val="17"/>
          <w:szCs w:val="17"/>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58" w:lineRule="exact"/>
        <w:rPr>
          <w:sz w:val="20"/>
          <w:szCs w:val="20"/>
          <w:color w:val="auto"/>
        </w:rPr>
      </w:pPr>
    </w:p>
    <w:p>
      <w:pPr>
        <w:ind w:right="80" w:firstLine="509"/>
        <w:spacing w:after="0" w:line="225" w:lineRule="auto"/>
        <w:rPr>
          <w:sz w:val="20"/>
          <w:szCs w:val="20"/>
          <w:color w:val="auto"/>
        </w:rPr>
      </w:pPr>
      <w:r>
        <w:rPr>
          <w:rFonts w:ascii="Arial" w:cs="Arial" w:eastAsia="Arial" w:hAnsi="Arial"/>
          <w:sz w:val="18"/>
          <w:szCs w:val="18"/>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spacing w:after="0" w:line="154" w:lineRule="exact"/>
        <w:rPr>
          <w:sz w:val="20"/>
          <w:szCs w:val="20"/>
          <w:color w:val="auto"/>
        </w:rPr>
      </w:pPr>
    </w:p>
    <w:p>
      <w:pPr>
        <w:ind w:right="720" w:firstLine="45"/>
        <w:spacing w:after="0" w:line="261"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30" w:lineRule="exact"/>
        <w:rPr>
          <w:sz w:val="20"/>
          <w:szCs w:val="20"/>
          <w:color w:val="auto"/>
        </w:rPr>
      </w:pPr>
    </w:p>
    <w:p>
      <w:pPr>
        <w:ind w:firstLine="509"/>
        <w:spacing w:after="0" w:line="252" w:lineRule="auto"/>
        <w:rPr>
          <w:sz w:val="20"/>
          <w:szCs w:val="20"/>
          <w:color w:val="auto"/>
        </w:rPr>
      </w:pPr>
      <w:r>
        <w:rPr>
          <w:rFonts w:ascii="Arial" w:cs="Arial" w:eastAsia="Arial" w:hAnsi="Arial"/>
          <w:sz w:val="16"/>
          <w:szCs w:val="16"/>
          <w:color w:val="auto"/>
        </w:rPr>
        <w:t>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143" w:lineRule="exact"/>
        <w:rPr>
          <w:sz w:val="20"/>
          <w:szCs w:val="20"/>
          <w:color w:val="auto"/>
        </w:rPr>
      </w:pPr>
    </w:p>
    <w:p>
      <w:pPr>
        <w:ind w:right="300"/>
        <w:spacing w:after="0" w:line="307"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83" w:lineRule="exact"/>
        <w:rPr>
          <w:sz w:val="20"/>
          <w:szCs w:val="20"/>
          <w:color w:val="auto"/>
        </w:rPr>
      </w:pPr>
    </w:p>
    <w:p>
      <w:pPr>
        <w:ind w:right="60" w:firstLine="509"/>
        <w:spacing w:after="0" w:line="227" w:lineRule="auto"/>
        <w:rPr>
          <w:sz w:val="20"/>
          <w:szCs w:val="20"/>
          <w:color w:val="auto"/>
        </w:rPr>
      </w:pPr>
      <w:r>
        <w:rPr>
          <w:rFonts w:ascii="Arial" w:cs="Arial" w:eastAsia="Arial" w:hAnsi="Arial"/>
          <w:sz w:val="18"/>
          <w:szCs w:val="18"/>
          <w:color w:val="auto"/>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8" w:name="page39"/>
    <w:bookmarkEnd w:id="38"/>
    <w:p>
      <w:pPr>
        <w:ind w:right="80"/>
        <w:spacing w:after="0" w:line="246" w:lineRule="auto"/>
        <w:rPr>
          <w:sz w:val="20"/>
          <w:szCs w:val="20"/>
          <w:color w:val="auto"/>
        </w:rPr>
      </w:pPr>
      <w:r>
        <w:rPr>
          <w:rFonts w:ascii="Arial" w:cs="Arial" w:eastAsia="Arial" w:hAnsi="Arial"/>
          <w:sz w:val="18"/>
          <w:szCs w:val="18"/>
          <w:color w:val="auto"/>
        </w:rPr>
        <w:t>failure to maintain adequate research and development resources or to compete effectively with the research and development programs of our competitors could materially adversely affect our business.</w:t>
      </w:r>
    </w:p>
    <w:p>
      <w:pPr>
        <w:spacing w:after="0" w:line="15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117" w:lineRule="exact"/>
        <w:rPr>
          <w:sz w:val="20"/>
          <w:szCs w:val="20"/>
          <w:color w:val="auto"/>
        </w:rPr>
      </w:pPr>
    </w:p>
    <w:p>
      <w:pPr>
        <w:ind w:right="40" w:firstLine="509"/>
        <w:spacing w:after="0"/>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150"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141" w:lineRule="exact"/>
        <w:rPr>
          <w:sz w:val="20"/>
          <w:szCs w:val="20"/>
          <w:color w:val="auto"/>
        </w:rPr>
      </w:pPr>
    </w:p>
    <w:p>
      <w:pPr>
        <w:ind w:right="120" w:firstLine="509"/>
        <w:spacing w:after="0" w:line="246" w:lineRule="auto"/>
        <w:rPr>
          <w:sz w:val="20"/>
          <w:szCs w:val="20"/>
          <w:color w:val="auto"/>
        </w:rPr>
      </w:pPr>
      <w:r>
        <w:rPr>
          <w:rFonts w:ascii="Arial" w:cs="Arial" w:eastAsia="Arial" w:hAnsi="Arial"/>
          <w:sz w:val="17"/>
          <w:szCs w:val="17"/>
          <w:color w:val="auto"/>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30" w:lineRule="exact"/>
        <w:rPr>
          <w:sz w:val="20"/>
          <w:szCs w:val="20"/>
          <w:color w:val="auto"/>
        </w:rPr>
      </w:pPr>
    </w:p>
    <w:p>
      <w:pPr>
        <w:ind w:right="40" w:firstLine="509"/>
        <w:spacing w:after="0" w:line="250" w:lineRule="auto"/>
        <w:rPr>
          <w:sz w:val="20"/>
          <w:szCs w:val="20"/>
          <w:color w:val="auto"/>
        </w:rPr>
      </w:pPr>
      <w:r>
        <w:rPr>
          <w:rFonts w:ascii="Arial" w:cs="Arial" w:eastAsia="Arial" w:hAnsi="Arial"/>
          <w:sz w:val="16"/>
          <w:szCs w:val="16"/>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36"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16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17" w:lineRule="exact"/>
        <w:rPr>
          <w:sz w:val="20"/>
          <w:szCs w:val="20"/>
          <w:color w:val="auto"/>
        </w:rPr>
      </w:pPr>
    </w:p>
    <w:p>
      <w:pPr>
        <w:ind w:right="100" w:firstLine="509"/>
        <w:spacing w:after="0" w:line="231"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We have formed several international entities and plan to form additional entities in the future. These international operations focus primarily on sales, professional services and support, and select international locations also have development teams. Our current international operations and future initiatives will involve a variety of risks, including:</w:t>
      </w:r>
    </w:p>
    <w:p>
      <w:pPr>
        <w:spacing w:after="0" w:line="148"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84"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data, particularly in the European Union;</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9" w:name="page40"/>
    <w:bookmarkEnd w:id="39"/>
    <w:p>
      <w:pPr>
        <w:ind w:left="1020" w:right="1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143"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30"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30"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and similar geopolitical developments;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94"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84"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disputes, wars (such as the conflict between Russia and Ukraine), political instability or terrorist activities and resulting economic instability;</w:t>
      </w:r>
    </w:p>
    <w:p>
      <w:pPr>
        <w:spacing w:after="0" w:line="130"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14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18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17" w:lineRule="exact"/>
        <w:rPr>
          <w:sz w:val="20"/>
          <w:szCs w:val="20"/>
          <w:color w:val="auto"/>
        </w:rPr>
      </w:pPr>
    </w:p>
    <w:p>
      <w:pPr>
        <w:ind w:right="40" w:firstLine="509"/>
        <w:spacing w:after="0" w:line="239" w:lineRule="auto"/>
        <w:rPr>
          <w:sz w:val="20"/>
          <w:szCs w:val="20"/>
          <w:color w:val="auto"/>
        </w:rPr>
      </w:pPr>
      <w:r>
        <w:rPr>
          <w:rFonts w:ascii="Arial" w:cs="Arial" w:eastAsia="Arial" w:hAnsi="Arial"/>
          <w:sz w:val="17"/>
          <w:szCs w:val="17"/>
          <w:color w:val="auto"/>
        </w:rPr>
        <w:t>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a majority of our work force has been working from home in connection with our hybrid workplace model. Any failure to preserve our culture could negatively affect our ability to retain and recruit personnel and to effectively focus on and pursue our corporate objectives. As we grow and continue to develop our company infrastructure, we may find it difficult to maintain these important aspects of our company culture and our business may be adversely impacted.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58" w:lineRule="exact"/>
        <w:rPr>
          <w:sz w:val="20"/>
          <w:szCs w:val="20"/>
          <w:color w:val="auto"/>
        </w:rPr>
      </w:pPr>
    </w:p>
    <w:p>
      <w:pPr>
        <w:ind w:right="20" w:firstLine="509"/>
        <w:spacing w:after="0" w:line="239" w:lineRule="auto"/>
        <w:rPr>
          <w:sz w:val="20"/>
          <w:szCs w:val="20"/>
          <w:color w:val="auto"/>
        </w:rPr>
      </w:pPr>
      <w:r>
        <w:rPr>
          <w:rFonts w:ascii="Arial" w:cs="Arial" w:eastAsia="Arial" w:hAnsi="Arial"/>
          <w:sz w:val="17"/>
          <w:szCs w:val="17"/>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71" w:lineRule="exact"/>
        <w:rPr>
          <w:sz w:val="20"/>
          <w:szCs w:val="20"/>
          <w:color w:val="auto"/>
        </w:rPr>
      </w:pPr>
    </w:p>
    <w:p>
      <w:pPr>
        <w:ind w:firstLine="509"/>
        <w:spacing w:after="0" w:line="235" w:lineRule="auto"/>
        <w:rPr>
          <w:sz w:val="20"/>
          <w:szCs w:val="20"/>
          <w:color w:val="auto"/>
        </w:rPr>
      </w:pPr>
      <w:r>
        <w:rPr>
          <w:rFonts w:ascii="Arial" w:cs="Arial" w:eastAsia="Arial" w:hAnsi="Arial"/>
          <w:sz w:val="17"/>
          <w:szCs w:val="17"/>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The change by companies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spacing w:after="0" w:line="144" w:lineRule="exact"/>
        <w:rPr>
          <w:sz w:val="20"/>
          <w:szCs w:val="20"/>
          <w:color w:val="auto"/>
        </w:rPr>
      </w:pPr>
    </w:p>
    <w:p>
      <w:pPr>
        <w:ind w:right="140" w:firstLine="509"/>
        <w:spacing w:after="0" w:line="231" w:lineRule="auto"/>
        <w:rPr>
          <w:sz w:val="20"/>
          <w:szCs w:val="20"/>
          <w:color w:val="auto"/>
        </w:rPr>
      </w:pPr>
      <w:r>
        <w:rPr>
          <w:rFonts w:ascii="Arial" w:cs="Arial" w:eastAsia="Arial" w:hAnsi="Arial"/>
          <w:sz w:val="18"/>
          <w:szCs w:val="18"/>
          <w:color w:val="auto"/>
        </w:rPr>
        <w:t>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Global Economic Conditions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adversely affect our financial results.</w:t>
      </w:r>
    </w:p>
    <w:p>
      <w:pPr>
        <w:spacing w:after="0" w:line="171" w:lineRule="exact"/>
        <w:rPr>
          <w:sz w:val="20"/>
          <w:szCs w:val="20"/>
          <w:color w:val="auto"/>
        </w:rPr>
      </w:pPr>
    </w:p>
    <w:p>
      <w:pPr>
        <w:ind w:right="100" w:firstLine="509"/>
        <w:spacing w:after="0" w:line="268" w:lineRule="auto"/>
        <w:rPr>
          <w:sz w:val="20"/>
          <w:szCs w:val="20"/>
          <w:color w:val="auto"/>
        </w:rPr>
      </w:pPr>
      <w:r>
        <w:rPr>
          <w:rFonts w:ascii="Arial" w:cs="Arial" w:eastAsia="Arial" w:hAnsi="Arial"/>
          <w:sz w:val="16"/>
          <w:szCs w:val="16"/>
          <w:color w:val="auto"/>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While we have limited currency exchange exposure to the Russian, Belarusian and Ukrainian currencies, we expect exchange rates with respect to these currencies to be volatile and other exchange rates may also be more volatile than normal as a result of the ongoing conflict between Russia and Ukraine.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7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inflation and overall uncertainty with respect to the economy, including with respect to tariff and trade issues. Weak economic conditions or significant uncertainty regarding the stability of financial markets related to stock market volatility, inflation, recession, changes in tariffs, trade agreements or governmental fiscal, monetary and tax policies, among others, could adversely impact our business, financial condition and operating results.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Further, the economies of countries in Europe have been experiencing weakness associated with high sovereign debt levels, weakness in the banking sector, uncertainty over the future of the Euro zone and volatility in the value of the pound sterling and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1" w:name="page42"/>
    <w:bookmarkEnd w:id="41"/>
    <w:p>
      <w:pPr>
        <w:ind w:right="60"/>
        <w:spacing w:after="0" w:line="276" w:lineRule="auto"/>
        <w:rPr>
          <w:sz w:val="20"/>
          <w:szCs w:val="20"/>
          <w:color w:val="auto"/>
        </w:rPr>
      </w:pPr>
      <w:r>
        <w:rPr>
          <w:rFonts w:ascii="Arial" w:cs="Arial" w:eastAsia="Arial" w:hAnsi="Arial"/>
          <w:sz w:val="16"/>
          <w:szCs w:val="16"/>
          <w:color w:val="auto"/>
        </w:rPr>
        <w:t>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135"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More recently, inflation rates in the U.S.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has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spacing w:after="0" w:line="140" w:lineRule="exact"/>
        <w:rPr>
          <w:sz w:val="20"/>
          <w:szCs w:val="20"/>
          <w:color w:val="auto"/>
        </w:rPr>
      </w:pPr>
    </w:p>
    <w:p>
      <w:pPr>
        <w:jc w:val="both"/>
        <w:ind w:right="260" w:firstLine="509"/>
        <w:spacing w:after="0" w:line="270" w:lineRule="auto"/>
        <w:rPr>
          <w:sz w:val="20"/>
          <w:szCs w:val="20"/>
          <w:color w:val="auto"/>
        </w:rPr>
      </w:pPr>
      <w:r>
        <w:rPr>
          <w:rFonts w:ascii="Arial" w:cs="Arial" w:eastAsia="Arial" w:hAnsi="Arial"/>
          <w:sz w:val="17"/>
          <w:szCs w:val="17"/>
          <w:color w:val="auto"/>
        </w:rPr>
        <w:t>There continues to be uncertainty in the changing market and economic conditions, including the possibility of additional measures that could be taken by the Federal Reserve and other government agencies, related to concerns over inflation risk. A sharp rise in interest rates could have an adverse impact on the fair market value of certain securities in our portfolio, which could adversely affect our financial results.</w:t>
      </w:r>
    </w:p>
    <w:p>
      <w:pPr>
        <w:spacing w:after="0" w:line="1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The current economic downturn may lead to decreased demand for our products and services and otherwise harm our business and results of operations.</w:t>
      </w:r>
    </w:p>
    <w:p>
      <w:pPr>
        <w:spacing w:after="0" w:line="14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Our overall performance depends, in part, on worldwide economic conditions. In recent months, we have observed increased economic uncertainty in the United States and abroad. Impacts of such economic weakness include:</w:t>
      </w:r>
    </w:p>
    <w:p>
      <w:pPr>
        <w:spacing w:after="0" w:line="6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falling overall demand for goods and services, leading to reduced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credit availability;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borrowing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in credit, equity and foreign exchange markets;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bankruptcies.</w:t>
      </w:r>
    </w:p>
    <w:p>
      <w:pPr>
        <w:spacing w:after="0" w:line="19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Technical Operations Infrastructure and Dependence on Third Parties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06" w:lineRule="exact"/>
        <w:rPr>
          <w:sz w:val="20"/>
          <w:szCs w:val="20"/>
          <w:color w:val="auto"/>
        </w:rPr>
      </w:pPr>
    </w:p>
    <w:p>
      <w:pPr>
        <w:ind w:right="80" w:firstLine="509"/>
        <w:spacing w:after="0" w:line="227" w:lineRule="auto"/>
        <w:rPr>
          <w:sz w:val="20"/>
          <w:szCs w:val="20"/>
          <w:color w:val="auto"/>
        </w:rPr>
      </w:pPr>
      <w:r>
        <w:rPr>
          <w:rFonts w:ascii="Arial" w:cs="Arial" w:eastAsia="Arial" w:hAnsi="Arial"/>
          <w:sz w:val="18"/>
          <w:szCs w:val="18"/>
          <w:color w:val="auto"/>
        </w:rPr>
        <w:t>We currently serve the majority of our platform functions from third-party data center hosting facilities operated by Amazon Web Services located in northern Virginia and Frankfurt, Germany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actual or threatened public health emergencies (e.g., COVID-19), power or telecommunications failures, criminal acts and similar events. In the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42" w:name="page43"/>
    <w:bookmarkEnd w:id="42"/>
    <w:p>
      <w:pPr>
        <w:ind w:right="180"/>
        <w:spacing w:after="0" w:line="228" w:lineRule="auto"/>
        <w:rPr>
          <w:sz w:val="20"/>
          <w:szCs w:val="20"/>
          <w:color w:val="auto"/>
        </w:rPr>
      </w:pPr>
      <w:r>
        <w:rPr>
          <w:rFonts w:ascii="Arial" w:cs="Arial" w:eastAsia="Arial" w:hAnsi="Arial"/>
          <w:sz w:val="18"/>
          <w:szCs w:val="18"/>
          <w:color w:val="auto"/>
        </w:rPr>
        <w:t>event that any of our third-party facilities arrangements is terminated, or if there is a lapse of service or damage to a facility, we could experience interruptions in our platform as well as delays and additional expenses in arranging new facilities and services. Additionally, we may be at risk due to the increased frequency of sophisticated cyber-attacks coordinated by foreign nation states. For example, the ongoing conflict between Russia and Ukraine may result in a heightened threat environment and create unknown cyber risks, including increased risk of retaliatory cyber-attacks from Russian actors against U.S.-based companies.</w:t>
      </w:r>
    </w:p>
    <w:p>
      <w:pPr>
        <w:spacing w:after="0" w:line="151" w:lineRule="exact"/>
        <w:rPr>
          <w:sz w:val="20"/>
          <w:szCs w:val="20"/>
          <w:color w:val="auto"/>
        </w:rPr>
      </w:pPr>
    </w:p>
    <w:p>
      <w:pPr>
        <w:ind w:right="80" w:firstLine="509"/>
        <w:spacing w:after="0" w:line="225"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5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117" w:lineRule="exact"/>
        <w:rPr>
          <w:sz w:val="20"/>
          <w:szCs w:val="20"/>
          <w:color w:val="auto"/>
        </w:rPr>
      </w:pPr>
    </w:p>
    <w:p>
      <w:pPr>
        <w:ind w:firstLine="509"/>
        <w:spacing w:after="0" w:line="236" w:lineRule="auto"/>
        <w:rPr>
          <w:sz w:val="20"/>
          <w:szCs w:val="20"/>
          <w:color w:val="auto"/>
        </w:rPr>
      </w:pPr>
      <w:r>
        <w:rPr>
          <w:rFonts w:ascii="Arial" w:cs="Arial" w:eastAsia="Arial" w:hAnsi="Arial"/>
          <w:sz w:val="17"/>
          <w:szCs w:val="17"/>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50" w:lineRule="exact"/>
        <w:rPr>
          <w:sz w:val="20"/>
          <w:szCs w:val="20"/>
          <w:color w:val="auto"/>
        </w:rPr>
      </w:pPr>
    </w:p>
    <w:p>
      <w:pPr>
        <w:ind w:right="80" w:firstLine="509"/>
        <w:spacing w:after="0" w:line="231" w:lineRule="auto"/>
        <w:rPr>
          <w:sz w:val="20"/>
          <w:szCs w:val="20"/>
          <w:color w:val="auto"/>
        </w:rPr>
      </w:pPr>
      <w:r>
        <w:rPr>
          <w:rFonts w:ascii="Arial" w:cs="Arial" w:eastAsia="Arial" w:hAnsi="Arial"/>
          <w:sz w:val="18"/>
          <w:szCs w:val="18"/>
          <w:color w:val="auto"/>
        </w:rPr>
        <w:t>In addition, third-party applications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148"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If our information technology systems, including our CRM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p>
    <w:p>
      <w:pPr>
        <w:spacing w:after="0" w:line="110"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rely on our information technology systems, including the sustained and uninterrupted performance of our CRM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p>
    <w:p>
      <w:pPr>
        <w:spacing w:after="0" w:line="121" w:lineRule="exact"/>
        <w:rPr>
          <w:sz w:val="20"/>
          <w:szCs w:val="20"/>
          <w:color w:val="auto"/>
        </w:rPr>
      </w:pPr>
    </w:p>
    <w:p>
      <w:pPr>
        <w:ind w:right="120" w:firstLine="509"/>
        <w:spacing w:after="0" w:line="256" w:lineRule="auto"/>
        <w:rPr>
          <w:sz w:val="20"/>
          <w:szCs w:val="20"/>
          <w:color w:val="auto"/>
        </w:rPr>
      </w:pPr>
      <w:r>
        <w:rPr>
          <w:rFonts w:ascii="Arial" w:cs="Arial" w:eastAsia="Arial" w:hAnsi="Arial"/>
          <w:sz w:val="16"/>
          <w:szCs w:val="16"/>
          <w:color w:val="auto"/>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58" w:lineRule="exact"/>
        <w:rPr>
          <w:sz w:val="20"/>
          <w:szCs w:val="20"/>
          <w:color w:val="auto"/>
        </w:rPr>
      </w:pPr>
    </w:p>
    <w:p>
      <w:pPr>
        <w:ind w:firstLine="509"/>
        <w:spacing w:after="0" w:line="231"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CRM Platform or services to cover the changes, which could have a negative impact on our operating results.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3" w:name="page44"/>
    <w:bookmarkEnd w:id="43"/>
    <w:p>
      <w:pPr>
        <w:ind w:right="80" w:firstLine="509"/>
        <w:spacing w:after="0" w:line="255" w:lineRule="auto"/>
        <w:rPr>
          <w:sz w:val="20"/>
          <w:szCs w:val="20"/>
          <w:color w:val="auto"/>
        </w:rPr>
      </w:pPr>
      <w:r>
        <w:rPr>
          <w:rFonts w:ascii="Arial" w:cs="Arial" w:eastAsia="Arial" w:hAnsi="Arial"/>
          <w:sz w:val="16"/>
          <w:szCs w:val="16"/>
          <w:color w:val="auto"/>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spacing w:after="0" w:line="15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6"/>
          <w:szCs w:val="16"/>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71" w:lineRule="exact"/>
        <w:rPr>
          <w:sz w:val="20"/>
          <w:szCs w:val="20"/>
          <w:color w:val="auto"/>
        </w:rPr>
      </w:pPr>
    </w:p>
    <w:p>
      <w:pPr>
        <w:ind w:right="60" w:firstLine="554"/>
        <w:spacing w:after="0" w:line="237" w:lineRule="auto"/>
        <w:rPr>
          <w:sz w:val="20"/>
          <w:szCs w:val="20"/>
          <w:color w:val="auto"/>
        </w:rPr>
      </w:pPr>
      <w:r>
        <w:rPr>
          <w:rFonts w:ascii="Arial" w:cs="Arial" w:eastAsia="Arial" w:hAnsi="Arial"/>
          <w:sz w:val="17"/>
          <w:szCs w:val="17"/>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CRM Platform.</w:t>
      </w:r>
    </w:p>
    <w:p>
      <w:pPr>
        <w:spacing w:after="0" w:line="181" w:lineRule="exact"/>
        <w:rPr>
          <w:sz w:val="20"/>
          <w:szCs w:val="20"/>
          <w:color w:val="auto"/>
        </w:rPr>
      </w:pPr>
    </w:p>
    <w:p>
      <w:pPr>
        <w:ind w:right="40" w:firstLine="509"/>
        <w:spacing w:after="0" w:line="225" w:lineRule="auto"/>
        <w:rPr>
          <w:sz w:val="20"/>
          <w:szCs w:val="20"/>
          <w:color w:val="auto"/>
        </w:rPr>
      </w:pPr>
      <w:r>
        <w:rPr>
          <w:rFonts w:ascii="Arial" w:cs="Arial" w:eastAsia="Arial" w:hAnsi="Arial"/>
          <w:sz w:val="18"/>
          <w:szCs w:val="18"/>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data.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16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28" w:lineRule="exact"/>
        <w:rPr>
          <w:sz w:val="20"/>
          <w:szCs w:val="20"/>
          <w:color w:val="auto"/>
        </w:rPr>
      </w:pPr>
    </w:p>
    <w:p>
      <w:pPr>
        <w:jc w:val="both"/>
        <w:ind w:right="160" w:firstLine="509"/>
        <w:spacing w:after="0" w:line="228" w:lineRule="auto"/>
        <w:rPr>
          <w:sz w:val="20"/>
          <w:szCs w:val="20"/>
          <w:color w:val="auto"/>
        </w:rPr>
      </w:pPr>
      <w:r>
        <w:rPr>
          <w:rFonts w:ascii="Arial" w:cs="Arial" w:eastAsia="Arial" w:hAnsi="Arial"/>
          <w:sz w:val="18"/>
          <w:szCs w:val="18"/>
          <w:color w:val="auto"/>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4" w:name="page45"/>
    <w:bookmarkEnd w:id="44"/>
    <w:p>
      <w:pPr>
        <w:spacing w:after="0" w:line="235" w:lineRule="auto"/>
        <w:rPr>
          <w:sz w:val="20"/>
          <w:szCs w:val="20"/>
          <w:color w:val="auto"/>
        </w:rPr>
      </w:pPr>
      <w:r>
        <w:rPr>
          <w:rFonts w:ascii="Arial" w:cs="Arial" w:eastAsia="Arial" w:hAnsi="Arial"/>
          <w:sz w:val="17"/>
          <w:szCs w:val="17"/>
          <w:color w:val="auto"/>
        </w:rPr>
        <w:t>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w:t>
      </w:r>
    </w:p>
    <w:p>
      <w:pPr>
        <w:spacing w:after="0" w:line="155" w:lineRule="exact"/>
        <w:rPr>
          <w:sz w:val="20"/>
          <w:szCs w:val="20"/>
          <w:color w:val="auto"/>
        </w:rPr>
      </w:pPr>
    </w:p>
    <w:p>
      <w:pPr>
        <w:ind w:right="20" w:firstLine="509"/>
        <w:spacing w:after="0" w:line="249"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during the ongoing pandemic, and potentially beyond as remote work and resource access expand, there is an increased risk that we may experience cybersecurity-related events such as COVID-19 themed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conflict between Russia and Ukraine, and this could adversely affect our and our suppliers' ability to maintain or enhance key cybersecurity and data protection measures. We have previously been, and may in the future become, the target of cyber-attacks by third parties seeking unauthorized access to our or our customers' data or to disrupt our operations or ability to provide our services.</w:t>
      </w:r>
    </w:p>
    <w:p>
      <w:pPr>
        <w:spacing w:after="0" w:line="140" w:lineRule="exact"/>
        <w:rPr>
          <w:sz w:val="20"/>
          <w:szCs w:val="20"/>
          <w:color w:val="auto"/>
        </w:rPr>
      </w:pPr>
    </w:p>
    <w:p>
      <w:pPr>
        <w:ind w:right="40" w:firstLine="509"/>
        <w:spacing w:after="0" w:line="225"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material impact that the SolarWinds, Log4j, Kaseya, or other recent supply chain attacks had on our business, new information on the scope of such attacks is continuing to emerge and there is a residual risk that we may experience a security breach arising from one of these, or a similar, supply chain attack in the future. Supply chain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spacing w:after="0" w:line="140" w:lineRule="exact"/>
        <w:rPr>
          <w:sz w:val="20"/>
          <w:szCs w:val="20"/>
          <w:color w:val="auto"/>
        </w:rPr>
      </w:pPr>
    </w:p>
    <w:p>
      <w:pPr>
        <w:ind w:right="20" w:firstLine="509"/>
        <w:spacing w:after="0" w:line="252" w:lineRule="auto"/>
        <w:rPr>
          <w:sz w:val="20"/>
          <w:szCs w:val="20"/>
          <w:color w:val="auto"/>
        </w:rPr>
      </w:pPr>
      <w:r>
        <w:rPr>
          <w:rFonts w:ascii="Arial" w:cs="Arial" w:eastAsia="Arial" w:hAnsi="Arial"/>
          <w:sz w:val="16"/>
          <w:szCs w:val="16"/>
          <w:color w:val="auto"/>
        </w:rPr>
        <w:t>Recent high-profile security breaches and related disclosures of sensitive data by large institutions suggest that the risk of such events is significant, even if privacy protection and security measures are implemented and enforced. If we were to experience a cyber-attack and suffer interruptions in our operations, it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“GDPR”) and relevant member state law in the European Union, other foreign laws, and other relevant state and federal privacy laws in the United States.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5" w:name="page46"/>
    <w:bookmarkEnd w:id="45"/>
    <w:p>
      <w:pPr>
        <w:ind w:right="20" w:firstLine="509"/>
        <w:spacing w:after="0" w:line="237" w:lineRule="auto"/>
        <w:rPr>
          <w:sz w:val="20"/>
          <w:szCs w:val="20"/>
          <w:color w:val="auto"/>
        </w:rPr>
      </w:pPr>
      <w:r>
        <w:rPr>
          <w:rFonts w:ascii="Arial" w:cs="Arial" w:eastAsia="Arial" w:hAnsi="Arial"/>
          <w:sz w:val="17"/>
          <w:szCs w:val="17"/>
          <w:color w:val="auto"/>
        </w:rPr>
        <w:t>Many governments have enacted laws requiring companies to notify individuals of data security incidents or unauthorized transfers involving certain types of personal data. In addition, the data processing agreements we execute with our customers contractually requires us to notify them of any personal data breach. Under payment card network rules and our contracts with our payment processors, if there is a breach of payment card information that we store, or that is stored by our direct payment card processing vendors, we could be liable to the payment card issuing banks for their cost of issuing new cards and related expenses.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53" w:lineRule="exact"/>
        <w:rPr>
          <w:sz w:val="20"/>
          <w:szCs w:val="20"/>
          <w:color w:val="auto"/>
        </w:rPr>
      </w:pPr>
    </w:p>
    <w:p>
      <w:pPr>
        <w:ind w:right="20" w:firstLine="509"/>
        <w:spacing w:after="0" w:line="258"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58" w:lineRule="exact"/>
        <w:rPr>
          <w:sz w:val="20"/>
          <w:szCs w:val="20"/>
          <w:color w:val="auto"/>
        </w:rPr>
      </w:pPr>
    </w:p>
    <w:p>
      <w:pPr>
        <w:ind w:firstLine="509"/>
        <w:spacing w:after="0" w:line="251"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28" w:lineRule="exact"/>
        <w:rPr>
          <w:sz w:val="20"/>
          <w:szCs w:val="20"/>
          <w:color w:val="auto"/>
        </w:rPr>
      </w:pPr>
    </w:p>
    <w:p>
      <w:pPr>
        <w:ind w:right="80" w:firstLine="509"/>
        <w:spacing w:after="0" w:line="256"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5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117"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6" w:name="page47"/>
    <w:bookmarkEnd w:id="46"/>
    <w:p>
      <w:pPr>
        <w:ind w:right="280"/>
        <w:spacing w:after="0" w:line="246" w:lineRule="auto"/>
        <w:rPr>
          <w:sz w:val="20"/>
          <w:szCs w:val="20"/>
          <w:color w:val="auto"/>
        </w:rPr>
      </w:pPr>
      <w:r>
        <w:rPr>
          <w:rFonts w:ascii="Arial" w:cs="Arial" w:eastAsia="Arial" w:hAnsi="Arial"/>
          <w:sz w:val="17"/>
          <w:szCs w:val="17"/>
          <w:color w:val="auto"/>
        </w:rPr>
        <w:t>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44" w:lineRule="exact"/>
        <w:rPr>
          <w:sz w:val="20"/>
          <w:szCs w:val="20"/>
          <w:color w:val="auto"/>
        </w:rPr>
      </w:pPr>
    </w:p>
    <w:p>
      <w:pPr>
        <w:ind w:right="300" w:firstLine="509"/>
        <w:spacing w:after="0" w:line="266"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16" w:lineRule="exact"/>
        <w:rPr>
          <w:sz w:val="20"/>
          <w:szCs w:val="20"/>
          <w:color w:val="auto"/>
        </w:rPr>
      </w:pPr>
    </w:p>
    <w:p>
      <w:pPr>
        <w:ind w:right="40" w:firstLine="509"/>
        <w:spacing w:after="0" w:line="239"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71" w:lineRule="exact"/>
        <w:rPr>
          <w:sz w:val="20"/>
          <w:szCs w:val="20"/>
          <w:color w:val="auto"/>
        </w:rPr>
      </w:pPr>
    </w:p>
    <w:p>
      <w:pPr>
        <w:ind w:right="40" w:firstLine="509"/>
        <w:spacing w:after="0" w:line="236"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128" w:lineRule="exact"/>
        <w:rPr>
          <w:sz w:val="20"/>
          <w:szCs w:val="20"/>
          <w:color w:val="auto"/>
        </w:rPr>
      </w:pPr>
    </w:p>
    <w:p>
      <w:pPr>
        <w:ind w:right="40" w:firstLine="509"/>
        <w:spacing w:after="0" w:line="228"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("FTC"), and various state, local and foreign agencies. We collect personal data and other data from our customers, prospects, and partners.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spacing w:after="0" w:line="137" w:lineRule="exact"/>
        <w:rPr>
          <w:sz w:val="20"/>
          <w:szCs w:val="20"/>
          <w:color w:val="auto"/>
        </w:rPr>
      </w:pPr>
    </w:p>
    <w:p>
      <w:pPr>
        <w:ind w:firstLine="509"/>
        <w:spacing w:after="0" w:line="256"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data of individuals. In the United States, the FTC and many state attorneys general are applying federal and state consumer protection laws to impose standards for the online collection, use and dissemination of personal data and other.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38"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7" w:name="page48"/>
    <w:bookmarkEnd w:id="47"/>
    <w:p>
      <w:pPr>
        <w:jc w:val="both"/>
        <w:ind w:right="60"/>
        <w:spacing w:after="0" w:line="235" w:lineRule="auto"/>
        <w:rPr>
          <w:sz w:val="20"/>
          <w:szCs w:val="20"/>
          <w:color w:val="auto"/>
        </w:rPr>
      </w:pPr>
      <w:r>
        <w:rPr>
          <w:rFonts w:ascii="Arial" w:cs="Arial" w:eastAsia="Arial" w:hAnsi="Arial"/>
          <w:sz w:val="18"/>
          <w:szCs w:val="18"/>
          <w:color w:val="auto"/>
        </w:rPr>
        <w:t>international data privacy laws and regulations could harm our ability to successfully operate our business and pursue our business goals. For example, the California Consumer Privacy Act (the “CCPA”), among other things, require covered companies to provide disclosures to California consumers and afford such consumers the ability to opt-out of sales of personal data.</w:t>
      </w:r>
    </w:p>
    <w:p>
      <w:pPr>
        <w:spacing w:after="0" w:line="148" w:lineRule="exact"/>
        <w:rPr>
          <w:sz w:val="20"/>
          <w:szCs w:val="20"/>
          <w:color w:val="auto"/>
        </w:rPr>
      </w:pPr>
    </w:p>
    <w:p>
      <w:pPr>
        <w:ind w:right="40" w:firstLine="509"/>
        <w:spacing w:after="0" w:line="225"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on January 1, 2023, the CPRA imposes additional obligations on companies covered by the legislation and will significantly modify the CCPA, including by expanding consumers’ rights with respect to certain sensitive personal data. The CPRA also creates a new state agency that will be vested with authority to implement regulations and enforce the CCPA and the CPRA. It is not yet fully clear how the CCPA and CPRA will be enforced and how certain of its requirements will be interpreted.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40"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Certain other state laws impose similar privacy obligations and we also expect that more states may enact legislation similar to the CCPA, which provides consumers with new privacy rights and increases the privacy and security obligations of entities handling certain personal data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35" w:lineRule="exact"/>
        <w:rPr>
          <w:sz w:val="20"/>
          <w:szCs w:val="20"/>
          <w:color w:val="auto"/>
        </w:rPr>
      </w:pPr>
    </w:p>
    <w:p>
      <w:pPr>
        <w:ind w:right="20" w:firstLine="509"/>
        <w:spacing w:after="0" w:line="228" w:lineRule="auto"/>
        <w:rPr>
          <w:sz w:val="20"/>
          <w:szCs w:val="20"/>
          <w:color w:val="auto"/>
        </w:rPr>
      </w:pPr>
      <w:r>
        <w:rPr>
          <w:rFonts w:ascii="Arial" w:cs="Arial" w:eastAsia="Arial" w:hAnsi="Arial"/>
          <w:sz w:val="18"/>
          <w:szCs w:val="18"/>
          <w:color w:val="auto"/>
        </w:rPr>
        <w:t>For example, on March 2, 2021, Virginia enacted the Consumer Data Protection Act (the “CDPA”). The CDPA will become effective January 1, 2023. The CDPA will regulate how businesses (which the CDPA refers to as “controllers”) collect and share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w:t>
      </w:r>
    </w:p>
    <w:p>
      <w:pPr>
        <w:spacing w:after="0" w:line="151" w:lineRule="exact"/>
        <w:rPr>
          <w:sz w:val="20"/>
          <w:szCs w:val="20"/>
          <w:color w:val="auto"/>
        </w:rPr>
      </w:pPr>
    </w:p>
    <w:p>
      <w:pPr>
        <w:ind w:firstLine="509"/>
        <w:spacing w:after="0" w:line="256" w:lineRule="auto"/>
        <w:rPr>
          <w:sz w:val="20"/>
          <w:szCs w:val="20"/>
          <w:color w:val="auto"/>
        </w:rPr>
      </w:pPr>
      <w:r>
        <w:rPr>
          <w:rFonts w:ascii="Arial" w:cs="Arial" w:eastAsia="Arial" w:hAnsi="Arial"/>
          <w:sz w:val="16"/>
          <w:szCs w:val="16"/>
          <w:color w:val="auto"/>
        </w:rPr>
        <w:t>Also, on July 8, 2021, Colorado’s governor signed the Colorado Privacy Act (“CPA”) into law. The CPA will become effective July 1, 2023. The CPA is similar to Virginia’s CPDA but also contains additional requirements. The new measure applies to companies conducting business in Colorado or who produce or deliver commercial products or services intentionally targeted to its residents of the state that either: (1) control or process the personal data of at least 100,000 consumers during a calendar year; or (2) derive revenue or receive a discount on the price of goods or services from the sale of personal data and process or control the personal data of at least 25,000 consumers. In addition, on March 24, 2022, Utah enacted the Utah Consumer Privacy Act (“UCPA”), which will become effective on December 31, 2023. Also, in May 2022, Connecticut Governor Lamont signed the Connecticut Data Privacy Act (CTDPA) into law. The UCPA and CTDPA draw heavily upon their predecessors in Virginia and Colorado.</w:t>
      </w:r>
    </w:p>
    <w:p>
      <w:pPr>
        <w:spacing w:after="0" w:line="125" w:lineRule="exact"/>
        <w:rPr>
          <w:sz w:val="20"/>
          <w:szCs w:val="20"/>
          <w:color w:val="auto"/>
        </w:rPr>
      </w:pPr>
    </w:p>
    <w:p>
      <w:pPr>
        <w:ind w:right="100" w:firstLine="509"/>
        <w:spacing w:after="0" w:line="242" w:lineRule="auto"/>
        <w:rPr>
          <w:sz w:val="20"/>
          <w:szCs w:val="20"/>
          <w:color w:val="auto"/>
        </w:rPr>
      </w:pPr>
      <w:r>
        <w:rPr>
          <w:rFonts w:ascii="Arial" w:cs="Arial" w:eastAsia="Arial" w:hAnsi="Arial"/>
          <w:sz w:val="17"/>
          <w:szCs w:val="17"/>
          <w:color w:val="auto"/>
        </w:rPr>
        <w:t>With the CTDPA, Connecticut became the fifth state to enact a comprehensive privacy law. A number of additional other states have proposed bills for comprehensive consumer privacy laws and it is quite possible that certain of these bills will pass. The existence of comprehensive privacy laws in different states in the country, if enacted, will add additional complexity, variation in requirements, restrictions and potential legal risk, require additional investment of resources in compliance programs, impact strategies and the availability of previously useful data, and has resulted in and will result in increased compliance costs and/or changes in business practices and policies.</w:t>
      </w:r>
    </w:p>
    <w:p>
      <w:pPr>
        <w:spacing w:after="0" w:line="135" w:lineRule="exact"/>
        <w:rPr>
          <w:sz w:val="20"/>
          <w:szCs w:val="20"/>
          <w:color w:val="auto"/>
        </w:rPr>
      </w:pPr>
    </w:p>
    <w:p>
      <w:pPr>
        <w:ind w:right="200" w:firstLine="509"/>
        <w:spacing w:after="0" w:line="227" w:lineRule="auto"/>
        <w:rPr>
          <w:sz w:val="20"/>
          <w:szCs w:val="20"/>
          <w:color w:val="auto"/>
        </w:rPr>
      </w:pPr>
      <w:r>
        <w:rPr>
          <w:rFonts w:ascii="Arial" w:cs="Arial" w:eastAsia="Arial" w:hAnsi="Arial"/>
          <w:sz w:val="18"/>
          <w:szCs w:val="18"/>
          <w:color w:val="auto"/>
        </w:rPr>
        <w:t>In addition, many foreign jurisdictions, including the European Union, United Kingdom, Canada, Australia, and others have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that aid our marketing and business intelligence.</w:t>
      </w:r>
    </w:p>
    <w:p>
      <w:pPr>
        <w:spacing w:after="0" w:line="148" w:lineRule="exact"/>
        <w:rPr>
          <w:sz w:val="20"/>
          <w:szCs w:val="20"/>
          <w:color w:val="auto"/>
        </w:rPr>
      </w:pPr>
    </w:p>
    <w:p>
      <w:pPr>
        <w:ind w:firstLine="509"/>
        <w:spacing w:after="0" w:line="237" w:lineRule="auto"/>
        <w:rPr>
          <w:sz w:val="20"/>
          <w:szCs w:val="20"/>
          <w:color w:val="auto"/>
        </w:rPr>
      </w:pPr>
      <w:r>
        <w:rPr>
          <w:rFonts w:ascii="Arial" w:cs="Arial" w:eastAsia="Arial" w:hAnsi="Arial"/>
          <w:sz w:val="17"/>
          <w:szCs w:val="17"/>
          <w:color w:val="auto"/>
        </w:rPr>
        <w:t>Within the European Union, legislators adopted the GDPR, which became effective in May 2018, and which imposes heightened obligations and risk upon our business and which may substantially increase the penalties to which we could be subject in the event of any non-compliance.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United Kingdom specific amendments) into United Kingdom law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Like the European Union GDPR, the UK GDPR restricts personal data transfers outside the United Kingdom to countries not regarded by the United Kingdom as providing adequate protection (this means that personal data transfers from the United Kingdom to the European Economic Area remain free flowing).</w:t>
      </w:r>
    </w:p>
    <w:p>
      <w:pPr>
        <w:spacing w:after="0" w:line="135"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The proliferation of privacy and data protection laws has heightened risks and uncertainties concerning cross-border transfers of personal data and other data, which could impose significant compliance costs and expenses on our business, increase our potential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8" w:name="page49"/>
    <w:bookmarkEnd w:id="48"/>
    <w:p>
      <w:pPr>
        <w:spacing w:after="0" w:line="249" w:lineRule="auto"/>
        <w:rPr>
          <w:sz w:val="20"/>
          <w:szCs w:val="20"/>
          <w:color w:val="auto"/>
        </w:rPr>
      </w:pPr>
      <w:r>
        <w:rPr>
          <w:rFonts w:ascii="Arial" w:cs="Arial" w:eastAsia="Arial" w:hAnsi="Arial"/>
          <w:sz w:val="16"/>
          <w:szCs w:val="16"/>
          <w:color w:val="auto"/>
        </w:rPr>
        <w:t>exposure to regulatory enforcement and/or litigation, and have a negative effect on our existing business and on our ability to attract and retain new customers. On July 16, 2020, the European Court of Justice invalidated the EU–US Privacy Shield ruling that facilitated transfers of personal data from the European Economic Area to the U.S. because it failed to offer adequate protections for personal data. The European Court of Justice, in the same decision, deemed that the Standard Contractual Clauses ("SCCs"), approved by the European Commission for transfers of personal data between European Economic Area controllers and non-European Economic Area processors are valid, however the European Court of Justice deemed that transfers made pursuant to the SCCs need to be analyzed on a case-by-case basis to ensure the European Economic Area's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Economic Area may require their vendors to host all personal data within the European Economic Area and may decide to do business with one of our competitors who hosts personal data within the European Economic Area instead of doing business with us. In addition, some companies based in Europe may be reluctant to transfer personal data to us for processing outside the European Economic Area because of the burden on some requirements to conduct transfer impact assessments in order to rely on the SCCs as well as the substantial obligations that the recently updated SCCs impose upon data exporters. On March 21, 2022, the United Kingdom adopted new international data transfer agreement templates ("IGTAs") to facilitate transfers of personal data from the United Kingdom. The IGTAs allow for a transition period in which controllers and processors may move to the new forms. We are in the process of transitioning to the IGTAs and doing so will require significant effort and cost. The European Commission and the U.S. White House announced that they had reached an agreement in principle on a data transfer framework to replace the Privacy Shield 2.0. However, it is too soon to tell how this future framework will evolve and what impact it will have on our cross-border activities. We continue to monitor developments with respect to cross-border transfers and any prospective impacts on our activities.</w:t>
      </w:r>
    </w:p>
    <w:p>
      <w:pPr>
        <w:spacing w:after="0" w:line="338" w:lineRule="exact"/>
        <w:rPr>
          <w:sz w:val="20"/>
          <w:szCs w:val="20"/>
          <w:color w:val="auto"/>
        </w:rPr>
      </w:pPr>
    </w:p>
    <w:p>
      <w:pPr>
        <w:ind w:right="20" w:firstLine="509"/>
        <w:spacing w:after="0" w:line="235" w:lineRule="auto"/>
        <w:rPr>
          <w:sz w:val="20"/>
          <w:szCs w:val="20"/>
          <w:color w:val="auto"/>
        </w:rPr>
      </w:pPr>
      <w:r>
        <w:rPr>
          <w:rFonts w:ascii="Arial" w:cs="Arial" w:eastAsia="Arial" w:hAnsi="Arial"/>
          <w:sz w:val="17"/>
          <w:szCs w:val="17"/>
          <w:color w:val="auto"/>
        </w:rPr>
        <w:t>The regulatory framework governing the collection, processing, storage, use and sharing of certain information, particularly financial and other personal data, is rapidly evolving and is likely to continue to be subject to uncertainty and varying interpretations. In addition to new and strengthened laws and regulations in the U.S., European Union, and United Kingdom, many foreign jurisdictions have passed new laws, strengthened existing laws, or are contemplating new laws regulating personal data. For example, South Africa’s Protection of Personal Information Act came into force on July 1, 2021, and imposes significant new requirements, with potentially significant penalties for non-compliance, on businesses that operate in South Africa. India is contemplating a new Personal Data Protection Bill that would, among other things, make it challenging to transfer personal data from India to countries outside of India. It is possible that these laws may impose, or may be interpreted and applied to impose, requirements that are inconsistent with our existing data management practices or the features of our services and platform capabilities. Any failure or perceived failure by us, or any third parties with which we do business, to comply with our posted privacy policies,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44" w:lineRule="exact"/>
        <w:rPr>
          <w:sz w:val="20"/>
          <w:szCs w:val="20"/>
          <w:color w:val="auto"/>
        </w:rPr>
      </w:pPr>
    </w:p>
    <w:p>
      <w:pPr>
        <w:ind w:right="60" w:firstLine="509"/>
        <w:spacing w:after="0" w:line="238" w:lineRule="auto"/>
        <w:rPr>
          <w:sz w:val="20"/>
          <w:szCs w:val="20"/>
          <w:color w:val="auto"/>
        </w:rPr>
      </w:pPr>
      <w:r>
        <w:rPr>
          <w:rFonts w:ascii="Arial" w:cs="Arial" w:eastAsia="Arial" w:hAnsi="Arial"/>
          <w:sz w:val="17"/>
          <w:szCs w:val="17"/>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37" w:lineRule="exact"/>
        <w:rPr>
          <w:sz w:val="20"/>
          <w:szCs w:val="20"/>
          <w:color w:val="auto"/>
        </w:rPr>
      </w:pPr>
    </w:p>
    <w:p>
      <w:pPr>
        <w:ind w:firstLine="509"/>
        <w:spacing w:after="0" w:line="228" w:lineRule="auto"/>
        <w:rPr>
          <w:sz w:val="20"/>
          <w:szCs w:val="20"/>
          <w:color w:val="auto"/>
        </w:rPr>
      </w:pPr>
      <w:r>
        <w:rPr>
          <w:rFonts w:ascii="Arial" w:cs="Arial" w:eastAsia="Arial" w:hAnsi="Arial"/>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spacing w:after="0" w:line="16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9" w:name="page50"/>
    <w:bookmarkEnd w:id="49"/>
    <w:p>
      <w:pPr>
        <w:ind w:right="140" w:firstLine="509"/>
        <w:spacing w:after="0" w:line="239"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71" w:lineRule="exact"/>
        <w:rPr>
          <w:sz w:val="20"/>
          <w:szCs w:val="20"/>
          <w:color w:val="auto"/>
        </w:rPr>
      </w:pPr>
    </w:p>
    <w:p>
      <w:pPr>
        <w:ind w:left="1020" w:right="20" w:hanging="503"/>
        <w:spacing w:after="0" w:line="272"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127" w:lineRule="exact"/>
        <w:rPr>
          <w:rFonts w:ascii="Arial" w:cs="Arial" w:eastAsia="Arial" w:hAnsi="Arial"/>
          <w:sz w:val="16"/>
          <w:szCs w:val="16"/>
          <w:color w:val="auto"/>
        </w:rPr>
      </w:pPr>
    </w:p>
    <w:p>
      <w:pPr>
        <w:ind w:left="1020" w:right="80" w:hanging="503"/>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163" w:lineRule="exact"/>
        <w:rPr>
          <w:rFonts w:ascii="Arial" w:cs="Arial" w:eastAsia="Arial" w:hAnsi="Arial"/>
          <w:sz w:val="18"/>
          <w:szCs w:val="18"/>
          <w:color w:val="auto"/>
        </w:rPr>
      </w:pPr>
    </w:p>
    <w:p>
      <w:pPr>
        <w:ind w:left="1020" w:right="60" w:hanging="503"/>
        <w:spacing w:after="0" w:line="271"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15"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140"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color w:val="auto"/>
        </w:rPr>
        <w:t>Additionally, Payments, our end-to-end payment solution built natively as part of our CRM Platform, is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0" w:name="page51"/>
    <w:bookmarkEnd w:id="50"/>
    <w:p>
      <w:pPr>
        <w:ind w:right="220"/>
        <w:spacing w:after="0" w:line="246" w:lineRule="auto"/>
        <w:rPr>
          <w:sz w:val="20"/>
          <w:szCs w:val="20"/>
          <w:color w:val="auto"/>
        </w:rPr>
      </w:pPr>
      <w:r>
        <w:rPr>
          <w:rFonts w:ascii="Arial" w:cs="Arial" w:eastAsia="Arial" w:hAnsi="Arial"/>
          <w:sz w:val="18"/>
          <w:szCs w:val="18"/>
          <w:color w:val="auto"/>
        </w:rPr>
        <w:t>that are peripherally involved in the sale of infringing or allegedly infringing items. Any threatened or resulting claims could result in reputational harm, and any resulting liabilities, loss of transaction volume, or increased costs could harm our business.</w:t>
      </w:r>
    </w:p>
    <w:p>
      <w:pPr>
        <w:spacing w:after="0" w:line="14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If Payments is used for illegal or improper uses, we may incur substantial losses as a result of claims from merchants and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p>
    <w:p>
      <w:pPr>
        <w:spacing w:after="0" w:line="138" w:lineRule="exact"/>
        <w:rPr>
          <w:sz w:val="20"/>
          <w:szCs w:val="20"/>
          <w:color w:val="auto"/>
        </w:rPr>
      </w:pPr>
    </w:p>
    <w:p>
      <w:pPr>
        <w:ind w:right="860" w:firstLine="45"/>
        <w:spacing w:after="0" w:line="261"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117" w:lineRule="exact"/>
        <w:rPr>
          <w:sz w:val="20"/>
          <w:szCs w:val="20"/>
          <w:color w:val="auto"/>
        </w:rPr>
      </w:pPr>
    </w:p>
    <w:p>
      <w:pPr>
        <w:ind w:right="220" w:firstLine="509"/>
        <w:spacing w:after="0" w:line="239"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49" w:lineRule="exact"/>
        <w:rPr>
          <w:sz w:val="20"/>
          <w:szCs w:val="20"/>
          <w:color w:val="auto"/>
        </w:rPr>
      </w:pPr>
    </w:p>
    <w:p>
      <w:pPr>
        <w:ind w:right="60" w:firstLine="509"/>
        <w:spacing w:after="0" w:line="228"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51" w:lineRule="exact"/>
        <w:rPr>
          <w:sz w:val="20"/>
          <w:szCs w:val="20"/>
          <w:color w:val="auto"/>
        </w:rPr>
      </w:pPr>
    </w:p>
    <w:p>
      <w:pPr>
        <w:ind w:right="200"/>
        <w:spacing w:after="0" w:line="362"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spacing w:after="0" w:line="47" w:lineRule="exact"/>
        <w:rPr>
          <w:sz w:val="20"/>
          <w:szCs w:val="20"/>
          <w:color w:val="auto"/>
        </w:rPr>
      </w:pPr>
    </w:p>
    <w:p>
      <w:pPr>
        <w:ind w:right="20" w:firstLine="509"/>
        <w:spacing w:after="0" w:line="237"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CRM Platform and could impair our attractiveness to customers, which would harm our business.</w:t>
      </w:r>
    </w:p>
    <w:p>
      <w:pPr>
        <w:spacing w:after="0" w:line="153" w:lineRule="exact"/>
        <w:rPr>
          <w:sz w:val="20"/>
          <w:szCs w:val="20"/>
          <w:color w:val="auto"/>
        </w:rPr>
      </w:pPr>
    </w:p>
    <w:p>
      <w:pPr>
        <w:ind w:right="140" w:firstLine="509"/>
        <w:spacing w:after="0" w:line="242"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35" w:lineRule="exact"/>
        <w:rPr>
          <w:sz w:val="20"/>
          <w:szCs w:val="20"/>
          <w:color w:val="auto"/>
        </w:rPr>
      </w:pPr>
    </w:p>
    <w:p>
      <w:pPr>
        <w:ind w:firstLine="509"/>
        <w:spacing w:after="0" w:line="237" w:lineRule="auto"/>
        <w:rPr>
          <w:sz w:val="20"/>
          <w:szCs w:val="20"/>
          <w:color w:val="auto"/>
        </w:rPr>
      </w:pPr>
      <w:r>
        <w:rPr>
          <w:rFonts w:ascii="Arial" w:cs="Arial" w:eastAsia="Arial" w:hAnsi="Arial"/>
          <w:sz w:val="17"/>
          <w:szCs w:val="17"/>
          <w:color w:val="auto"/>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39" w:lineRule="exact"/>
        <w:rPr>
          <w:sz w:val="20"/>
          <w:szCs w:val="20"/>
          <w:color w:val="auto"/>
        </w:rPr>
      </w:pPr>
    </w:p>
    <w:p>
      <w:pPr>
        <w:jc w:val="both"/>
        <w:ind w:right="120" w:firstLine="509"/>
        <w:spacing w:after="0" w:line="235" w:lineRule="auto"/>
        <w:rPr>
          <w:sz w:val="20"/>
          <w:szCs w:val="20"/>
          <w:color w:val="auto"/>
        </w:rPr>
      </w:pPr>
      <w:r>
        <w:rPr>
          <w:rFonts w:ascii="Arial" w:cs="Arial" w:eastAsia="Arial" w:hAnsi="Arial"/>
          <w:sz w:val="18"/>
          <w:szCs w:val="18"/>
          <w:color w:val="auto"/>
        </w:rPr>
        <w:t>While these laws and regulations generally govern our customers’ use of our CRM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51" w:name="page52"/>
    <w:bookmarkEnd w:id="51"/>
    <w:p>
      <w:pPr>
        <w:ind w:right="40"/>
        <w:spacing w:after="0" w:line="228" w:lineRule="auto"/>
        <w:rPr>
          <w:sz w:val="20"/>
          <w:szCs w:val="20"/>
          <w:color w:val="auto"/>
        </w:rPr>
      </w:pPr>
      <w:r>
        <w:rPr>
          <w:rFonts w:ascii="Arial" w:cs="Arial" w:eastAsia="Arial" w:hAnsi="Arial"/>
          <w:sz w:val="18"/>
          <w:szCs w:val="18"/>
          <w:color w:val="auto"/>
        </w:rPr>
        <w:t>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16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17" w:lineRule="exact"/>
        <w:rPr>
          <w:sz w:val="20"/>
          <w:szCs w:val="20"/>
          <w:color w:val="auto"/>
        </w:rPr>
      </w:pPr>
    </w:p>
    <w:p>
      <w:pPr>
        <w:ind w:firstLine="509"/>
        <w:spacing w:after="0" w:line="237" w:lineRule="auto"/>
        <w:rPr>
          <w:sz w:val="20"/>
          <w:szCs w:val="20"/>
          <w:color w:val="auto"/>
        </w:rPr>
      </w:pPr>
      <w:r>
        <w:rPr>
          <w:rFonts w:ascii="Arial" w:cs="Arial" w:eastAsia="Arial" w:hAnsi="Arial"/>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These sanctions laws with which we must comply may also change rapidly from time to time as a result of geopolitical events, such as the recent imposition of sanctions on Russia as a result of the conflict between Russia and Ukraine.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7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117" w:lineRule="exact"/>
        <w:rPr>
          <w:sz w:val="20"/>
          <w:szCs w:val="20"/>
          <w:color w:val="auto"/>
        </w:rPr>
      </w:pPr>
    </w:p>
    <w:p>
      <w:pPr>
        <w:ind w:right="20" w:firstLine="509"/>
        <w:spacing w:after="0" w:line="239" w:lineRule="auto"/>
        <w:rPr>
          <w:sz w:val="20"/>
          <w:szCs w:val="20"/>
          <w:color w:val="auto"/>
        </w:rPr>
      </w:pPr>
      <w:r>
        <w:rPr>
          <w:rFonts w:ascii="Arial" w:cs="Arial" w:eastAsia="Arial" w:hAnsi="Arial"/>
          <w:sz w:val="17"/>
          <w:szCs w:val="17"/>
          <w:color w:val="auto"/>
        </w:rPr>
        <w:t>State, local, and non-U.S. jurisdictions have differing rules and regulations governing sales, use, value added, Digital Services Tax, and other taxes, and these rules and regulations are subject to varying interpretations that may change over time. In particular, the applicability of such taxes to our CRM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16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be increased.</w:t>
      </w:r>
    </w:p>
    <w:p>
      <w:pPr>
        <w:spacing w:after="0" w:line="1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30" w:lineRule="exact"/>
        <w:rPr>
          <w:sz w:val="20"/>
          <w:szCs w:val="20"/>
          <w:color w:val="auto"/>
        </w:rPr>
      </w:pPr>
    </w:p>
    <w:p>
      <w:pPr>
        <w:ind w:right="20" w:firstLine="509"/>
        <w:spacing w:after="0" w:line="258"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2" w:name="page53"/>
    <w:bookmarkEnd w:id="52"/>
    <w:p>
      <w:pPr>
        <w:spacing w:after="0" w:line="274" w:lineRule="auto"/>
        <w:rPr>
          <w:sz w:val="20"/>
          <w:szCs w:val="20"/>
          <w:color w:val="auto"/>
        </w:rPr>
      </w:pPr>
      <w:r>
        <w:rPr>
          <w:rFonts w:ascii="Arial" w:cs="Arial" w:eastAsia="Arial" w:hAnsi="Arial"/>
          <w:sz w:val="17"/>
          <w:szCs w:val="17"/>
          <w:color w:val="auto"/>
        </w:rPr>
        <w:t>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69" w:lineRule="exact"/>
        <w:rPr>
          <w:sz w:val="20"/>
          <w:szCs w:val="20"/>
          <w:color w:val="auto"/>
        </w:rPr>
      </w:pPr>
    </w:p>
    <w:p>
      <w:pPr>
        <w:ind w:firstLine="509"/>
        <w:spacing w:after="0" w:line="250" w:lineRule="auto"/>
        <w:rPr>
          <w:sz w:val="20"/>
          <w:szCs w:val="20"/>
          <w:color w:val="auto"/>
        </w:rPr>
      </w:pPr>
      <w:r>
        <w:rPr>
          <w:rFonts w:ascii="Arial" w:cs="Arial" w:eastAsia="Arial" w:hAnsi="Arial"/>
          <w:sz w:val="16"/>
          <w:szCs w:val="16"/>
          <w:color w:val="auto"/>
        </w:rPr>
        <w:t>We have incurred losses during our history and do not expect to become profitable in the near future, and we may never achieve profitability. As of December 31, 2021, we had $1.2 billion of U.S. federal and $737.8 million of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Under current law, U.S federal and certain state net operating loss carryforwards incurred for periods beginning on or after January 1, 2018 would not expire unused because they can be carried forward indefinitely. Our unused U.S. federal net operating losses arising in taxable years beginning after December 31, 2017 and before January 1, 2021 may generally be carried back to each of the two taxable years preceding the tax year of such losses, but those losses arising in taxable years beginning after December 31, 2017 may not be carried back. Moreover, for taxable years beginning after December 31, 2017, the deductibility of our U.S. federal net operating losses is limited to 80% of our taxable income in any future taxable year. States have varying carryback and carryforward periods. Moreover, certain states have enacted rules that limit the utilization of loss carryforwards, which also change from time-to-time.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71"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We generated net losses of $65.7 million and $47.7 million for the six months ended June 30, 2022 and 2021, respectively. As of June 30, 2022, we had an accumulated deficit of $595.3 million. We will need to generate and sustain increased revenue levels in future periods to become profitable, and, even if we do, we may not be able to maintain or increase our level of profitability. We have spent and intend to continue to expend funds to grow our marketing, sales, customer service, operations,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may invest funds in social impact investment funds, and may receive no return on our investment or lose our entire investment.</w:t>
      </w:r>
    </w:p>
    <w:p>
      <w:pPr>
        <w:spacing w:after="0" w:line="192" w:lineRule="exact"/>
        <w:rPr>
          <w:sz w:val="20"/>
          <w:szCs w:val="20"/>
          <w:color w:val="auto"/>
        </w:rPr>
      </w:pPr>
    </w:p>
    <w:p>
      <w:pPr>
        <w:ind w:right="80" w:firstLine="509"/>
        <w:spacing w:after="0" w:line="238" w:lineRule="auto"/>
        <w:rPr>
          <w:sz w:val="20"/>
          <w:szCs w:val="20"/>
          <w:color w:val="auto"/>
        </w:rPr>
      </w:pPr>
      <w:r>
        <w:rPr>
          <w:rFonts w:ascii="Arial" w:cs="Arial" w:eastAsia="Arial" w:hAnsi="Arial"/>
          <w:sz w:val="17"/>
          <w:szCs w:val="17"/>
          <w:color w:val="auto"/>
        </w:rPr>
        <w:t>From time to time, we may invest in social impact investment funds. For example, in December 2020, we committed to invest $12.5 million in the Black Economic Development Fund (“BEDF”) by December 2023. As of June 30, 2022, we have made contributions of $3.3 million in cash for an aggregate of 5% ownership interest and income share in the BEDF. The BEDF is managed by the Local Initiatives Support Corporation (“LISC”), which expects to make investments from the BEDF in the form of bank deposits, bridge financing, and other financing to Black-led businesses, financial institutions, and anchor institutions. In December 2021, we invested the remaining commitment of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30"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3" w:name="page54"/>
    <w:bookmarkEnd w:id="53"/>
    <w:p>
      <w:pPr>
        <w:ind w:right="280"/>
        <w:spacing w:after="0" w:line="246" w:lineRule="auto"/>
        <w:rPr>
          <w:sz w:val="20"/>
          <w:szCs w:val="20"/>
          <w:color w:val="auto"/>
        </w:rPr>
      </w:pPr>
      <w:r>
        <w:rPr>
          <w:rFonts w:ascii="Arial" w:cs="Arial" w:eastAsia="Arial" w:hAnsi="Arial"/>
          <w:sz w:val="18"/>
          <w:szCs w:val="18"/>
          <w:color w:val="auto"/>
        </w:rPr>
        <w:t>our operating results on a period-to-period basis may not be meaningful. In addition to the other risks described in this Quarterly Report on Form 10-Q, factors that may affect our quarterly operating results include the following:</w:t>
      </w:r>
    </w:p>
    <w:p>
      <w:pPr>
        <w:spacing w:after="0" w:line="156"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71" w:lineRule="exact"/>
        <w:rPr>
          <w:rFonts w:ascii="Arial" w:cs="Arial" w:eastAsia="Arial" w:hAnsi="Arial"/>
          <w:sz w:val="18"/>
          <w:szCs w:val="18"/>
          <w:color w:val="auto"/>
        </w:rPr>
      </w:pPr>
    </w:p>
    <w:p>
      <w:pPr>
        <w:ind w:left="1020" w:right="9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our CRM Platform subscriptions effectively so that we are able to attract and retain customers without compromising our profitability;</w:t>
      </w:r>
    </w:p>
    <w:p>
      <w:pPr>
        <w:spacing w:after="0" w:line="130"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new customers for our marketing, sales, customer service, operations, and content management software, increasing our existing customers’ use of our platform and providing our customers with excellent customer support;</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171"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71"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207" w:lineRule="exact"/>
        <w:rPr>
          <w:rFonts w:ascii="Arial" w:cs="Arial" w:eastAsia="Arial" w:hAnsi="Arial"/>
          <w:sz w:val="16"/>
          <w:szCs w:val="16"/>
          <w:color w:val="auto"/>
        </w:rPr>
      </w:pPr>
    </w:p>
    <w:p>
      <w:pPr>
        <w:ind w:left="1020" w:right="52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130"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rising inflation in the economies in which we operate and our ability to control costs, including operating expenses;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158"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15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17" w:lineRule="exact"/>
        <w:rPr>
          <w:sz w:val="20"/>
          <w:szCs w:val="20"/>
          <w:color w:val="auto"/>
        </w:rPr>
      </w:pPr>
    </w:p>
    <w:p>
      <w:pPr>
        <w:jc w:val="both"/>
        <w:ind w:right="460" w:firstLine="509"/>
        <w:spacing w:after="0" w:line="276" w:lineRule="auto"/>
        <w:rPr>
          <w:sz w:val="20"/>
          <w:szCs w:val="20"/>
          <w:color w:val="auto"/>
        </w:rPr>
      </w:pPr>
      <w:r>
        <w:rPr>
          <w:rFonts w:ascii="Arial" w:cs="Arial" w:eastAsia="Arial" w:hAnsi="Arial"/>
          <w:sz w:val="16"/>
          <w:szCs w:val="16"/>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1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130" w:lineRule="exact"/>
        <w:rPr>
          <w:sz w:val="20"/>
          <w:szCs w:val="20"/>
          <w:color w:val="auto"/>
        </w:rPr>
      </w:pPr>
    </w:p>
    <w:p>
      <w:pPr>
        <w:ind w:firstLine="509"/>
        <w:spacing w:after="0" w:line="256" w:lineRule="auto"/>
        <w:rPr>
          <w:sz w:val="20"/>
          <w:szCs w:val="20"/>
          <w:color w:val="auto"/>
        </w:rPr>
      </w:pPr>
      <w:r>
        <w:rPr>
          <w:rFonts w:ascii="Arial" w:cs="Arial" w:eastAsia="Arial" w:hAnsi="Arial"/>
          <w:sz w:val="16"/>
          <w:szCs w:val="16"/>
          <w:color w:val="auto"/>
        </w:rPr>
        <w:t>We offer our CRM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balance through additional sales in any period, as revenue from new customers must be recognized over the applicable subscription term.</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17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141" w:lineRule="exact"/>
        <w:rPr>
          <w:sz w:val="20"/>
          <w:szCs w:val="20"/>
          <w:color w:val="auto"/>
        </w:rPr>
      </w:pPr>
    </w:p>
    <w:p>
      <w:pPr>
        <w:ind w:right="20" w:firstLine="509"/>
        <w:spacing w:after="0" w:line="237" w:lineRule="auto"/>
        <w:rPr>
          <w:sz w:val="20"/>
          <w:szCs w:val="20"/>
          <w:color w:val="auto"/>
        </w:rPr>
      </w:pPr>
      <w:r>
        <w:rPr>
          <w:rFonts w:ascii="Arial" w:cs="Arial" w:eastAsia="Arial" w:hAnsi="Arial"/>
          <w:sz w:val="17"/>
          <w:szCs w:val="17"/>
          <w:color w:val="auto"/>
        </w:rPr>
        <w:t>In June 2020, we incurred indebtedness in the aggregate principal amount of $460.0 million in connection with the issuance of our 0.375% convertible senior notes due June 1, 2025 (the “2025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35" w:lineRule="exact"/>
        <w:rPr>
          <w:sz w:val="20"/>
          <w:szCs w:val="20"/>
          <w:color w:val="auto"/>
        </w:rPr>
      </w:pPr>
    </w:p>
    <w:p>
      <w:pPr>
        <w:ind w:firstLine="509"/>
        <w:spacing w:after="0" w:line="236" w:lineRule="auto"/>
        <w:rPr>
          <w:sz w:val="20"/>
          <w:szCs w:val="20"/>
          <w:color w:val="auto"/>
        </w:rPr>
      </w:pPr>
      <w:r>
        <w:rPr>
          <w:rFonts w:ascii="Arial" w:cs="Arial" w:eastAsia="Arial" w:hAnsi="Arial"/>
          <w:sz w:val="17"/>
          <w:szCs w:val="17"/>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therefore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40" w:lineRule="exact"/>
        <w:rPr>
          <w:sz w:val="20"/>
          <w:szCs w:val="20"/>
          <w:color w:val="auto"/>
        </w:rPr>
      </w:pPr>
    </w:p>
    <w:p>
      <w:pPr>
        <w:ind w:right="1040" w:firstLine="509"/>
        <w:spacing w:after="0" w:line="246"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156" w:lineRule="exact"/>
        <w:rPr>
          <w:sz w:val="20"/>
          <w:szCs w:val="20"/>
          <w:color w:val="auto"/>
        </w:rPr>
      </w:pPr>
    </w:p>
    <w:p>
      <w:pPr>
        <w:ind w:left="1020" w:right="4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158" w:lineRule="exact"/>
        <w:rPr>
          <w:sz w:val="20"/>
          <w:szCs w:val="20"/>
          <w:color w:val="auto"/>
        </w:rPr>
      </w:pPr>
    </w:p>
    <w:p>
      <w:pPr>
        <w:ind w:right="620" w:firstLine="509"/>
        <w:spacing w:after="0" w:line="274"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71"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In the event the conditional conversion feature of the 2025 Notes is triggered, the holders thereof will be entitled to convert the 2025 Notes at any time during specified periods at their option. During the three months ended June 30, 2022, the 2025 Notes did not meet the Conversion Option and are not convertible. Whether the Notes that remain outstanding will be convertible following the calendar quarter ending June 30, 2022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5" w:name="page56"/>
    <w:bookmarkEnd w:id="55"/>
    <w:p>
      <w:pPr>
        <w:ind w:right="180"/>
        <w:spacing w:after="0" w:line="246" w:lineRule="auto"/>
        <w:rPr>
          <w:sz w:val="20"/>
          <w:szCs w:val="20"/>
          <w:color w:val="auto"/>
        </w:rPr>
      </w:pPr>
      <w:r>
        <w:rPr>
          <w:rFonts w:ascii="Arial" w:cs="Arial" w:eastAsia="Arial" w:hAnsi="Arial"/>
          <w:sz w:val="18"/>
          <w:szCs w:val="18"/>
          <w:color w:val="auto"/>
        </w:rPr>
        <w:t>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5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17" w:lineRule="exact"/>
        <w:rPr>
          <w:sz w:val="20"/>
          <w:szCs w:val="20"/>
          <w:color w:val="auto"/>
        </w:rPr>
      </w:pPr>
    </w:p>
    <w:p>
      <w:pPr>
        <w:ind w:firstLine="509"/>
        <w:spacing w:after="0" w:line="236" w:lineRule="auto"/>
        <w:rPr>
          <w:sz w:val="20"/>
          <w:szCs w:val="20"/>
          <w:color w:val="auto"/>
        </w:rPr>
      </w:pPr>
      <w:r>
        <w:rPr>
          <w:rFonts w:ascii="Arial" w:cs="Arial" w:eastAsia="Arial" w:hAnsi="Arial"/>
          <w:sz w:val="17"/>
          <w:szCs w:val="17"/>
          <w:color w:val="auto"/>
        </w:rPr>
        <w:t>Under Financial Accounting Standards Board (“ FASB”) Accounting Standards Codification 470-20, Debt with Conversion and Other Options,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 equity component, to be recorded as additional paid-in capital within stockholders’ equity in our consolidated balance sheet and as a discount to the Notes, which reduces their initial carrying value. The carrying value of the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Notes. In addition, convertible debt instruments (such as the Notes) that may be settled entirely or partly cash were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w:t>
      </w:r>
    </w:p>
    <w:p>
      <w:pPr>
        <w:spacing w:after="0" w:line="137" w:lineRule="exact"/>
        <w:rPr>
          <w:sz w:val="20"/>
          <w:szCs w:val="20"/>
          <w:color w:val="auto"/>
        </w:rPr>
      </w:pPr>
    </w:p>
    <w:p>
      <w:pPr>
        <w:ind w:firstLine="509"/>
        <w:spacing w:after="0"/>
        <w:rPr>
          <w:sz w:val="20"/>
          <w:szCs w:val="20"/>
          <w:color w:val="auto"/>
        </w:rPr>
      </w:pPr>
      <w:r>
        <w:rPr>
          <w:rFonts w:ascii="Arial" w:cs="Arial" w:eastAsia="Arial" w:hAnsi="Arial"/>
          <w:sz w:val="17"/>
          <w:szCs w:val="17"/>
          <w:color w:val="auto"/>
        </w:rPr>
        <w:t>In August 2020, the FASB published an Accounting Standards Update (“ASU”) 2020-06, which amends the accounting standards for convertible debt instruments that may be settled entirely or partially in cash upon conversion.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 using the modified retrospective method. Future interest expense of the convertible notes will be lower as a result of adoption of this guidance and net loss per share will be computed using the if-converted method for these securities. See Note 8 of the consolidated financial statements for more details.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71" w:lineRule="exact"/>
        <w:rPr>
          <w:sz w:val="20"/>
          <w:szCs w:val="20"/>
          <w:color w:val="auto"/>
        </w:rPr>
      </w:pPr>
    </w:p>
    <w:p>
      <w:pPr>
        <w:ind w:right="120" w:firstLine="509"/>
        <w:spacing w:after="0" w:line="231"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June 30, 2022. The market price of our common stock may fluctuate significantly in response to numerous factors, many of which are beyond our control, including:</w:t>
      </w:r>
    </w:p>
    <w:p>
      <w:pPr>
        <w:spacing w:after="0" w:line="148" w:lineRule="exact"/>
        <w:rPr>
          <w:sz w:val="20"/>
          <w:szCs w:val="20"/>
          <w:color w:val="auto"/>
        </w:rPr>
      </w:pPr>
    </w:p>
    <w:p>
      <w:pPr>
        <w:ind w:left="1020" w:right="3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130"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71" w:lineRule="exact"/>
        <w:rPr>
          <w:rFonts w:ascii="Arial" w:cs="Arial" w:eastAsia="Arial" w:hAnsi="Arial"/>
          <w:sz w:val="18"/>
          <w:szCs w:val="18"/>
          <w:color w:val="auto"/>
        </w:rPr>
      </w:pPr>
    </w:p>
    <w:p>
      <w:pPr>
        <w:ind w:left="1020" w:right="380" w:hanging="503"/>
        <w:spacing w:after="0" w:line="324"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83" w:lineRule="exact"/>
        <w:rPr>
          <w:rFonts w:ascii="Arial" w:cs="Arial" w:eastAsia="Arial" w:hAnsi="Arial"/>
          <w:sz w:val="16"/>
          <w:szCs w:val="16"/>
          <w:color w:val="auto"/>
        </w:rPr>
      </w:pPr>
    </w:p>
    <w:p>
      <w:pPr>
        <w:ind w:left="1020" w:right="5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14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6" w:name="page57"/>
    <w:bookmarkEnd w:id="56"/>
    <w:p>
      <w:pPr>
        <w:ind w:left="1020" w:right="1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71"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 international disputes, wars (such as the conflict between Russia and Ukraine), and political stability.</w:t>
      </w:r>
    </w:p>
    <w:p>
      <w:pPr>
        <w:spacing w:after="0" w:line="130" w:lineRule="exact"/>
        <w:rPr>
          <w:sz w:val="20"/>
          <w:szCs w:val="20"/>
          <w:color w:val="auto"/>
        </w:rPr>
      </w:pPr>
    </w:p>
    <w:p>
      <w:pPr>
        <w:jc w:val="both"/>
        <w:ind w:right="20" w:firstLine="509"/>
        <w:spacing w:after="0" w:line="235"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34" w:lineRule="exact"/>
        <w:rPr>
          <w:sz w:val="20"/>
          <w:szCs w:val="20"/>
          <w:color w:val="auto"/>
        </w:rPr>
      </w:pPr>
    </w:p>
    <w:p>
      <w:pPr>
        <w:jc w:val="both"/>
        <w:ind w:right="260" w:firstLine="509"/>
        <w:spacing w:after="0" w:line="235"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30" w:lineRule="exact"/>
        <w:rPr>
          <w:sz w:val="20"/>
          <w:szCs w:val="20"/>
          <w:color w:val="auto"/>
        </w:rPr>
      </w:pPr>
    </w:p>
    <w:p>
      <w:pPr>
        <w:ind w:right="100" w:firstLine="509"/>
        <w:spacing w:after="0" w:line="228"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37" w:lineRule="exact"/>
        <w:rPr>
          <w:sz w:val="20"/>
          <w:szCs w:val="20"/>
          <w:color w:val="auto"/>
        </w:rPr>
      </w:pPr>
    </w:p>
    <w:p>
      <w:pPr>
        <w:ind w:firstLine="509"/>
        <w:spacing w:after="0" w:line="254"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24" w:lineRule="exact"/>
        <w:rPr>
          <w:sz w:val="20"/>
          <w:szCs w:val="20"/>
          <w:color w:val="auto"/>
        </w:rPr>
      </w:pPr>
    </w:p>
    <w:p>
      <w:pPr>
        <w:ind w:right="120" w:firstLine="509"/>
        <w:spacing w:after="0" w:line="237" w:lineRule="auto"/>
        <w:rPr>
          <w:sz w:val="20"/>
          <w:szCs w:val="20"/>
          <w:color w:val="auto"/>
        </w:rPr>
      </w:pPr>
      <w:r>
        <w:rPr>
          <w:rFonts w:ascii="Arial" w:cs="Arial" w:eastAsia="Arial" w:hAnsi="Arial"/>
          <w:sz w:val="17"/>
          <w:szCs w:val="17"/>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for the near term,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58"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148" w:lineRule="exact"/>
        <w:rPr>
          <w:sz w:val="20"/>
          <w:szCs w:val="20"/>
          <w:color w:val="auto"/>
        </w:rPr>
      </w:pPr>
    </w:p>
    <w:p>
      <w:pPr>
        <w:ind w:left="1020" w:right="7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57" w:name="page58"/>
    <w:bookmarkEnd w:id="57"/>
    <w:p>
      <w:pPr>
        <w:ind w:left="1020" w:right="6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71"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94"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58" w:lineRule="exact"/>
        <w:rPr>
          <w:sz w:val="20"/>
          <w:szCs w:val="20"/>
          <w:color w:val="auto"/>
        </w:rPr>
      </w:pPr>
    </w:p>
    <w:p>
      <w:pPr>
        <w:ind w:right="20" w:firstLine="509"/>
        <w:spacing w:after="0" w:line="307"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96"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continuing effects of the COVID-19 pandemic are highly unpredictable and could be significant, and the duration and extent to which this will impact our future results of operations and overall financial performance remains uncertain.</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6"/>
          <w:szCs w:val="16"/>
          <w:color w:val="auto"/>
        </w:rPr>
        <w:t>The COVID-19 pandemic and virus containment measures taken by federal and state governments have resulted in, and may continue to result in, business slowdowns or shutdowns, weakened economic conditions, economic uncertainty, and volatility in the financial markets, both regionally and worldwide. During the height of the COVID-19 pandemic with substantial modifications to employee travel and where employees work, as well as virtualization, postponement, or cancellation of certain events, among other changes. We have re-opened our offices on a staggered, region-by-region basis in accordance with local authority guidelines. Although we have been able to navigate workplace restrictions and limitations with minimal disruptions to our business operations to date, we may further modify our business practices and real estate needs in response to the risks and negative impacts caused by the COVID-19 pandemic, but we cannot be certain that these measures will continue to be successful. We continue to actively monitor the situation and may take further actions to alter our business operations as may be required by federal, state, or local authorities, or that we determine are in the best interests of our employees, customers, partners, suppliers, and stockholders, including in response to outbreaks and variants.</w:t>
      </w:r>
    </w:p>
    <w:p>
      <w:pPr>
        <w:spacing w:after="0" w:line="124" w:lineRule="exact"/>
        <w:rPr>
          <w:sz w:val="20"/>
          <w:szCs w:val="20"/>
          <w:color w:val="auto"/>
        </w:rPr>
      </w:pPr>
    </w:p>
    <w:p>
      <w:pPr>
        <w:ind w:right="80" w:firstLine="509"/>
        <w:spacing w:after="0" w:line="227" w:lineRule="auto"/>
        <w:rPr>
          <w:sz w:val="20"/>
          <w:szCs w:val="20"/>
          <w:color w:val="auto"/>
        </w:rPr>
      </w:pPr>
      <w:r>
        <w:rPr>
          <w:rFonts w:ascii="Arial" w:cs="Arial" w:eastAsia="Arial" w:hAnsi="Arial"/>
          <w:sz w:val="18"/>
          <w:szCs w:val="18"/>
          <w:color w:val="auto"/>
        </w:rPr>
        <w:t>While we have not been materially adversely affected to date, the conditions caused by the pandemic may affect the rate of spending on software products and may adversely affect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and its residual effects have a substantial impact on the ability of our customers to purchase our offerings, our results of operations, and overall financial performance may be harmed.</w:t>
      </w:r>
    </w:p>
    <w:p>
      <w:pPr>
        <w:spacing w:after="0" w:line="148" w:lineRule="exact"/>
        <w:rPr>
          <w:sz w:val="20"/>
          <w:szCs w:val="20"/>
          <w:color w:val="auto"/>
        </w:rPr>
      </w:pPr>
    </w:p>
    <w:p>
      <w:pPr>
        <w:ind w:right="80" w:firstLine="509"/>
        <w:spacing w:after="0" w:line="228" w:lineRule="auto"/>
        <w:rPr>
          <w:sz w:val="20"/>
          <w:szCs w:val="20"/>
          <w:color w:val="auto"/>
        </w:rPr>
      </w:pPr>
      <w:r>
        <w:rPr>
          <w:rFonts w:ascii="Arial" w:cs="Arial" w:eastAsia="Arial" w:hAnsi="Arial"/>
          <w:sz w:val="18"/>
          <w:szCs w:val="18"/>
          <w:color w:val="auto"/>
        </w:rPr>
        <w:t>The extent to which the pandemic impacts our business operations in future periods will depend on multiple factors that cannot be accurately predicted at this time, such as the duration and scope of the pandemic, future spikes of COVID-19 infections (including the spread of variants or mutant strains, and the degree of transmissibility and severity thereof),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3" w:right="419" w:bottom="1440" w:gutter="0" w:footer="0" w:header="0"/>
        </w:sectPr>
      </w:pPr>
    </w:p>
    <w:bookmarkStart w:id="58" w:name="page59"/>
    <w:bookmarkEnd w:id="58"/>
    <w:p>
      <w:pPr>
        <w:ind w:right="440"/>
        <w:spacing w:after="0" w:line="246" w:lineRule="auto"/>
        <w:rPr>
          <w:sz w:val="20"/>
          <w:szCs w:val="20"/>
          <w:color w:val="auto"/>
        </w:rPr>
      </w:pPr>
      <w:r>
        <w:rPr>
          <w:rFonts w:ascii="Arial" w:cs="Arial" w:eastAsia="Arial" w:hAnsi="Arial"/>
          <w:sz w:val="18"/>
          <w:szCs w:val="18"/>
          <w:color w:val="auto"/>
        </w:rPr>
        <w:t>In addition, supply chain disruption and resulting inflationary pressures, a global labor shortage, the ebb and flow of COVID-19, including in specific geographies, and changes in economic policy could impact our outlook.</w:t>
      </w:r>
    </w:p>
    <w:p>
      <w:pPr>
        <w:spacing w:after="0" w:line="143" w:lineRule="exact"/>
        <w:rPr>
          <w:sz w:val="20"/>
          <w:szCs w:val="20"/>
          <w:color w:val="auto"/>
        </w:rPr>
      </w:pPr>
    </w:p>
    <w:p>
      <w:pPr>
        <w:ind w:right="140" w:firstLine="509"/>
        <w:spacing w:after="0" w:line="266" w:lineRule="auto"/>
        <w:rPr>
          <w:sz w:val="20"/>
          <w:szCs w:val="20"/>
          <w:color w:val="auto"/>
        </w:rPr>
      </w:pPr>
      <w:r>
        <w:rPr>
          <w:rFonts w:ascii="Arial" w:cs="Arial" w:eastAsia="Arial" w:hAnsi="Arial"/>
          <w:sz w:val="16"/>
          <w:szCs w:val="16"/>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58" w:lineRule="exact"/>
        <w:rPr>
          <w:sz w:val="20"/>
          <w:szCs w:val="20"/>
          <w:color w:val="auto"/>
        </w:rPr>
      </w:pPr>
    </w:p>
    <w:p>
      <w:pPr>
        <w:ind w:right="20" w:firstLine="509"/>
        <w:spacing w:after="0" w:line="242"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58" w:lineRule="exact"/>
        <w:rPr>
          <w:sz w:val="20"/>
          <w:szCs w:val="20"/>
          <w:color w:val="auto"/>
        </w:rPr>
      </w:pPr>
    </w:p>
    <w:p>
      <w:pPr>
        <w:ind w:firstLine="509"/>
        <w:spacing w:after="0" w:line="228" w:lineRule="auto"/>
        <w:rPr>
          <w:sz w:val="20"/>
          <w:szCs w:val="20"/>
          <w:color w:val="auto"/>
        </w:rPr>
      </w:pPr>
      <w:r>
        <w:rPr>
          <w:rFonts w:ascii="Arial" w:cs="Arial" w:eastAsia="Arial" w:hAnsi="Arial"/>
          <w:sz w:val="18"/>
          <w:szCs w:val="18"/>
          <w:color w:val="auto"/>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200" w:lineRule="exact"/>
        <w:rPr>
          <w:sz w:val="20"/>
          <w:szCs w:val="20"/>
          <w:color w:val="auto"/>
        </w:rPr>
      </w:pPr>
    </w:p>
    <w:p>
      <w:pPr>
        <w:spacing w:after="0" w:line="315" w:lineRule="exact"/>
        <w:rPr>
          <w:sz w:val="20"/>
          <w:szCs w:val="20"/>
          <w:color w:val="auto"/>
        </w:rPr>
      </w:pPr>
    </w:p>
    <w:p>
      <w:pPr>
        <w:ind w:right="80" w:firstLine="554"/>
        <w:spacing w:after="0" w:line="256" w:lineRule="auto"/>
        <w:rPr>
          <w:sz w:val="20"/>
          <w:szCs w:val="20"/>
          <w:color w:val="auto"/>
        </w:rPr>
      </w:pPr>
      <w:r>
        <w:rPr>
          <w:rFonts w:ascii="Arial" w:cs="Arial" w:eastAsia="Arial" w:hAnsi="Arial"/>
          <w:sz w:val="16"/>
          <w:szCs w:val="16"/>
          <w:color w:val="auto"/>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3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9" w:name="page60"/>
    <w:bookmarkEnd w:id="59"/>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Report.</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80" w:type="dxa"/>
            <w:vAlign w:val="bottom"/>
            <w:gridSpan w:val="7"/>
            <w:vMerge w:val="restart"/>
          </w:tcPr>
          <w:p>
            <w:pPr>
              <w:ind w:left="6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6"/>
        </w:trPr>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3"/>
              </w:rPr>
              <w:t>3.1(1)</w:t>
            </w:r>
          </w:p>
        </w:tc>
        <w:tc>
          <w:tcPr>
            <w:tcW w:w="5580" w:type="dxa"/>
            <w:vAlign w:val="bottom"/>
            <w:tcBorders>
              <w:bottom w:val="single" w:sz="8" w:color="0000FF"/>
            </w:tcBorders>
            <w:gridSpan w:val="7"/>
          </w:tcPr>
          <w:p>
            <w:pPr>
              <w:ind w:left="20"/>
              <w:spacing w:after="0"/>
              <w:rPr>
                <w:rFonts w:ascii="Arial" w:cs="Arial" w:eastAsia="Arial" w:hAnsi="Arial"/>
                <w:sz w:val="18"/>
                <w:szCs w:val="18"/>
                <w:color w:val="0000FF"/>
                <w:w w:val="90"/>
              </w:rPr>
            </w:pPr>
            <w:hyperlink r:id="rId368">
              <w:r>
                <w:rPr>
                  <w:rFonts w:ascii="Arial" w:cs="Arial" w:eastAsia="Arial" w:hAnsi="Arial"/>
                  <w:sz w:val="18"/>
                  <w:szCs w:val="18"/>
                  <w:color w:val="0000FF"/>
                  <w:w w:val="90"/>
                </w:rPr>
                <w:t>Seventh Amended and Restated Certificate of Incorporation of the Registrant</w:t>
              </w:r>
            </w:hyperlink>
          </w:p>
        </w:tc>
        <w:tc>
          <w:tcPr>
            <w:tcW w:w="4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3"/>
              </w:rPr>
              <w:t>3.2(2)</w:t>
            </w:r>
          </w:p>
        </w:tc>
        <w:tc>
          <w:tcPr>
            <w:tcW w:w="4000" w:type="dxa"/>
            <w:vAlign w:val="bottom"/>
            <w:tcBorders>
              <w:bottom w:val="single" w:sz="8" w:color="0000EE"/>
            </w:tcBorders>
            <w:gridSpan w:val="5"/>
          </w:tcPr>
          <w:p>
            <w:pPr>
              <w:ind w:left="20"/>
              <w:spacing w:after="0"/>
              <w:rPr>
                <w:rFonts w:ascii="Arial" w:cs="Arial" w:eastAsia="Arial" w:hAnsi="Arial"/>
                <w:sz w:val="18"/>
                <w:szCs w:val="18"/>
                <w:color w:val="0000FF"/>
                <w:w w:val="91"/>
              </w:rPr>
            </w:pPr>
            <w:hyperlink r:id="rId369">
              <w:r>
                <w:rPr>
                  <w:rFonts w:ascii="Arial" w:cs="Arial" w:eastAsia="Arial" w:hAnsi="Arial"/>
                  <w:sz w:val="18"/>
                  <w:szCs w:val="18"/>
                  <w:color w:val="0000FF"/>
                  <w:w w:val="91"/>
                </w:rPr>
                <w:t>Third Amended and Restated Bylaws of the Registrant</w:t>
              </w:r>
            </w:hyperlink>
          </w:p>
        </w:tc>
        <w:tc>
          <w:tcPr>
            <w:tcW w:w="5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3"/>
              </w:rPr>
              <w:t>3.3(3)</w:t>
            </w:r>
          </w:p>
        </w:tc>
        <w:tc>
          <w:tcPr>
            <w:tcW w:w="9980" w:type="dxa"/>
            <w:vAlign w:val="bottom"/>
            <w:gridSpan w:val="12"/>
          </w:tcPr>
          <w:p>
            <w:pPr>
              <w:ind w:left="20"/>
              <w:spacing w:after="0"/>
              <w:rPr>
                <w:rFonts w:ascii="Arial" w:cs="Arial" w:eastAsia="Arial" w:hAnsi="Arial"/>
                <w:sz w:val="18"/>
                <w:szCs w:val="18"/>
                <w:color w:val="0000FF"/>
              </w:rPr>
            </w:pPr>
            <w:hyperlink r:id="rId370">
              <w:r>
                <w:rPr>
                  <w:rFonts w:ascii="Arial" w:cs="Arial" w:eastAsia="Arial" w:hAnsi="Arial"/>
                  <w:sz w:val="18"/>
                  <w:szCs w:val="18"/>
                  <w:color w:val="0000FF"/>
                </w:rPr>
                <w:t>First Amendment to Third Amended and Restated Bylaws of the Registrant</w:t>
              </w:r>
            </w:hyperlink>
          </w:p>
        </w:tc>
        <w:tc>
          <w:tcPr>
            <w:tcW w:w="0" w:type="dxa"/>
            <w:vAlign w:val="bottom"/>
          </w:tcPr>
          <w:p>
            <w:pPr>
              <w:spacing w:after="0"/>
              <w:rPr>
                <w:sz w:val="1"/>
                <w:szCs w:val="1"/>
                <w:color w:val="auto"/>
              </w:rPr>
            </w:pPr>
          </w:p>
        </w:tc>
      </w:tr>
      <w:tr>
        <w:trPr>
          <w:trHeight w:val="331"/>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3"/>
              </w:rPr>
              <w:t>4.1(4)</w:t>
            </w:r>
          </w:p>
        </w:tc>
        <w:tc>
          <w:tcPr>
            <w:tcW w:w="378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1"/>
              </w:rPr>
            </w:pPr>
            <w:hyperlink r:id="rId371">
              <w:r>
                <w:rPr>
                  <w:rFonts w:ascii="Arial" w:cs="Arial" w:eastAsia="Arial" w:hAnsi="Arial"/>
                  <w:sz w:val="18"/>
                  <w:szCs w:val="18"/>
                  <w:color w:val="0000FF"/>
                  <w:w w:val="91"/>
                </w:rPr>
                <w:t>Form of Common Stock certificate of the Registrant</w:t>
              </w:r>
            </w:hyperlink>
          </w:p>
        </w:tc>
        <w:tc>
          <w:tcPr>
            <w:tcW w:w="20" w:type="dxa"/>
            <w:vAlign w:val="bottom"/>
            <w:tcBorders>
              <w:top w:val="single" w:sz="8" w:color="0000FF"/>
              <w:bottom w:val="single" w:sz="8" w:color="0000EE"/>
            </w:tcBorders>
          </w:tcPr>
          <w:p>
            <w:pPr>
              <w:spacing w:after="0"/>
              <w:rPr>
                <w:sz w:val="24"/>
                <w:szCs w:val="24"/>
                <w:color w:val="auto"/>
              </w:rPr>
            </w:pPr>
          </w:p>
        </w:tc>
        <w:tc>
          <w:tcPr>
            <w:tcW w:w="1640" w:type="dxa"/>
            <w:vAlign w:val="bottom"/>
            <w:tcBorders>
              <w:top w:val="single" w:sz="8" w:color="0000FF"/>
            </w:tcBorders>
            <w:gridSpan w:val="2"/>
          </w:tcPr>
          <w:p>
            <w:pPr>
              <w:spacing w:after="0"/>
              <w:rPr>
                <w:sz w:val="24"/>
                <w:szCs w:val="24"/>
                <w:color w:val="auto"/>
              </w:rPr>
            </w:pPr>
          </w:p>
        </w:tc>
        <w:tc>
          <w:tcPr>
            <w:tcW w:w="4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7"/>
              </w:rPr>
              <w:t>31.1**</w:t>
            </w:r>
          </w:p>
        </w:tc>
        <w:tc>
          <w:tcPr>
            <w:tcW w:w="9980" w:type="dxa"/>
            <w:vAlign w:val="bottom"/>
            <w:gridSpan w:val="12"/>
          </w:tcPr>
          <w:p>
            <w:pPr>
              <w:ind w:left="20"/>
              <w:spacing w:after="0"/>
              <w:rPr>
                <w:rFonts w:ascii="Arial" w:cs="Arial" w:eastAsia="Arial" w:hAnsi="Arial"/>
                <w:sz w:val="18"/>
                <w:szCs w:val="18"/>
                <w:color w:val="0000FF"/>
                <w:w w:val="95"/>
              </w:rPr>
            </w:pPr>
            <w:hyperlink w:anchor="page62">
              <w:r>
                <w:rPr>
                  <w:rFonts w:ascii="Arial" w:cs="Arial" w:eastAsia="Arial" w:hAnsi="Arial"/>
                  <w:sz w:val="18"/>
                  <w:szCs w:val="18"/>
                  <w:color w:val="0000FF"/>
                  <w:w w:val="95"/>
                </w:rPr>
                <w:t>Certification of Principal Executive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82"/>
              </w:rPr>
            </w:pPr>
            <w:hyperlink w:anchor="page62">
              <w:r>
                <w:rPr>
                  <w:rFonts w:ascii="Arial" w:cs="Arial" w:eastAsia="Arial" w:hAnsi="Arial"/>
                  <w:sz w:val="18"/>
                  <w:szCs w:val="18"/>
                  <w:color w:val="0000FF"/>
                  <w:w w:val="82"/>
                </w:rPr>
                <w:t>amended</w:t>
              </w:r>
            </w:hyperlink>
          </w:p>
        </w:tc>
        <w:tc>
          <w:tcPr>
            <w:tcW w:w="20" w:type="dxa"/>
            <w:vAlign w:val="bottom"/>
            <w:tcBorders>
              <w:top w:val="single" w:sz="8" w:color="0000FF"/>
              <w:bottom w:val="single" w:sz="8" w:color="0000EE"/>
            </w:tcBorders>
          </w:tcPr>
          <w:p>
            <w:pPr>
              <w:spacing w:after="0"/>
              <w:rPr>
                <w:sz w:val="13"/>
                <w:szCs w:val="13"/>
                <w:color w:val="auto"/>
              </w:rPr>
            </w:pPr>
          </w:p>
        </w:tc>
        <w:tc>
          <w:tcPr>
            <w:tcW w:w="8920" w:type="dxa"/>
            <w:vAlign w:val="bottom"/>
            <w:tcBorders>
              <w:top w:val="single" w:sz="8" w:color="0000FF"/>
            </w:tcBorders>
            <w:gridSpan w:val="9"/>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7"/>
              </w:rPr>
              <w:t>31.2**</w:t>
            </w:r>
          </w:p>
        </w:tc>
        <w:tc>
          <w:tcPr>
            <w:tcW w:w="9980" w:type="dxa"/>
            <w:vAlign w:val="bottom"/>
            <w:gridSpan w:val="12"/>
          </w:tcPr>
          <w:p>
            <w:pPr>
              <w:ind w:left="20"/>
              <w:spacing w:after="0"/>
              <w:rPr>
                <w:rFonts w:ascii="Arial" w:cs="Arial" w:eastAsia="Arial" w:hAnsi="Arial"/>
                <w:sz w:val="18"/>
                <w:szCs w:val="18"/>
                <w:color w:val="0000FF"/>
                <w:w w:val="96"/>
              </w:rPr>
            </w:pPr>
            <w:hyperlink w:anchor="page63">
              <w:r>
                <w:rPr>
                  <w:rFonts w:ascii="Arial" w:cs="Arial" w:eastAsia="Arial" w:hAnsi="Arial"/>
                  <w:sz w:val="18"/>
                  <w:szCs w:val="18"/>
                  <w:color w:val="0000FF"/>
                  <w:w w:val="96"/>
                </w:rPr>
                <w:t>Certification of Principal Financial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82"/>
              </w:rPr>
            </w:pPr>
            <w:hyperlink w:anchor="page63">
              <w:r>
                <w:rPr>
                  <w:rFonts w:ascii="Arial" w:cs="Arial" w:eastAsia="Arial" w:hAnsi="Arial"/>
                  <w:sz w:val="18"/>
                  <w:szCs w:val="18"/>
                  <w:color w:val="0000FF"/>
                  <w:w w:val="82"/>
                </w:rPr>
                <w:t>amended</w:t>
              </w:r>
            </w:hyperlink>
          </w:p>
        </w:tc>
        <w:tc>
          <w:tcPr>
            <w:tcW w:w="20" w:type="dxa"/>
            <w:vAlign w:val="bottom"/>
            <w:tcBorders>
              <w:top w:val="single" w:sz="8" w:color="0000FF"/>
              <w:bottom w:val="single" w:sz="8" w:color="0000EE"/>
            </w:tcBorders>
          </w:tcPr>
          <w:p>
            <w:pPr>
              <w:spacing w:after="0"/>
              <w:rPr>
                <w:sz w:val="13"/>
                <w:szCs w:val="13"/>
                <w:color w:val="auto"/>
              </w:rPr>
            </w:pPr>
          </w:p>
        </w:tc>
        <w:tc>
          <w:tcPr>
            <w:tcW w:w="8880" w:type="dxa"/>
            <w:vAlign w:val="bottom"/>
            <w:tcBorders>
              <w:top w:val="single" w:sz="8" w:color="0000FF"/>
            </w:tcBorders>
            <w:gridSpan w:val="8"/>
          </w:tcPr>
          <w:p>
            <w:pPr>
              <w:spacing w:after="0"/>
              <w:rPr>
                <w:sz w:val="13"/>
                <w:szCs w:val="13"/>
                <w:color w:val="auto"/>
              </w:rPr>
            </w:pPr>
          </w:p>
        </w:tc>
        <w:tc>
          <w:tcPr>
            <w:tcW w:w="4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ind w:right="52"/>
              <w:spacing w:after="0"/>
              <w:rPr>
                <w:sz w:val="20"/>
                <w:szCs w:val="20"/>
                <w:color w:val="auto"/>
              </w:rPr>
            </w:pPr>
            <w:r>
              <w:rPr>
                <w:rFonts w:ascii="Arial" w:cs="Arial" w:eastAsia="Arial" w:hAnsi="Arial"/>
                <w:sz w:val="18"/>
                <w:szCs w:val="18"/>
                <w:color w:val="auto"/>
                <w:w w:val="95"/>
              </w:rPr>
              <w:t>32.1*</w:t>
            </w:r>
          </w:p>
        </w:tc>
        <w:tc>
          <w:tcPr>
            <w:tcW w:w="9120" w:type="dxa"/>
            <w:vAlign w:val="bottom"/>
            <w:tcBorders>
              <w:bottom w:val="single" w:sz="8" w:color="0000FF"/>
            </w:tcBorders>
            <w:gridSpan w:val="8"/>
          </w:tcPr>
          <w:p>
            <w:pPr>
              <w:ind w:left="20"/>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Certification of Principal Executive Officer and Principal Financial Officer pursuant to Section 906 of the Sarbanes-Oxley Act</w:t>
              </w:r>
            </w:hyperlink>
          </w:p>
        </w:tc>
        <w:tc>
          <w:tcPr>
            <w:tcW w:w="20" w:type="dxa"/>
            <w:vAlign w:val="bottom"/>
            <w:tcBorders>
              <w:bottom w:val="single" w:sz="8" w:color="0000EE"/>
            </w:tcBorders>
          </w:tcPr>
          <w:p>
            <w:pPr>
              <w:spacing w:after="0"/>
              <w:rPr>
                <w:sz w:val="24"/>
                <w:szCs w:val="24"/>
                <w:color w:val="auto"/>
              </w:rPr>
            </w:pPr>
          </w:p>
        </w:tc>
        <w:tc>
          <w:tcPr>
            <w:tcW w:w="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7"/>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2"/>
          </w:tcPr>
          <w:p>
            <w:pPr>
              <w:ind w:left="20"/>
              <w:spacing w:after="0"/>
              <w:rPr>
                <w:sz w:val="20"/>
                <w:szCs w:val="20"/>
                <w:color w:val="auto"/>
              </w:rPr>
            </w:pPr>
            <w:r>
              <w:rPr>
                <w:rFonts w:ascii="Arial" w:cs="Arial" w:eastAsia="Arial" w:hAnsi="Arial"/>
                <w:sz w:val="18"/>
                <w:szCs w:val="18"/>
                <w:color w:val="auto"/>
                <w:w w:val="92"/>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60" w:hanging="307"/>
        <w:spacing w:after="0"/>
        <w:tabs>
          <w:tab w:leader="none" w:pos="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65" w:lineRule="exact"/>
        <w:rPr>
          <w:rFonts w:ascii="Arial" w:cs="Arial" w:eastAsia="Arial" w:hAnsi="Arial"/>
          <w:sz w:val="18"/>
          <w:szCs w:val="18"/>
          <w:color w:val="auto"/>
        </w:rPr>
      </w:pPr>
    </w:p>
    <w:p>
      <w:pPr>
        <w:ind w:left="440" w:hanging="43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w:t>
      </w:r>
    </w:p>
    <w:p>
      <w:pPr>
        <w:spacing w:after="0" w:line="11" w:lineRule="exact"/>
        <w:rPr>
          <w:rFonts w:ascii="Arial" w:cs="Arial" w:eastAsia="Arial" w:hAnsi="Arial"/>
          <w:sz w:val="18"/>
          <w:szCs w:val="18"/>
          <w:color w:val="auto"/>
        </w:rPr>
      </w:pPr>
    </w:p>
    <w:p>
      <w:pPr>
        <w:ind w:left="440" w:hanging="432"/>
        <w:spacing w:after="0" w:line="23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3.2 to HubSpot Inc.’s Quarterly Report on Form 10-Q filed on November 5, 2020.</w:t>
      </w:r>
    </w:p>
    <w:p>
      <w:pPr>
        <w:ind w:left="440" w:hanging="432"/>
        <w:spacing w:after="0" w:line="23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Current Report on Form 8-K filed on April 14, 2022.</w:t>
      </w:r>
    </w:p>
    <w:p>
      <w:pPr>
        <w:ind w:left="520" w:right="160" w:hanging="512"/>
        <w:spacing w:after="0" w:line="243"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Exhibit 4.1 to Amendment No. 1 to Registrant’s Registration Statement on Form S-1 (SEC file No. 333-198333) filed on September 26, 2014.</w:t>
      </w:r>
    </w:p>
    <w:p>
      <w:pPr>
        <w:spacing w:after="0" w:line="172" w:lineRule="exact"/>
        <w:rPr>
          <w:sz w:val="20"/>
          <w:szCs w:val="20"/>
          <w:color w:val="auto"/>
        </w:rPr>
      </w:pPr>
    </w:p>
    <w:p>
      <w:pPr>
        <w:ind w:left="520" w:right="80" w:hanging="512"/>
        <w:spacing w:after="0" w:line="284" w:lineRule="auto"/>
        <w:tabs>
          <w:tab w:leader="none" w:pos="46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6320"/>
        <w:spacing w:after="0"/>
        <w:rPr>
          <w:sz w:val="20"/>
          <w:szCs w:val="20"/>
          <w:color w:val="auto"/>
        </w:rPr>
      </w:pPr>
      <w:r>
        <w:rPr>
          <w:rFonts w:ascii="Arial" w:cs="Arial" w:eastAsia="Arial" w:hAnsi="Arial"/>
          <w:sz w:val="18"/>
          <w:szCs w:val="18"/>
          <w:b w:val="1"/>
          <w:bCs w:val="1"/>
          <w:color w:val="auto"/>
        </w:rPr>
        <w:t>HUBSPOT, INC.</w:t>
      </w:r>
    </w:p>
    <w:p>
      <w:pPr>
        <w:spacing w:after="0" w:line="385" w:lineRule="exact"/>
        <w:rPr>
          <w:sz w:val="20"/>
          <w:szCs w:val="20"/>
          <w:color w:val="auto"/>
        </w:rPr>
      </w:pPr>
    </w:p>
    <w:tbl>
      <w:tblPr>
        <w:tblLayout w:type="fixed"/>
        <w:tblInd w:w="6320" w:type="dxa"/>
        <w:tblCellMar>
          <w:top w:w="0" w:type="dxa"/>
          <w:left w:w="0" w:type="dxa"/>
          <w:bottom w:w="0" w:type="dxa"/>
          <w:right w:w="0" w:type="dxa"/>
        </w:tblCellMar>
      </w:tblPr>
      <w:tr>
        <w:trPr>
          <w:trHeight w:val="217"/>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Bueker</w:t>
            </w:r>
          </w:p>
        </w:tc>
      </w:tr>
      <w:tr>
        <w:trPr>
          <w:trHeight w:val="182"/>
        </w:trPr>
        <w:tc>
          <w:tcPr>
            <w:tcW w:w="12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720" w:type="dxa"/>
            <w:vAlign w:val="bottom"/>
          </w:tcPr>
          <w:p>
            <w:pPr>
              <w:spacing w:after="0" w:line="182" w:lineRule="exact"/>
              <w:rPr>
                <w:sz w:val="20"/>
                <w:szCs w:val="20"/>
                <w:color w:val="auto"/>
              </w:rPr>
            </w:pPr>
            <w:r>
              <w:rPr>
                <w:rFonts w:ascii="Arial" w:cs="Arial" w:eastAsia="Arial" w:hAnsi="Arial"/>
                <w:sz w:val="18"/>
                <w:szCs w:val="18"/>
                <w:color w:val="auto"/>
              </w:rPr>
              <w:t>Kate Bueker</w:t>
            </w:r>
          </w:p>
        </w:tc>
      </w:tr>
      <w:tr>
        <w:trPr>
          <w:trHeight w:val="176"/>
        </w:trPr>
        <w:tc>
          <w:tcPr>
            <w:tcW w:w="120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720" w:type="dxa"/>
            <w:vAlign w:val="bottom"/>
          </w:tcPr>
          <w:p>
            <w:pPr>
              <w:spacing w:after="0" w:line="176" w:lineRule="exact"/>
              <w:rPr>
                <w:sz w:val="20"/>
                <w:szCs w:val="20"/>
                <w:color w:val="auto"/>
              </w:rPr>
            </w:pPr>
            <w:r>
              <w:rPr>
                <w:rFonts w:ascii="Arial" w:cs="Arial" w:eastAsia="Arial" w:hAnsi="Arial"/>
                <w:sz w:val="18"/>
                <w:szCs w:val="18"/>
                <w:color w:val="auto"/>
              </w:rPr>
              <w:t>Chief Financial Officer</w:t>
            </w:r>
          </w:p>
        </w:tc>
      </w:tr>
      <w:tr>
        <w:trPr>
          <w:trHeight w:val="175"/>
        </w:trPr>
        <w:tc>
          <w:tcPr>
            <w:tcW w:w="1200" w:type="dxa"/>
            <w:vAlign w:val="bottom"/>
          </w:tcPr>
          <w:p>
            <w:pPr>
              <w:spacing w:after="0"/>
              <w:rPr>
                <w:sz w:val="15"/>
                <w:szCs w:val="15"/>
                <w:color w:val="auto"/>
              </w:rPr>
            </w:pPr>
          </w:p>
        </w:tc>
        <w:tc>
          <w:tcPr>
            <w:tcW w:w="3720" w:type="dxa"/>
            <w:vAlign w:val="bottom"/>
          </w:tcPr>
          <w:p>
            <w:pPr>
              <w:spacing w:after="0" w:line="176" w:lineRule="exact"/>
              <w:rPr>
                <w:sz w:val="20"/>
                <w:szCs w:val="20"/>
                <w:color w:val="auto"/>
              </w:rPr>
            </w:pPr>
            <w:r>
              <w:rPr>
                <w:rFonts w:ascii="Arial" w:cs="Arial" w:eastAsia="Arial" w:hAnsi="Arial"/>
                <w:sz w:val="18"/>
                <w:szCs w:val="18"/>
                <w:i w:val="1"/>
                <w:iCs w:val="1"/>
                <w:color w:val="auto"/>
              </w:rPr>
              <w:t>(Principal Financial and Accounting</w:t>
            </w:r>
          </w:p>
        </w:tc>
      </w:tr>
      <w:tr>
        <w:trPr>
          <w:trHeight w:val="230"/>
        </w:trPr>
        <w:tc>
          <w:tcPr>
            <w:tcW w:w="12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i w:val="1"/>
                <w:iCs w:val="1"/>
                <w:color w:val="auto"/>
              </w:rPr>
              <w:t>Officer and Authorized Signatory)</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Exchange Act Rules 13a-14(a) and 15d-14(a),</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Yamini Rangan, certify that:</w:t>
      </w:r>
    </w:p>
    <w:p>
      <w:pPr>
        <w:spacing w:after="0" w:line="104"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660" w:val="left"/>
          <w:tab w:leader="none" w:pos="73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6350</wp:posOffset>
            </wp:positionV>
            <wp:extent cx="24860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Yamini Rangan</w:t>
      </w:r>
    </w:p>
    <w:p>
      <w:pPr>
        <w:ind w:left="7340"/>
        <w:spacing w:after="0" w:line="203" w:lineRule="auto"/>
        <w:rPr>
          <w:sz w:val="20"/>
          <w:szCs w:val="20"/>
          <w:color w:val="auto"/>
        </w:rPr>
      </w:pPr>
      <w:r>
        <w:rPr>
          <w:rFonts w:ascii="Arial" w:cs="Arial" w:eastAsia="Arial" w:hAnsi="Arial"/>
          <w:sz w:val="18"/>
          <w:szCs w:val="18"/>
          <w:color w:val="auto"/>
        </w:rPr>
        <w:t>Chief Executive Officer</w:t>
      </w:r>
    </w:p>
    <w:p>
      <w:pPr>
        <w:ind w:left="73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Exchange Act Rules 13a-14(a) and 15d-14(a),</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04"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20" w:val="left"/>
          <w:tab w:leader="none" w:pos="72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6350</wp:posOffset>
            </wp:positionV>
            <wp:extent cx="25457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Kate Bueker</w:t>
      </w:r>
    </w:p>
    <w:p>
      <w:pPr>
        <w:ind w:left="7240"/>
        <w:spacing w:after="0" w:line="203" w:lineRule="auto"/>
        <w:rPr>
          <w:sz w:val="20"/>
          <w:szCs w:val="20"/>
          <w:color w:val="auto"/>
        </w:rPr>
      </w:pPr>
      <w:r>
        <w:rPr>
          <w:rFonts w:ascii="Arial" w:cs="Arial" w:eastAsia="Arial" w:hAnsi="Arial"/>
          <w:sz w:val="18"/>
          <w:szCs w:val="18"/>
          <w:color w:val="auto"/>
        </w:rPr>
        <w:t>Chief Financial Officer</w:t>
      </w:r>
    </w:p>
    <w:p>
      <w:pPr>
        <w:ind w:left="72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 Yamini Rangan, certify, pursuant to 18 U.S.C. Section 1350, as adopted pursuant to Section 906 of the Sarbanes-Oxley Act of 2002, that, to my knowledge, the Quarterly Report on Form 10-Q of HubSpot, Inc. for the period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74" w:lineRule="exact"/>
        <w:rPr>
          <w:sz w:val="20"/>
          <w:szCs w:val="20"/>
          <w:color w:val="auto"/>
        </w:rPr>
      </w:pPr>
    </w:p>
    <w:p>
      <w:pPr>
        <w:ind w:left="20"/>
        <w:spacing w:after="0"/>
        <w:tabs>
          <w:tab w:leader="none" w:pos="6720" w:val="left"/>
          <w:tab w:leader="none" w:pos="72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6350</wp:posOffset>
            </wp:positionV>
            <wp:extent cx="25457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Yamini Rangan</w:t>
      </w:r>
    </w:p>
    <w:p>
      <w:pPr>
        <w:ind w:left="7240"/>
        <w:spacing w:after="0" w:line="203" w:lineRule="auto"/>
        <w:rPr>
          <w:sz w:val="20"/>
          <w:szCs w:val="20"/>
          <w:color w:val="auto"/>
        </w:rPr>
      </w:pPr>
      <w:r>
        <w:rPr>
          <w:rFonts w:ascii="Arial" w:cs="Arial" w:eastAsia="Arial" w:hAnsi="Arial"/>
          <w:sz w:val="18"/>
          <w:szCs w:val="18"/>
          <w:color w:val="auto"/>
        </w:rPr>
        <w:t>Chief Executive Officer</w:t>
      </w:r>
    </w:p>
    <w:p>
      <w:pPr>
        <w:ind w:left="7240"/>
        <w:spacing w:after="0"/>
        <w:rPr>
          <w:sz w:val="20"/>
          <w:szCs w:val="20"/>
          <w:color w:val="auto"/>
        </w:rPr>
      </w:pPr>
      <w:r>
        <w:rPr>
          <w:rFonts w:ascii="Arial" w:cs="Arial" w:eastAsia="Arial" w:hAnsi="Arial"/>
          <w:sz w:val="18"/>
          <w:szCs w:val="18"/>
          <w:color w:val="auto"/>
        </w:rPr>
        <w:t>(Principal Executive Officer)</w:t>
      </w:r>
    </w:p>
    <w:p>
      <w:pPr>
        <w:spacing w:after="0" w:line="23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Quarterly Report on Form 10-Q of HubSpot, Inc. for the period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74" w:lineRule="exact"/>
        <w:rPr>
          <w:sz w:val="20"/>
          <w:szCs w:val="20"/>
          <w:color w:val="auto"/>
        </w:rPr>
      </w:pPr>
    </w:p>
    <w:p>
      <w:pPr>
        <w:ind w:left="20"/>
        <w:spacing w:after="0"/>
        <w:tabs>
          <w:tab w:leader="none" w:pos="6720" w:val="left"/>
          <w:tab w:leader="none" w:pos="72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6350</wp:posOffset>
            </wp:positionV>
            <wp:extent cx="254571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Kate Bueker</w:t>
      </w:r>
    </w:p>
    <w:p>
      <w:pPr>
        <w:ind w:left="7240"/>
        <w:spacing w:after="0" w:line="203" w:lineRule="auto"/>
        <w:rPr>
          <w:sz w:val="20"/>
          <w:szCs w:val="20"/>
          <w:color w:val="auto"/>
        </w:rPr>
      </w:pPr>
      <w:r>
        <w:rPr>
          <w:rFonts w:ascii="Arial" w:cs="Arial" w:eastAsia="Arial" w:hAnsi="Arial"/>
          <w:sz w:val="18"/>
          <w:szCs w:val="18"/>
          <w:color w:val="auto"/>
        </w:rPr>
        <w:t>Chief Financial Officer</w:t>
      </w:r>
    </w:p>
    <w:p>
      <w:pPr>
        <w:ind w:left="7240"/>
        <w:spacing w:after="0"/>
        <w:rPr>
          <w:sz w:val="20"/>
          <w:szCs w:val="20"/>
          <w:color w:val="auto"/>
        </w:rPr>
      </w:pPr>
      <w:r>
        <w:rPr>
          <w:rFonts w:ascii="Arial" w:cs="Arial" w:eastAsia="Arial" w:hAnsi="Arial"/>
          <w:sz w:val="18"/>
          <w:szCs w:val="18"/>
          <w:color w:val="auto"/>
        </w:rPr>
        <w:t>(Principal Financial Officer)</w:t>
      </w:r>
    </w:p>
    <w:p>
      <w:pPr>
        <w:spacing w:after="0" w:line="209"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lvl>
    <w:lvl w:ilvl="1">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68" Type="http://schemas.openxmlformats.org/officeDocument/2006/relationships/hyperlink" Target="https://www.sec.gov/Archives/edgar/data/1404655/000156459016013204/hubs-ex31_768.htm" TargetMode="External"/><Relationship Id="rId369" Type="http://schemas.openxmlformats.org/officeDocument/2006/relationships/hyperlink" Target="https://www.sec.gov/Archives/edgar/data/1404655/000156459020051449/hubs-ex32_103.htm" TargetMode="External"/><Relationship Id="rId370" Type="http://schemas.openxmlformats.org/officeDocument/2006/relationships/hyperlink" Target="https://www.sec.gov/Archives/edgar/data/1404655/000095017022005701/hubs-ex3_1.htm" TargetMode="External"/><Relationship Id="rId371" Type="http://schemas.openxmlformats.org/officeDocument/2006/relationships/hyperlink" Target="https://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2022-08-04T16:41:51Z</dcterms:created>
  <dcterms:modified xsi:type="dcterms:W3CDTF">2022-08-04T16:41:51Z</dcterms:modified>
</cp:coreProperties>
</file>