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hubs-20230331.htm"/>
      <w:bookmarkStart w:id="1" w:name="kshubs20230331"/>
      <w:bookmarkEnd w:id="0"/>
      <w:bookmarkEnd w:id="1"/>
      <w:r>
        <w:rPr/>
        <w:t> </w:t>
      </w:r>
    </w:p>
    <w:p>
      <w:pPr>
        <w:pStyle w:val="TextBody"/>
        <w:spacing w:before="60" w:after="0"/>
        <w:jc w:val="center"/>
        <w:rPr>
          <w:rFonts w:ascii="Times New Roman;serif" w:hAnsi="Times New Roman;serif"/>
          <w:b/>
          <w:sz w:val="18"/>
        </w:rPr>
      </w:pPr>
      <w:r>
        <w:rPr>
          <w:rFonts w:ascii="Times New Roman;serif" w:hAnsi="Times New Roman;serif"/>
          <w:b/>
          <w:sz w:val="18"/>
        </w:rPr>
        <w:t>UNITED STATES</w:t>
      </w:r>
    </w:p>
    <w:p>
      <w:pPr>
        <w:pStyle w:val="TextBody"/>
        <w:spacing w:before="0" w:after="0"/>
        <w:jc w:val="center"/>
        <w:rPr>
          <w:rFonts w:ascii="Times New Roman;serif" w:hAnsi="Times New Roman;serif"/>
          <w:b/>
          <w:sz w:val="18"/>
        </w:rPr>
      </w:pPr>
      <w:r>
        <w:rPr>
          <w:rFonts w:ascii="Times New Roman;serif" w:hAnsi="Times New Roman;serif"/>
          <w:b/>
          <w:sz w:val="18"/>
        </w:rPr>
        <w:t>SECURITIES AND EXCHANGE COMMISSION</w:t>
      </w:r>
    </w:p>
    <w:p>
      <w:pPr>
        <w:pStyle w:val="TextBody"/>
        <w:spacing w:before="0" w:after="0"/>
        <w:jc w:val="center"/>
        <w:rPr>
          <w:rFonts w:ascii="Times New Roman;serif" w:hAnsi="Times New Roman;serif"/>
          <w:b/>
          <w:sz w:val="18"/>
        </w:rPr>
      </w:pPr>
      <w:r>
        <w:rPr>
          <w:rFonts w:ascii="Times New Roman;serif" w:hAnsi="Times New Roman;serif"/>
          <w:b/>
          <w:sz w:val="18"/>
        </w:rPr>
        <w:t>Washington, D.C. 20549</w:t>
      </w:r>
    </w:p>
    <w:p>
      <w:pPr>
        <w:pStyle w:val="TextBody"/>
        <w:pBdr>
          <w:bottom w:val="single" w:sz="4" w:space="1" w:color="000000"/>
        </w:pBdr>
        <w:spacing w:before="0" w:after="0"/>
        <w:jc w:val="center"/>
        <w:rPr/>
      </w:pPr>
      <w:r>
        <w:rPr/>
        <w:t> </w:t>
      </w:r>
    </w:p>
    <w:p>
      <w:pPr>
        <w:pStyle w:val="TextBody"/>
        <w:spacing w:before="100" w:after="0"/>
        <w:jc w:val="center"/>
        <w:rPr>
          <w:rFonts w:ascii="Times New Roman;serif" w:hAnsi="Times New Roman;serif"/>
          <w:b/>
          <w:sz w:val="26"/>
        </w:rPr>
      </w:pPr>
      <w:r>
        <w:rPr>
          <w:rFonts w:ascii="Times New Roman;serif" w:hAnsi="Times New Roman;serif"/>
          <w:b/>
          <w:sz w:val="26"/>
        </w:rPr>
        <w:t>FORM 10-Q</w:t>
      </w:r>
    </w:p>
    <w:p>
      <w:pPr>
        <w:pStyle w:val="TextBody"/>
        <w:pBdr>
          <w:bottom w:val="single" w:sz="4" w:space="1" w:color="000000"/>
        </w:pBdr>
        <w:spacing w:before="0" w:after="0"/>
        <w:jc w:val="center"/>
        <w:rPr/>
      </w:pPr>
      <w:r>
        <w:rPr/>
        <w:t> </w:t>
      </w:r>
    </w:p>
    <w:p>
      <w:pPr>
        <w:pStyle w:val="TextBody"/>
        <w:spacing w:before="100" w:after="0"/>
        <w:jc w:val="left"/>
        <w:rPr>
          <w:rFonts w:ascii="Times New Roman;serif" w:hAnsi="Times New Roman;serif"/>
          <w:b/>
          <w:sz w:val="18"/>
        </w:rPr>
      </w:pPr>
      <w:r>
        <w:rPr>
          <w:rFonts w:ascii="Times New Roman;serif" w:hAnsi="Times New Roman;serif"/>
          <w:b/>
          <w:sz w:val="18"/>
        </w:rPr>
        <w:t>(MARK ONE)</w:t>
      </w:r>
    </w:p>
    <w:p>
      <w:pPr>
        <w:pStyle w:val="TextBody"/>
        <w:spacing w:before="0" w:after="0"/>
        <w:jc w:val="left"/>
        <w:rPr/>
      </w:pPr>
      <w:r>
        <w:rPr/>
        <w:t> </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42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QUARTERLY REPORT PURSUANT TO SECTION 13 OR 15(d) OF THE SECURITIES EXCHANGE ACT OF 1934</w:t>
            </w:r>
          </w:p>
        </w:tc>
      </w:tr>
    </w:tbl>
    <w:p>
      <w:pPr>
        <w:pStyle w:val="TextBody"/>
        <w:spacing w:before="0" w:after="0"/>
        <w:jc w:val="left"/>
        <w:rPr/>
      </w:pPr>
      <w:r>
        <w:rPr/>
        <w:t> </w:t>
      </w:r>
    </w:p>
    <w:p>
      <w:pPr>
        <w:pStyle w:val="TextBody"/>
        <w:spacing w:before="100" w:after="0"/>
        <w:jc w:val="center"/>
        <w:rPr>
          <w:rFonts w:ascii="Times New Roman;serif" w:hAnsi="Times New Roman;serif"/>
          <w:b/>
          <w:sz w:val="18"/>
        </w:rPr>
      </w:pPr>
      <w:r>
        <w:rPr>
          <w:rFonts w:ascii="Times New Roman;serif" w:hAnsi="Times New Roman;serif"/>
          <w:b/>
          <w:sz w:val="18"/>
        </w:rPr>
        <w:t>FOR THE QUARTERLY PERIOD ENDED March 31, 2023</w:t>
      </w:r>
    </w:p>
    <w:p>
      <w:pPr>
        <w:pStyle w:val="TextBody"/>
        <w:spacing w:before="100" w:after="0"/>
        <w:jc w:val="center"/>
        <w:rPr>
          <w:rFonts w:ascii="Times New Roman;serif" w:hAnsi="Times New Roman;serif"/>
          <w:b/>
          <w:sz w:val="18"/>
        </w:rPr>
      </w:pPr>
      <w:r>
        <w:rPr>
          <w:rFonts w:ascii="Times New Roman;serif" w:hAnsi="Times New Roman;serif"/>
          <w:b/>
          <w:sz w:val="18"/>
        </w:rPr>
        <w:t>OR</w:t>
      </w:r>
    </w:p>
    <w:p>
      <w:pPr>
        <w:pStyle w:val="TextBody"/>
        <w:spacing w:before="0" w:after="0"/>
        <w:jc w:val="left"/>
        <w:rPr/>
      </w:pPr>
      <w:r>
        <w:rPr/>
        <w:t> </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42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TRANSITION REPORT PURSUANT TO SECTION 13 OR 15(d) OF THE SECURITIES EXCHANGE ACT OF 1934</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18"/>
        </w:rPr>
        <w:t>FOR THE TRANSITION PERIOD FROM TO</w:t>
      </w:r>
      <w:r>
        <w:rPr>
          <w:rFonts w:ascii="Times New Roman" w:hAnsi="Times New Roman"/>
          <w:sz w:val="20"/>
        </w:rPr>
        <w:t xml:space="preserve"> </w:t>
      </w:r>
    </w:p>
    <w:p>
      <w:pPr>
        <w:pStyle w:val="TextBody"/>
        <w:spacing w:before="100" w:after="0"/>
        <w:jc w:val="center"/>
        <w:rPr>
          <w:rFonts w:ascii="Times New Roman;serif" w:hAnsi="Times New Roman;serif"/>
          <w:b/>
          <w:sz w:val="18"/>
        </w:rPr>
      </w:pPr>
      <w:r>
        <w:rPr>
          <w:rFonts w:ascii="Times New Roman;serif" w:hAnsi="Times New Roman;serif"/>
          <w:b/>
          <w:sz w:val="18"/>
        </w:rPr>
        <w:t>COMMISSION FILE NUMBER 001-36680</w:t>
      </w:r>
    </w:p>
    <w:p>
      <w:pPr>
        <w:pStyle w:val="TextBody"/>
        <w:pBdr>
          <w:bottom w:val="single" w:sz="4" w:space="1" w:color="000000"/>
        </w:pBdr>
        <w:spacing w:before="0" w:after="0"/>
        <w:jc w:val="center"/>
        <w:rPr/>
      </w:pPr>
      <w:r>
        <w:rPr/>
        <w:t> </w:t>
      </w:r>
    </w:p>
    <w:p>
      <w:pPr>
        <w:pStyle w:val="TextBody"/>
        <w:spacing w:before="100" w:after="0"/>
        <w:jc w:val="center"/>
        <w:rPr>
          <w:rFonts w:ascii="Times New Roman;serif" w:hAnsi="Times New Roman;serif"/>
          <w:b/>
          <w:sz w:val="44"/>
        </w:rPr>
      </w:pPr>
      <w:r>
        <w:rPr>
          <w:rFonts w:ascii="Times New Roman;serif" w:hAnsi="Times New Roman;serif"/>
          <w:b/>
          <w:sz w:val="44"/>
        </w:rPr>
        <w:t>HubSpot, Inc.</w:t>
      </w:r>
    </w:p>
    <w:p>
      <w:pPr>
        <w:pStyle w:val="TextBody"/>
        <w:spacing w:before="0" w:after="0"/>
        <w:jc w:val="center"/>
        <w:rPr>
          <w:rFonts w:ascii="Times New Roman;serif" w:hAnsi="Times New Roman;serif"/>
          <w:b/>
          <w:sz w:val="18"/>
        </w:rPr>
      </w:pPr>
      <w:r>
        <w:rPr>
          <w:rFonts w:ascii="Times New Roman;serif" w:hAnsi="Times New Roman;serif"/>
          <w:b/>
          <w:sz w:val="18"/>
        </w:rPr>
        <w:t>(Exact name of registrant as specified in its charter)</w:t>
      </w:r>
    </w:p>
    <w:p>
      <w:pPr>
        <w:pStyle w:val="TextBody"/>
        <w:pBdr>
          <w:bottom w:val="single" w:sz="4" w:space="1" w:color="000000"/>
        </w:pBdr>
        <w:spacing w:before="0" w:after="0"/>
        <w:jc w:val="center"/>
        <w:rPr/>
      </w:pPr>
      <w:r>
        <w:rPr/>
        <w:t> </w:t>
      </w:r>
    </w:p>
    <w:tbl>
      <w:tblPr>
        <w:tblW w:w="4116" w:type="dxa"/>
        <w:jc w:val="left"/>
        <w:tblInd w:w="0" w:type="dxa"/>
        <w:tblCellMar>
          <w:top w:w="28" w:type="dxa"/>
          <w:left w:w="28" w:type="dxa"/>
          <w:bottom w:w="28" w:type="dxa"/>
          <w:right w:w="28" w:type="dxa"/>
        </w:tblCellMar>
      </w:tblPr>
      <w:tblGrid>
        <w:gridCol w:w="2446"/>
        <w:gridCol w:w="109"/>
        <w:gridCol w:w="1561"/>
      </w:tblGrid>
      <w:tr>
        <w:trPr/>
        <w:tc>
          <w:tcPr>
            <w:tcW w:w="2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Delaware</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20-2632791</w:t>
            </w:r>
          </w:p>
        </w:tc>
      </w:tr>
      <w:tr>
        <w:trPr/>
        <w:tc>
          <w:tcPr>
            <w:tcW w:w="244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(State or other jurisdiction of</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incorporation or organization)</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6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(I.R.S. Employer</w:t>
            </w:r>
          </w:p>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Identification No.)</w:t>
            </w:r>
          </w:p>
        </w:tc>
      </w:tr>
    </w:tbl>
    <w:p>
      <w:pPr>
        <w:pStyle w:val="TextBody"/>
        <w:spacing w:before="0" w:after="0"/>
        <w:jc w:val="left"/>
        <w:rPr/>
      </w:pPr>
      <w:r>
        <w:rPr/>
        <w:t> </w:t>
      </w:r>
    </w:p>
    <w:tbl>
      <w:tblPr>
        <w:tblW w:w="3481" w:type="dxa"/>
        <w:jc w:val="left"/>
        <w:tblInd w:w="0" w:type="dxa"/>
        <w:tblCellMar>
          <w:top w:w="28" w:type="dxa"/>
          <w:left w:w="28" w:type="dxa"/>
          <w:bottom w:w="28" w:type="dxa"/>
          <w:right w:w="28" w:type="dxa"/>
        </w:tblCellMar>
      </w:tblPr>
      <w:tblGrid>
        <w:gridCol w:w="3481"/>
      </w:tblGrid>
      <w:tr>
        <w:trPr/>
        <w:tc>
          <w:tcPr>
            <w:tcW w:w="348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9"/>
              </w:rPr>
            </w:pPr>
            <w:r>
              <w:rPr>
                <w:rFonts w:ascii="Times New Roman;serif" w:hAnsi="Times New Roman;serif"/>
                <w:b/>
                <w:sz w:val="19"/>
              </w:rPr>
              <w:t>Two Canal Park</w:t>
            </w:r>
          </w:p>
        </w:tc>
      </w:tr>
      <w:tr>
        <w:trPr/>
        <w:tc>
          <w:tcPr>
            <w:tcW w:w="34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19"/>
              </w:rPr>
              <w:t>Cambridge, Massachusetts</w:t>
            </w:r>
            <w:r>
              <w:rPr>
                <w:rFonts w:ascii="Times New Roman" w:hAnsi="Times New Roman"/>
                <w:sz w:val="20"/>
              </w:rPr>
              <w:t xml:space="preserve"> </w:t>
            </w:r>
            <w:r>
              <w:rPr>
                <w:rFonts w:ascii="Times New Roman;serif" w:hAnsi="Times New Roman;serif"/>
                <w:b/>
                <w:sz w:val="19"/>
              </w:rPr>
              <w:t>02141</w:t>
            </w:r>
          </w:p>
        </w:tc>
      </w:tr>
      <w:tr>
        <w:trPr/>
        <w:tc>
          <w:tcPr>
            <w:tcW w:w="348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r>
              <w:rPr>
                <w:rFonts w:ascii="Times New Roman;serif" w:hAnsi="Times New Roman;serif"/>
                <w:b/>
                <w:sz w:val="19"/>
              </w:rPr>
              <w:t>(Address of principal executive offices)</w:t>
            </w:r>
          </w:p>
        </w:tc>
      </w:tr>
    </w:tbl>
    <w:p>
      <w:pPr>
        <w:pStyle w:val="TextBody"/>
        <w:spacing w:before="100" w:after="0"/>
        <w:jc w:val="center"/>
        <w:rPr>
          <w:rFonts w:ascii="Times New Roman;serif" w:hAnsi="Times New Roman;serif"/>
          <w:b/>
          <w:sz w:val="18"/>
        </w:rPr>
      </w:pPr>
      <w:r>
        <w:rPr>
          <w:rFonts w:ascii="Times New Roman;serif" w:hAnsi="Times New Roman;serif"/>
          <w:b/>
          <w:sz w:val="18"/>
        </w:rPr>
        <w:t>(888) 482-7768</w:t>
      </w:r>
    </w:p>
    <w:p>
      <w:pPr>
        <w:pStyle w:val="TextBody"/>
        <w:spacing w:before="0" w:after="0"/>
        <w:jc w:val="center"/>
        <w:rPr>
          <w:rFonts w:ascii="Times New Roman;serif" w:hAnsi="Times New Roman;serif"/>
          <w:b/>
          <w:sz w:val="18"/>
        </w:rPr>
      </w:pPr>
      <w:r>
        <w:rPr>
          <w:rFonts w:ascii="Times New Roman;serif" w:hAnsi="Times New Roman;serif"/>
          <w:b/>
          <w:sz w:val="18"/>
        </w:rPr>
        <w:t>(Registrant’s telephone number, including area code)</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18"/>
        </w:rPr>
        <w:t>25 First Street</w:t>
        <w:br/>
        <w:t>Cambridge, Massachusetts 02141</w:t>
        <w:br/>
        <w:t>(Former name, former address and former fiscal year, if changed since last report)</w:t>
        <w:br/>
      </w:r>
      <w:r>
        <w:rPr>
          <w:rFonts w:ascii="Times New Roman" w:hAnsi="Times New Roman"/>
          <w:sz w:val="20"/>
        </w:rPr>
        <w:t> </w:t>
      </w:r>
    </w:p>
    <w:p>
      <w:pPr>
        <w:pStyle w:val="TextBody"/>
        <w:spacing w:before="0" w:after="0"/>
        <w:jc w:val="center"/>
        <w:rPr>
          <w:rFonts w:ascii="Times New Roman;serif" w:hAnsi="Times New Roman;serif"/>
          <w:b/>
          <w:sz w:val="18"/>
        </w:rPr>
      </w:pPr>
      <w:r>
        <w:rPr>
          <w:rFonts w:ascii="Times New Roman;serif" w:hAnsi="Times New Roman;serif"/>
          <w:b/>
          <w:sz w:val="18"/>
        </w:rPr>
        <w:t>Securities registered pursuant to Section 12(b) of the Act:</w:t>
      </w:r>
    </w:p>
    <w:p>
      <w:pPr>
        <w:pStyle w:val="TextBody"/>
        <w:spacing w:before="0" w:after="0"/>
        <w:jc w:val="left"/>
        <w:rPr/>
      </w:pPr>
      <w:r>
        <w:rPr/>
        <w:t> </w:t>
      </w:r>
    </w:p>
    <w:tbl>
      <w:tblPr>
        <w:tblW w:w="8770" w:type="dxa"/>
        <w:jc w:val="left"/>
        <w:tblInd w:w="0" w:type="dxa"/>
        <w:tblCellMar>
          <w:top w:w="28" w:type="dxa"/>
          <w:left w:w="28" w:type="dxa"/>
          <w:bottom w:w="28" w:type="dxa"/>
          <w:right w:w="28" w:type="dxa"/>
        </w:tblCellMar>
      </w:tblPr>
      <w:tblGrid>
        <w:gridCol w:w="3436"/>
        <w:gridCol w:w="146"/>
        <w:gridCol w:w="1561"/>
        <w:gridCol w:w="146"/>
        <w:gridCol w:w="3481"/>
      </w:tblGrid>
      <w:tr>
        <w:trPr/>
        <w:tc>
          <w:tcPr>
            <w:tcW w:w="3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81" w:type="dxa"/>
            <w:tcBorders/>
            <w:shd w:fill="auto" w:val="clear"/>
            <w:vAlign w:val="center"/>
          </w:tcPr>
          <w:p>
            <w:pPr>
              <w:pStyle w:val="TableContents"/>
              <w:spacing w:before="0" w:after="283"/>
              <w:rPr>
                <w:sz w:val="4"/>
                <w:szCs w:val="4"/>
              </w:rPr>
            </w:pPr>
            <w:r>
              <w:rPr>
                <w:sz w:val="4"/>
                <w:szCs w:val="4"/>
              </w:rPr>
            </w:r>
          </w:p>
        </w:tc>
      </w:tr>
      <w:tr>
        <w:trPr/>
        <w:tc>
          <w:tcPr>
            <w:tcW w:w="3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Trading 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Name of each exchange on which registered</w:t>
            </w:r>
          </w:p>
        </w:tc>
      </w:tr>
      <w:tr>
        <w:trPr/>
        <w:tc>
          <w:tcPr>
            <w:tcW w:w="343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 par value $0.001 per share</w:t>
            </w:r>
          </w:p>
        </w:tc>
        <w:tc>
          <w:tcPr>
            <w:tcW w:w="146" w:type="dxa"/>
            <w:tcBorders/>
            <w:shd w:fill="auto" w:val="clear"/>
            <w:vAlign w:val="center"/>
          </w:tcPr>
          <w:p>
            <w:pPr>
              <w:pStyle w:val="TableContents"/>
              <w:spacing w:before="0" w:after="0"/>
              <w:ind w:left="0" w:right="0" w:hanging="0"/>
              <w:jc w:val="center"/>
              <w:rPr/>
            </w:pPr>
            <w:r>
              <w:rPr/>
              <w:t> </w:t>
            </w:r>
          </w:p>
        </w:tc>
        <w:tc>
          <w:tcPr>
            <w:tcW w:w="156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HUBS</w:t>
            </w:r>
          </w:p>
        </w:tc>
        <w:tc>
          <w:tcPr>
            <w:tcW w:w="146" w:type="dxa"/>
            <w:tcBorders/>
            <w:shd w:fill="auto" w:val="clear"/>
            <w:vAlign w:val="center"/>
          </w:tcPr>
          <w:p>
            <w:pPr>
              <w:pStyle w:val="TableContents"/>
              <w:spacing w:before="0" w:after="0"/>
              <w:ind w:left="0" w:right="0" w:hanging="0"/>
              <w:jc w:val="center"/>
              <w:rPr/>
            </w:pPr>
            <w:r>
              <w:rPr/>
              <w:t> </w:t>
            </w:r>
          </w:p>
        </w:tc>
        <w:tc>
          <w:tcPr>
            <w:tcW w:w="348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New York Stock Exchange</w:t>
            </w:r>
          </w:p>
        </w:tc>
      </w:tr>
    </w:tbl>
    <w:p>
      <w:pPr>
        <w:pStyle w:val="TextBody"/>
        <w:pBdr>
          <w:bottom w:val="single" w:sz="4" w:space="1" w:color="000000"/>
        </w:pBdr>
        <w:spacing w:before="0" w:after="0"/>
        <w:jc w:val="center"/>
        <w:rPr/>
      </w:pPr>
      <w:r>
        <w:rPr/>
        <w:t> </w:t>
      </w:r>
    </w:p>
    <w:p>
      <w:pPr>
        <w:pStyle w:val="TextBody"/>
        <w:spacing w:before="60" w:after="0"/>
        <w:jc w:val="left"/>
        <w:rPr>
          <w:rFonts w:ascii="Times New Roman" w:hAnsi="Times New Roman"/>
          <w:sz w:val="20"/>
        </w:rPr>
      </w:pPr>
      <w:r>
        <w:rPr>
          <w:rFonts w:ascii="Times New Roman;serif" w:hAnsi="Times New Roman;serif"/>
          <w:b w:val="false"/>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aps/>
          <w:sz w:val="18"/>
        </w:rPr>
        <w:t>Yes</w:t>
      </w:r>
      <w:r>
        <w:rPr>
          <w:rFonts w:ascii="Times New Roman" w:hAnsi="Times New Roman"/>
          <w:sz w:val="20"/>
        </w:rPr>
        <w:t xml:space="preserve"> ☒ </w:t>
      </w:r>
      <w:r>
        <w:rPr>
          <w:rFonts w:ascii="Times New Roman;serif" w:hAnsi="Times New Roman;serif"/>
          <w:b w:val="false"/>
          <w:sz w:val="18"/>
        </w:rPr>
        <w:t>NO ☐</w:t>
      </w:r>
    </w:p>
    <w:p>
      <w:pPr>
        <w:pStyle w:val="TextBody"/>
        <w:spacing w:before="0" w:after="0"/>
        <w:jc w:val="left"/>
        <w:rPr>
          <w:rFonts w:ascii="Times New Roman" w:hAnsi="Times New Roman"/>
          <w:sz w:val="20"/>
        </w:rPr>
      </w:pPr>
      <w:r>
        <w:rPr>
          <w:rFonts w:ascii="Times New Roman;serif" w:hAnsi="Times New Roman;serif"/>
          <w:b w:val="false"/>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8"/>
        </w:rPr>
        <w:t>Yes</w:t>
      </w:r>
      <w:r>
        <w:rPr>
          <w:rFonts w:ascii="Times New Roman" w:hAnsi="Times New Roman"/>
          <w:sz w:val="20"/>
        </w:rPr>
        <w:t xml:space="preserve"> ☒ </w:t>
      </w:r>
      <w:r>
        <w:rPr>
          <w:rFonts w:ascii="Times New Roman;serif" w:hAnsi="Times New Roman;serif"/>
          <w:b w:val="false"/>
          <w:sz w:val="18"/>
        </w:rPr>
        <w:t>NO ☐</w:t>
      </w:r>
    </w:p>
    <w:p>
      <w:pPr>
        <w:pStyle w:val="TextBody"/>
        <w:spacing w:before="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5257" w:type="dxa"/>
        <w:jc w:val="left"/>
        <w:tblInd w:w="0" w:type="dxa"/>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0"/>
              <w:ind w:left="0" w:right="0" w:hanging="0"/>
              <w:jc w:val="left"/>
              <w:rPr/>
            </w:pPr>
            <w:r>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10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100" w:after="0"/>
        <w:jc w:val="left"/>
        <w:rPr>
          <w:rFonts w:ascii="Times New Roman" w:hAnsi="Times New Roman"/>
          <w:sz w:val="20"/>
        </w:rPr>
      </w:pPr>
      <w:r>
        <w:rPr>
          <w:rFonts w:ascii="Times New Roman;serif" w:hAnsi="Times New Roman;serif"/>
          <w:b w:val="false"/>
          <w:sz w:val="18"/>
        </w:rPr>
        <w:t>There were 49,638,689</w:t>
      </w:r>
      <w:r>
        <w:rPr>
          <w:rFonts w:ascii="Times New Roman" w:hAnsi="Times New Roman"/>
          <w:sz w:val="20"/>
        </w:rPr>
        <w:t xml:space="preserve"> </w:t>
      </w:r>
      <w:r>
        <w:rPr>
          <w:rFonts w:ascii="Times New Roman;serif" w:hAnsi="Times New Roman;serif"/>
          <w:b w:val="false"/>
          <w:sz w:val="18"/>
        </w:rPr>
        <w:t>shares of the registrant’s Common Stock issued and outstanding as of April 28, 2023.</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HUBSPOT, INC.</w:t>
      </w:r>
    </w:p>
    <w:p>
      <w:pPr>
        <w:pStyle w:val="TextBody"/>
        <w:spacing w:before="240" w:after="0"/>
        <w:jc w:val="center"/>
        <w:rPr>
          <w:rFonts w:ascii="Times New Roman;serif" w:hAnsi="Times New Roman;serif"/>
          <w:b/>
          <w:sz w:val="20"/>
        </w:rPr>
      </w:pPr>
      <w:r>
        <w:rPr>
          <w:rFonts w:ascii="Times New Roman;serif" w:hAnsi="Times New Roman;serif"/>
          <w:b/>
          <w:sz w:val="20"/>
        </w:rPr>
        <w:t>Table of Contents</w:t>
      </w:r>
    </w:p>
    <w:tbl>
      <w:tblPr>
        <w:tblW w:w="10205" w:type="dxa"/>
        <w:jc w:val="left"/>
        <w:tblInd w:w="0" w:type="dxa"/>
        <w:tblCellMar>
          <w:top w:w="28" w:type="dxa"/>
          <w:left w:w="28" w:type="dxa"/>
          <w:bottom w:w="28" w:type="dxa"/>
          <w:right w:w="28" w:type="dxa"/>
        </w:tblCellMar>
      </w:tblPr>
      <w:tblGrid>
        <w:gridCol w:w="976"/>
        <w:gridCol w:w="146"/>
        <w:gridCol w:w="8722"/>
        <w:gridCol w:w="361"/>
      </w:tblGrid>
      <w:tr>
        <w:trPr/>
        <w:tc>
          <w:tcPr>
            <w:tcW w:w="9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22"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0205" w:type="dxa"/>
            <w:gridSpan w:val="4"/>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part_i_financial_information">
              <w:r>
                <w:rPr>
                  <w:rStyle w:val="InternetLink"/>
                  <w:rFonts w:ascii="Times New Roman;serif" w:hAnsi="Times New Roman;serif"/>
                  <w:b/>
                  <w:sz w:val="20"/>
                  <w:u w:val="single"/>
                </w:rPr>
                <w:t>Part I — Financial Information</w:t>
              </w:r>
            </w:hyperlink>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Unaudited Consolidated Financial Statements:</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unaudited_consolidated_balance_sheets">
              <w:r>
                <w:rPr>
                  <w:rStyle w:val="InternetLink"/>
                  <w:rFonts w:ascii="Times New Roman;serif" w:hAnsi="Times New Roman;serif"/>
                  <w:b w:val="false"/>
                  <w:sz w:val="20"/>
                  <w:u w:val="single"/>
                </w:rPr>
                <w:t>Unaudited Consolidated Balance Sheets as of March 31, 2023 and December 31, 2022</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unaudited_consolidated_statements_operat">
              <w:r>
                <w:rPr>
                  <w:rStyle w:val="InternetLink"/>
                  <w:rFonts w:ascii="Times New Roman;serif" w:hAnsi="Times New Roman;serif"/>
                  <w:b w:val="false"/>
                  <w:sz w:val="20"/>
                  <w:u w:val="single"/>
                </w:rPr>
                <w:t>Unaudited Consolidated Statements of Operations for the Three Months Ended March 31, 2023 and 2022</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unaudited_consolidated_statements_compre">
              <w:r>
                <w:rPr>
                  <w:rStyle w:val="InternetLink"/>
                  <w:rFonts w:ascii="Times New Roman;serif" w:hAnsi="Times New Roman;serif"/>
                  <w:b w:val="false"/>
                  <w:sz w:val="20"/>
                  <w:u w:val="single"/>
                </w:rPr>
                <w:t>Unaudited Consolidated Statements of Comprehensive Loss for the Three Months Ended March 31, 2023 and 2022</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9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unaudited_consolidated_statements_cash_f">
              <w:r>
                <w:rPr>
                  <w:rStyle w:val="InternetLink"/>
                  <w:rFonts w:ascii="Times New Roman;serif" w:hAnsi="Times New Roman;serif"/>
                  <w:b w:val="false"/>
                  <w:sz w:val="20"/>
                  <w:u w:val="single"/>
                </w:rPr>
                <w:t>Unaudited Consolidated Statements of Cash Flows for the Three Months Ended March 31, 2023 and 2022</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9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unaudited_consolida_ted_financi">
              <w:r>
                <w:rPr>
                  <w:rStyle w:val="InternetLink"/>
                  <w:rFonts w:ascii="Times New Roman;serif" w:hAnsi="Times New Roman;serif"/>
                  <w:b w:val="false"/>
                  <w:sz w:val="20"/>
                  <w:u w:val="single"/>
                </w:rPr>
                <w:t>Notes to Unaudited Consolidated Financial Statements</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r>
      <w:tr>
        <w:trPr/>
        <w:tc>
          <w:tcPr>
            <w:tcW w:w="10205" w:type="dxa"/>
            <w:gridSpan w:val="4"/>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0205" w:type="dxa"/>
            <w:gridSpan w:val="4"/>
            <w:tcBorders/>
            <w:shd w:fill="auto" w:val="clear"/>
            <w:tcMar>
              <w:top w:w="0" w:type="dxa"/>
              <w:left w:w="0" w:type="dxa"/>
              <w:bottom w:w="0" w:type="dxa"/>
              <w:right w:w="0" w:type="dxa"/>
            </w:tcMar>
            <w:vAlign w:val="center"/>
          </w:tcPr>
          <w:p>
            <w:pPr>
              <w:pStyle w:val="TableContents"/>
              <w:spacing w:before="0" w:after="0"/>
              <w:ind w:left="0" w:right="0" w:hanging="0"/>
              <w:jc w:val="center"/>
              <w:rPr/>
            </w:pPr>
            <w:hyperlink w:anchor="part_ii">
              <w:r>
                <w:rPr>
                  <w:rStyle w:val="InternetLink"/>
                  <w:rFonts w:ascii="Times New Roman;serif" w:hAnsi="Times New Roman;serif"/>
                  <w:b/>
                  <w:sz w:val="20"/>
                  <w:u w:val="single"/>
                </w:rPr>
                <w:t>Part II — Other Information</w:t>
              </w:r>
            </w:hyperlink>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on_senior_securities">
              <w:r>
                <w:rPr>
                  <w:rStyle w:val="InternetLink"/>
                  <w:rFonts w:ascii="Times New Roman;serif" w:hAnsi="Times New Roman;serif"/>
                  <w:b w:val="false"/>
                  <w:sz w:val="20"/>
                  <w:u w:val="single"/>
                </w:rPr>
                <w:t>Default Upon Senior Securities</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CERTIFICATION OF THE CEO PURSUANT TO SECTION 302</w:t>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CERTIFICATION OF THE CFO PURSUANT TO SECTION 302</w:t>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72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CERTIFICATION OF THE CEO AND CFO PURSUANT TO SECTION 906</w:t>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20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spacing w:before="200" w:after="0"/>
        <w:jc w:val="left"/>
        <w:rPr>
          <w:rFonts w:ascii="Times New Roman" w:hAnsi="Times New Roman"/>
          <w:sz w:val="20"/>
        </w:rPr>
      </w:pPr>
      <w:r>
        <w:rPr>
          <w:rFonts w:ascii="Times New Roman;serif" w:hAnsi="Times New Roman;serif"/>
          <w:b w:val="false"/>
          <w:sz w:val="20"/>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r>
        <w:rPr>
          <w:rFonts w:ascii="Times New Roman" w:hAnsi="Times New Roman"/>
          <w:sz w:val="20"/>
        </w:rPr>
        <w:t xml:space="preserve"> </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future financial and operational performance, including our expectations regarding our revenue, cost of revenue, gross margin and operating expenses;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maintaining and expanding our customer base and increasing our average subscription revenue per customer;</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impact of competition in our industry and innovation by our competitors;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anticipated growth and expectations regarding our ability to manage our future growth;</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our expectations regarding the potential impact of geo-political conflicts, inflationary pressures, foreign currency movement, macroeconomic stability, and the COVID-19 pandemic on our business, the broader economy, our workforce and operations, the markets in which we and our partners and customers operate, and our ability to forecast future financial performance; </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anticipated areas of investments, including sales and marketing, research and development, customer service and support, data center infrastructure and service capabilities, and expectations relating to such investments;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predictions about industry and market trends;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ability to anticipate and address the evolution of technology and the technological needs of our customers, to roll-out upgrades to our existing software platform and to develop new and enhanced applications to meet the needs of our customers;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ability to maintain our brand and inbound marketing, selling and servicing thought leadership position;</w:t>
        <w:br/>
        <w:br/>
        <w:t>the impact of our corporate culture and our ability to attract, hire and retain necessary qualified employees to expand our operations;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anticipated effect on our business of litigation to which we are or may become a party;</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ability to successfully acquire and integrate companies and assets;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plans regarding declaring or paying cash dividends in the foreseeable future; and</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our ability to stay abreast of new or modified laws and regulations that currently apply or become applicable to our business both in the United States and internationally.</w:t>
      </w:r>
    </w:p>
    <w:p>
      <w:pPr>
        <w:pStyle w:val="TextBody"/>
        <w:spacing w:before="200" w:after="120"/>
        <w:jc w:val="left"/>
        <w:rPr>
          <w:rFonts w:ascii="Times New Roman;serif" w:hAnsi="Times New Roman;serif"/>
          <w:b w:val="false"/>
          <w:sz w:val="20"/>
        </w:rPr>
      </w:pPr>
      <w:r>
        <w:rPr>
          <w:rFonts w:ascii="Times New Roman;serif" w:hAnsi="Times New Roman;serif"/>
          <w:b w:val="false"/>
          <w:sz w:val="20"/>
        </w:rPr>
        <w:t>We caution you that the foregoing list may not contain all of the forward-looking statements made in this Quarterly Report on Form 10-Q.</w:t>
      </w:r>
    </w:p>
    <w:p>
      <w:pPr>
        <w:pStyle w:val="TextBody"/>
        <w:spacing w:before="200" w:after="120"/>
        <w:jc w:val="left"/>
        <w:rPr>
          <w:rFonts w:ascii="Times New Roman" w:hAnsi="Times New Roman"/>
          <w:sz w:val="20"/>
        </w:rPr>
      </w:pPr>
      <w:r>
        <w:rPr>
          <w:rFonts w:ascii="Times New Roman;serif" w:hAnsi="Times New Roman;serif"/>
          <w:b w:val="false"/>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200" w:after="120"/>
        <w:jc w:val="left"/>
        <w:rPr>
          <w:rFonts w:ascii="Times New Roman;serif" w:hAnsi="Times New Roman;serif"/>
          <w:b w:val="false"/>
          <w:sz w:val="20"/>
        </w:rPr>
      </w:pPr>
      <w:r>
        <w:rPr>
          <w:rFonts w:ascii="Times New Roman;serif" w:hAnsi="Times New Roman;serif"/>
          <w:b w:val="false"/>
          <w:sz w:val="20"/>
        </w:rPr>
        <w:t>reflected in the forward-looking statements may not be achieved or occur, and actual results, events or circumstances could differ materially from those described in the forward-looking statements.</w:t>
      </w:r>
    </w:p>
    <w:p>
      <w:pPr>
        <w:pStyle w:val="TextBody"/>
        <w:spacing w:before="200" w:after="120"/>
        <w:jc w:val="left"/>
        <w:rPr>
          <w:rFonts w:ascii="Times New Roman;serif" w:hAnsi="Times New Roman;serif"/>
          <w:b w:val="false"/>
          <w:sz w:val="20"/>
        </w:rPr>
      </w:pPr>
      <w:r>
        <w:rPr>
          <w:rFonts w:ascii="Times New Roman;serif" w:hAnsi="Times New Roman;serif"/>
          <w:b w:val="false"/>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spacing w:before="200" w:after="120"/>
        <w:jc w:val="left"/>
        <w:rPr>
          <w:rFonts w:ascii="Times New Roman;serif" w:hAnsi="Times New Roman;serif"/>
          <w:b w:val="false"/>
          <w:sz w:val="20"/>
        </w:rPr>
      </w:pPr>
      <w:r>
        <w:rPr>
          <w:rFonts w:ascii="Times New Roman;serif" w:hAnsi="Times New Roman;serif"/>
          <w:b w:val="false"/>
          <w:sz w:val="20"/>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this Quarterly Report on Form 10-Q, the terms “HubSpot,” “we,” “us,” and “our” refer to HubSpot, Inc. and its subsidiaries, unless the context indicates otherwise.</w:t>
      </w:r>
    </w:p>
    <w:p>
      <w:pPr>
        <w:pStyle w:val="TextBody"/>
        <w:spacing w:before="200" w:after="0"/>
        <w:jc w:val="left"/>
        <w:rPr>
          <w:rFonts w:ascii="Times New Roman" w:hAnsi="Times New Roman"/>
          <w:sz w:val="20"/>
        </w:rPr>
      </w:pPr>
      <w:r>
        <w:rPr>
          <w:rFonts w:ascii="Times New Roman;serif" w:hAnsi="Times New Roman;serif"/>
          <w:b/>
          <w:sz w:val="20"/>
        </w:rPr>
        <w:t>Risk Factor Summary</w:t>
      </w:r>
      <w:r>
        <w:rPr>
          <w:rFonts w:ascii="Times New Roman" w:hAnsi="Times New Roman"/>
          <w:sz w:val="20"/>
        </w:rPr>
        <w:t xml:space="preserve"> </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are dependent upon customer renewals, the addition of new customers, increased revenue from existing customers and the continued growth of the market for a CRM Platform.</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If we fail to adapt and respond effectively to rapidly changing technology, evolving industry standards and changing customer needs or requirements, our CRM Platform may become less competitive.</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are exposed to fluctuations in currency exchange rates that could adversely affect our financial results.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current economic downturn may lead to decreased demand for our products and services and otherwise harm our business and results of operations.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If our CRM Platform has outages or fails due to defects or similar problems, and if we fail to correct any defect or other software problems, we could lose customers, become subject to service performance or warranty claims or incur significant costs.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have a history of losses and may not achieve profitability in the future.</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ability to raise capital in the future may be limited, and our failure to raise capital when needed could prevent us from growing.</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Our Restructuring Plan and associated organizational changes may not adequately reduce our operating costs or improve operating margins, may lead to additional workforce attrition, and may cause operational disruptions.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part_i_financial_information"/>
      <w:bookmarkEnd w:id="2"/>
      <w:r>
        <w:rPr>
          <w:rFonts w:ascii="Times New Roman;serif" w:hAnsi="Times New Roman;serif"/>
          <w:b/>
          <w:sz w:val="20"/>
        </w:rPr>
        <w:t>PART I — Financial Information</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spacing w:before="240" w:after="0"/>
        <w:jc w:val="center"/>
        <w:rPr>
          <w:rFonts w:ascii="Times New Roman;serif" w:hAnsi="Times New Roman;serif"/>
          <w:b/>
          <w:sz w:val="20"/>
        </w:rPr>
      </w:pPr>
      <w:r>
        <w:rPr>
          <w:rFonts w:ascii="Times New Roman;serif" w:hAnsi="Times New Roman;serif"/>
          <w:b/>
          <w:sz w:val="20"/>
        </w:rPr>
        <w:t>HubSpot, Inc.</w:t>
      </w:r>
    </w:p>
    <w:p>
      <w:pPr>
        <w:pStyle w:val="TextBody"/>
        <w:spacing w:before="0" w:after="0"/>
        <w:jc w:val="center"/>
        <w:rPr>
          <w:rFonts w:ascii="Times New Roman;serif" w:hAnsi="Times New Roman;serif"/>
          <w:b/>
          <w:sz w:val="20"/>
        </w:rPr>
      </w:pPr>
      <w:bookmarkStart w:id="4" w:name="unaudited_consolidated_balance_sheets"/>
      <w:bookmarkEnd w:id="4"/>
      <w:r>
        <w:rPr>
          <w:rFonts w:ascii="Times New Roman;serif" w:hAnsi="Times New Roman;serif"/>
          <w:b/>
          <w:sz w:val="20"/>
        </w:rPr>
        <w:t>Unaudited Consolidated Balance Sheets</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tbl>
      <w:tblPr>
        <w:tblW w:w="9199" w:type="dxa"/>
        <w:jc w:val="left"/>
        <w:tblInd w:w="0" w:type="dxa"/>
        <w:tblCellMar>
          <w:top w:w="28" w:type="dxa"/>
          <w:left w:w="28" w:type="dxa"/>
          <w:bottom w:w="28" w:type="dxa"/>
          <w:right w:w="28" w:type="dxa"/>
        </w:tblCellMar>
      </w:tblPr>
      <w:tblGrid>
        <w:gridCol w:w="6046"/>
        <w:gridCol w:w="146"/>
        <w:gridCol w:w="211"/>
        <w:gridCol w:w="931"/>
        <w:gridCol w:w="166"/>
        <w:gridCol w:w="146"/>
        <w:gridCol w:w="211"/>
        <w:gridCol w:w="931"/>
        <w:gridCol w:w="411"/>
      </w:tblGrid>
      <w:tr>
        <w:trPr/>
        <w:tc>
          <w:tcPr>
            <w:tcW w:w="6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6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411" w:type="dxa"/>
            <w:tcBorders/>
            <w:shd w:fill="auto" w:val="clear"/>
            <w:vAlign w:val="center"/>
          </w:tcPr>
          <w:p>
            <w:pPr>
              <w:pStyle w:val="TableContents"/>
              <w:spacing w:before="0" w:after="0"/>
              <w:ind w:left="0" w:right="0" w:hanging="0"/>
              <w:jc w:val="center"/>
              <w:rPr/>
            </w:pPr>
            <w:r>
              <w:rPr/>
              <w:t> </w:t>
            </w:r>
          </w:p>
        </w:tc>
      </w:tr>
      <w:tr>
        <w:trPr/>
        <w:tc>
          <w:tcPr>
            <w:tcW w:w="60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325,159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331,022</w:t>
            </w:r>
          </w:p>
        </w:tc>
        <w:tc>
          <w:tcPr>
            <w:tcW w:w="411" w:type="dxa"/>
            <w:tcBorders/>
            <w:shd w:fill="auto" w:val="clear"/>
            <w:vAlign w:val="center"/>
          </w:tcPr>
          <w:p>
            <w:pPr>
              <w:pStyle w:val="TableContents"/>
              <w:spacing w:before="0" w:after="0"/>
              <w:ind w:left="0" w:right="0" w:firstLine="200"/>
              <w:jc w:val="lef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1,159,554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1,081,662</w:t>
            </w:r>
          </w:p>
        </w:tc>
        <w:tc>
          <w:tcPr>
            <w:tcW w:w="411" w:type="dxa"/>
            <w:tcBorders/>
            <w:shd w:fill="auto" w:val="clear"/>
            <w:vAlign w:val="center"/>
          </w:tcPr>
          <w:p>
            <w:pPr>
              <w:pStyle w:val="TableContents"/>
              <w:spacing w:before="0" w:after="0"/>
              <w:ind w:left="0" w:right="0" w:firstLine="200"/>
              <w:jc w:val="lef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Accounts receivable — net of allowance for doubtful accounts of $3,466</w:t>
            </w:r>
            <w:r>
              <w:rPr>
                <w:rFonts w:ascii="Times New Roman" w:hAnsi="Times New Roman"/>
                <w:sz w:val="20"/>
              </w:rPr>
              <w:t> </w:t>
            </w:r>
            <w:r>
              <w:rPr>
                <w:rFonts w:ascii="Times New Roman;serif" w:hAnsi="Times New Roman;serif"/>
                <w:b w:val="false"/>
                <w:sz w:val="20"/>
              </w:rPr>
              <w:br/>
              <w:t>    at March 31, 2023 and $3,266</w:t>
            </w:r>
            <w:r>
              <w:rPr>
                <w:rFonts w:ascii="Times New Roman" w:hAnsi="Times New Roman"/>
                <w:sz w:val="20"/>
              </w:rPr>
              <w:t> </w:t>
            </w:r>
            <w:r>
              <w:rPr>
                <w:rFonts w:ascii="Times New Roman;serif" w:hAnsi="Times New Roman;serif"/>
                <w:b w:val="false"/>
                <w:sz w:val="20"/>
              </w:rPr>
              <w:t>at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197,516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226,849</w:t>
            </w:r>
          </w:p>
        </w:tc>
        <w:tc>
          <w:tcPr>
            <w:tcW w:w="411" w:type="dxa"/>
            <w:tcBorders/>
            <w:shd w:fill="auto" w:val="clear"/>
            <w:vAlign w:val="center"/>
          </w:tcPr>
          <w:p>
            <w:pPr>
              <w:pStyle w:val="TableContents"/>
              <w:spacing w:before="0" w:after="0"/>
              <w:ind w:left="0" w:right="0" w:firstLine="200"/>
              <w:jc w:val="lef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commission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76,365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70,992</w:t>
            </w:r>
          </w:p>
        </w:tc>
        <w:tc>
          <w:tcPr>
            <w:tcW w:w="411" w:type="dxa"/>
            <w:tcBorders/>
            <w:shd w:fill="auto" w:val="clear"/>
            <w:vAlign w:val="center"/>
          </w:tcPr>
          <w:p>
            <w:pPr>
              <w:pStyle w:val="TableContents"/>
              <w:spacing w:before="0" w:after="0"/>
              <w:ind w:left="0" w:right="0" w:firstLine="200"/>
              <w:jc w:val="lef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63,480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44,074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1,822,074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1,754,599</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121,814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112,791</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107,060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105,227</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software development costs,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63,790</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319,304</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commission expense,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80,476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66,559</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66,145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58,795</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17,446</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46,227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2,643,793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2,544,738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20,883</w:t>
            </w:r>
          </w:p>
        </w:tc>
        <w:tc>
          <w:tcPr>
            <w:tcW w:w="411" w:type="dxa"/>
            <w:tcBorders/>
            <w:shd w:fill="auto" w:val="clear"/>
            <w:vAlign w:val="center"/>
          </w:tcPr>
          <w:p>
            <w:pPr>
              <w:pStyle w:val="TableContents"/>
              <w:spacing w:before="0" w:after="0"/>
              <w:ind w:left="0" w:right="0" w:firstLine="200"/>
              <w:jc w:val="lef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70,605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62,846</w:t>
            </w:r>
          </w:p>
        </w:tc>
        <w:tc>
          <w:tcPr>
            <w:tcW w:w="411" w:type="dxa"/>
            <w:tcBorders/>
            <w:shd w:fill="auto" w:val="clear"/>
            <w:vAlign w:val="center"/>
          </w:tcPr>
          <w:p>
            <w:pPr>
              <w:pStyle w:val="TableContents"/>
              <w:spacing w:before="0" w:after="0"/>
              <w:ind w:left="0" w:right="0" w:firstLine="200"/>
              <w:jc w:val="lef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131,492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102,122</w:t>
            </w:r>
          </w:p>
        </w:tc>
        <w:tc>
          <w:tcPr>
            <w:tcW w:w="411" w:type="dxa"/>
            <w:tcBorders/>
            <w:shd w:fill="auto" w:val="clear"/>
            <w:vAlign w:val="center"/>
          </w:tcPr>
          <w:p>
            <w:pPr>
              <w:pStyle w:val="TableContents"/>
              <w:spacing w:before="0" w:after="0"/>
              <w:ind w:left="0" w:right="0" w:firstLine="200"/>
              <w:jc w:val="lef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35,928</w:t>
            </w:r>
          </w:p>
        </w:tc>
        <w:tc>
          <w:tcPr>
            <w:tcW w:w="411" w:type="dxa"/>
            <w:tcBorders/>
            <w:shd w:fill="auto" w:val="clear"/>
            <w:vAlign w:val="center"/>
          </w:tcPr>
          <w:p>
            <w:pPr>
              <w:pStyle w:val="TableContents"/>
              <w:spacing w:before="0" w:after="0"/>
              <w:ind w:left="0" w:right="0" w:firstLine="200"/>
              <w:jc w:val="lef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571,793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539,874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810,428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761,653</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309,037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316,184</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5,904</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14,546</w:t>
            </w:r>
          </w:p>
        </w:tc>
        <w:tc>
          <w:tcPr>
            <w:tcW w:w="411" w:type="dxa"/>
            <w:tcBorders/>
            <w:shd w:fill="auto" w:val="cle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Convertible senior notes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454,712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454,227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1,597,414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1,552,514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10)</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Common stock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411" w:type="dxa"/>
            <w:tcBorders/>
            <w:shd w:fill="auto" w:val="clear"/>
            <w:vAlign w:val="center"/>
          </w:tcPr>
          <w:p>
            <w:pPr>
              <w:pStyle w:val="TableContents"/>
              <w:spacing w:before="0" w:after="0"/>
              <w:ind w:left="0" w:right="0" w:firstLine="200"/>
              <w:jc w:val="lef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1,734,749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1,647,446</w:t>
            </w:r>
          </w:p>
        </w:tc>
        <w:tc>
          <w:tcPr>
            <w:tcW w:w="411" w:type="dxa"/>
            <w:tcBorders/>
            <w:shd w:fill="auto" w:val="clear"/>
            <w:vAlign w:val="center"/>
          </w:tcPr>
          <w:p>
            <w:pPr>
              <w:pStyle w:val="TableContents"/>
              <w:spacing w:before="0" w:after="0"/>
              <w:ind w:left="0" w:right="0" w:firstLine="200"/>
              <w:jc w:val="left"/>
              <w:rPr/>
            </w:pPr>
            <w:r>
              <w:rPr/>
              <w:t> </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(12,890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(680,663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(642,381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1,046,379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992,224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4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2,643,793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2,544,738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accompanying notes are an integral part of the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HubSpot, Inc.</w:t>
      </w:r>
    </w:p>
    <w:p>
      <w:pPr>
        <w:pStyle w:val="TextBody"/>
        <w:spacing w:before="0" w:after="0"/>
        <w:jc w:val="center"/>
        <w:rPr>
          <w:rFonts w:ascii="Times New Roman;serif" w:hAnsi="Times New Roman;serif"/>
          <w:b/>
          <w:sz w:val="20"/>
        </w:rPr>
      </w:pPr>
      <w:bookmarkStart w:id="5" w:name="unaudited_consolidated_statements_operat"/>
      <w:bookmarkEnd w:id="5"/>
      <w:r>
        <w:rPr>
          <w:rFonts w:ascii="Times New Roman;serif" w:hAnsi="Times New Roman;serif"/>
          <w:b/>
          <w:sz w:val="20"/>
        </w:rPr>
        <w:t>Unaudited Consolidated Statements of Operations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data)</w:t>
      </w:r>
    </w:p>
    <w:tbl>
      <w:tblPr>
        <w:tblW w:w="7794" w:type="dxa"/>
        <w:jc w:val="left"/>
        <w:tblInd w:w="0" w:type="dxa"/>
        <w:tblCellMar>
          <w:top w:w="28" w:type="dxa"/>
          <w:left w:w="28" w:type="dxa"/>
          <w:bottom w:w="28" w:type="dxa"/>
          <w:right w:w="28" w:type="dxa"/>
        </w:tblCellMar>
      </w:tblPr>
      <w:tblGrid>
        <w:gridCol w:w="4021"/>
        <w:gridCol w:w="274"/>
        <w:gridCol w:w="1015"/>
        <w:gridCol w:w="215"/>
        <w:gridCol w:w="189"/>
        <w:gridCol w:w="274"/>
        <w:gridCol w:w="1015"/>
        <w:gridCol w:w="791"/>
      </w:tblGrid>
      <w:tr>
        <w:trPr/>
        <w:tc>
          <w:tcPr>
            <w:tcW w:w="402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4021" w:type="dxa"/>
            <w:tcBorders/>
            <w:shd w:fill="auto" w:val="clear"/>
            <w:vAlign w:val="center"/>
          </w:tcPr>
          <w:p>
            <w:pPr>
              <w:pStyle w:val="TableContents"/>
              <w:spacing w:before="0" w:after="0"/>
              <w:ind w:left="0" w:right="0" w:hanging="0"/>
              <w:jc w:val="left"/>
              <w:rPr/>
            </w:pPr>
            <w:r>
              <w:rPr/>
              <w:t> </w:t>
            </w:r>
          </w:p>
        </w:tc>
        <w:tc>
          <w:tcPr>
            <w:tcW w:w="29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21" w:type="dxa"/>
            <w:tcBorders/>
            <w:shd w:fill="auto" w:val="clear"/>
            <w:vAlign w:val="center"/>
          </w:tcPr>
          <w:p>
            <w:pPr>
              <w:pStyle w:val="TableContents"/>
              <w:spacing w:before="0" w:after="0"/>
              <w:ind w:left="0" w:right="0" w:hanging="0"/>
              <w:jc w:val="left"/>
              <w:rPr/>
            </w:pPr>
            <w:r>
              <w:rPr/>
              <w:t> </w:t>
            </w:r>
          </w:p>
        </w:tc>
        <w:tc>
          <w:tcPr>
            <w:tcW w:w="12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2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289" w:type="dxa"/>
            <w:gridSpan w:val="2"/>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289"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489,743</w:t>
            </w:r>
          </w:p>
        </w:tc>
        <w:tc>
          <w:tcPr>
            <w:tcW w:w="215"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384,956</w:t>
            </w:r>
          </w:p>
        </w:tc>
        <w:tc>
          <w:tcPr>
            <w:tcW w:w="791" w:type="dxa"/>
            <w:tcBorders/>
            <w:shd w:fill="auto" w:val="clear"/>
            <w:vAlign w:val="center"/>
          </w:tcPr>
          <w:p>
            <w:pPr>
              <w:pStyle w:val="TableContents"/>
              <w:spacing w:before="0" w:after="0"/>
              <w:ind w:left="0" w:right="0" w:firstLine="200"/>
              <w:jc w:val="lef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11,877</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10,643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402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revenue</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501,620</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395,599</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289" w:type="dxa"/>
            <w:gridSpan w:val="2"/>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289"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68,339</w:t>
            </w:r>
          </w:p>
        </w:tc>
        <w:tc>
          <w:tcPr>
            <w:tcW w:w="215"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59,384</w:t>
            </w:r>
          </w:p>
        </w:tc>
        <w:tc>
          <w:tcPr>
            <w:tcW w:w="791" w:type="dxa"/>
            <w:tcBorders/>
            <w:shd w:fill="auto" w:val="clear"/>
            <w:vAlign w:val="center"/>
          </w:tcPr>
          <w:p>
            <w:pPr>
              <w:pStyle w:val="TableContents"/>
              <w:spacing w:before="0" w:after="0"/>
              <w:ind w:left="0" w:right="0" w:firstLine="200"/>
              <w:jc w:val="lef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13,707</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13,552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402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cost of revenues</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82,046</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72,936</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419,574</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322,663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289" w:type="dxa"/>
            <w:gridSpan w:val="2"/>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289"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127,683</w:t>
            </w:r>
          </w:p>
        </w:tc>
        <w:tc>
          <w:tcPr>
            <w:tcW w:w="215"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92,736</w:t>
            </w:r>
          </w:p>
        </w:tc>
        <w:tc>
          <w:tcPr>
            <w:tcW w:w="791" w:type="dxa"/>
            <w:tcBorders/>
            <w:shd w:fill="auto" w:val="clear"/>
            <w:vAlign w:val="center"/>
          </w:tcPr>
          <w:p>
            <w:pPr>
              <w:pStyle w:val="TableContents"/>
              <w:spacing w:before="0" w:after="0"/>
              <w:ind w:left="0" w:right="0" w:firstLine="200"/>
              <w:jc w:val="lef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250,683</w:t>
            </w:r>
          </w:p>
        </w:tc>
        <w:tc>
          <w:tcPr>
            <w:tcW w:w="215"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197,134</w:t>
            </w:r>
          </w:p>
        </w:tc>
        <w:tc>
          <w:tcPr>
            <w:tcW w:w="791" w:type="dxa"/>
            <w:tcBorders/>
            <w:shd w:fill="auto" w:val="clear"/>
            <w:vAlign w:val="center"/>
          </w:tcPr>
          <w:p>
            <w:pPr>
              <w:pStyle w:val="TableContents"/>
              <w:spacing w:before="0" w:after="0"/>
              <w:ind w:left="0" w:right="0" w:firstLine="200"/>
              <w:jc w:val="lef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57,405</w:t>
            </w:r>
          </w:p>
        </w:tc>
        <w:tc>
          <w:tcPr>
            <w:tcW w:w="215"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43,947</w:t>
            </w:r>
          </w:p>
        </w:tc>
        <w:tc>
          <w:tcPr>
            <w:tcW w:w="791" w:type="dxa"/>
            <w:tcBorders/>
            <w:shd w:fill="auto" w:val="clear"/>
            <w:vAlign w:val="center"/>
          </w:tcPr>
          <w:p>
            <w:pPr>
              <w:pStyle w:val="TableContents"/>
              <w:spacing w:before="0" w:after="0"/>
              <w:ind w:left="0" w:right="0" w:firstLine="200"/>
              <w:jc w:val="lef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 (Note 14)</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28,570</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0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464,341</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333,817</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(44,767</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(11,154</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w:t>
            </w:r>
          </w:p>
        </w:tc>
        <w:tc>
          <w:tcPr>
            <w:tcW w:w="1289" w:type="dxa"/>
            <w:gridSpan w:val="2"/>
            <w:tcBorders/>
            <w:shd w:fill="auto" w:val="clear"/>
            <w:vAlign w:val="center"/>
          </w:tcPr>
          <w:p>
            <w:pPr>
              <w:pStyle w:val="TableContents"/>
              <w:spacing w:before="0" w:after="0"/>
              <w:ind w:left="0" w:right="0" w:hanging="0"/>
              <w:jc w:val="right"/>
              <w:rPr/>
            </w:pPr>
            <w:r>
              <w:rPr/>
              <w:t> </w:t>
            </w:r>
          </w:p>
        </w:tc>
        <w:tc>
          <w:tcPr>
            <w:tcW w:w="215" w:type="dxa"/>
            <w:tcBorders/>
            <w:shd w:fill="auto" w:val="clear"/>
            <w:vAlign w:val="center"/>
          </w:tcPr>
          <w:p>
            <w:pPr>
              <w:pStyle w:val="TableContents"/>
              <w:spacing w:before="0" w:after="0"/>
              <w:ind w:left="0" w:right="0" w:hanging="0"/>
              <w:jc w:val="righ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289"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10,472</w:t>
            </w:r>
          </w:p>
        </w:tc>
        <w:tc>
          <w:tcPr>
            <w:tcW w:w="215"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791" w:type="dxa"/>
            <w:tcBorders/>
            <w:shd w:fill="auto" w:val="clear"/>
            <w:vAlign w:val="center"/>
          </w:tcPr>
          <w:p>
            <w:pPr>
              <w:pStyle w:val="TableContents"/>
              <w:spacing w:before="0" w:after="0"/>
              <w:ind w:left="0" w:right="0" w:firstLine="200"/>
              <w:jc w:val="left"/>
              <w:rPr/>
            </w:pPr>
            <w:r>
              <w:rPr/>
              <w:t> </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(930</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w:t>
            </w:r>
          </w:p>
        </w:tc>
        <w:tc>
          <w:tcPr>
            <w:tcW w:w="7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(794</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0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8,748</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3,257</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 expense</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(36,019</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(7,897</w:t>
            </w:r>
          </w:p>
        </w:tc>
        <w:tc>
          <w:tcPr>
            <w:tcW w:w="79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(2,263</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(38,282</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(9,341</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(0.78</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 average common shares used in </w:t>
              <w:br/>
              <w:t>  computing basic and diluted net loss per share:</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49,395</w:t>
            </w:r>
          </w:p>
        </w:tc>
        <w:tc>
          <w:tcPr>
            <w:tcW w:w="215"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47,577</w:t>
            </w:r>
          </w:p>
        </w:tc>
        <w:tc>
          <w:tcPr>
            <w:tcW w:w="7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accompanying notes are an integral part of the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HubSpot, Inc.</w:t>
      </w:r>
    </w:p>
    <w:p>
      <w:pPr>
        <w:pStyle w:val="TextBody"/>
        <w:spacing w:before="0" w:after="0"/>
        <w:jc w:val="center"/>
        <w:rPr>
          <w:rFonts w:ascii="Times New Roman;serif" w:hAnsi="Times New Roman;serif"/>
          <w:b/>
          <w:sz w:val="20"/>
        </w:rPr>
      </w:pPr>
      <w:bookmarkStart w:id="6" w:name="unaudited_consolidated_statements_compre"/>
      <w:bookmarkEnd w:id="6"/>
      <w:r>
        <w:rPr>
          <w:rFonts w:ascii="Times New Roman;serif" w:hAnsi="Times New Roman;serif"/>
          <w:b/>
          <w:sz w:val="20"/>
        </w:rPr>
        <w:t>Unaudited Consolidated Statements of Comprehensive Loss</w:t>
      </w:r>
    </w:p>
    <w:p>
      <w:pPr>
        <w:pStyle w:val="TextBody"/>
        <w:spacing w:before="0" w:after="0"/>
        <w:jc w:val="center"/>
        <w:rPr>
          <w:rFonts w:ascii="Times New Roman;serif" w:hAnsi="Times New Roman;serif"/>
          <w:b/>
          <w:sz w:val="20"/>
        </w:rPr>
      </w:pPr>
      <w:r>
        <w:rPr>
          <w:rFonts w:ascii="Times New Roman;serif" w:hAnsi="Times New Roman;serif"/>
          <w:b/>
          <w:sz w:val="20"/>
        </w:rPr>
        <w:t>(in thousands)</w:t>
      </w:r>
    </w:p>
    <w:tbl>
      <w:tblPr>
        <w:tblW w:w="9200" w:type="dxa"/>
        <w:jc w:val="left"/>
        <w:tblInd w:w="0" w:type="dxa"/>
        <w:tblCellMar>
          <w:top w:w="28" w:type="dxa"/>
          <w:left w:w="28" w:type="dxa"/>
          <w:bottom w:w="28" w:type="dxa"/>
          <w:right w:w="28" w:type="dxa"/>
        </w:tblCellMar>
      </w:tblPr>
      <w:tblGrid>
        <w:gridCol w:w="5806"/>
        <w:gridCol w:w="285"/>
        <w:gridCol w:w="996"/>
        <w:gridCol w:w="224"/>
        <w:gridCol w:w="197"/>
        <w:gridCol w:w="285"/>
        <w:gridCol w:w="996"/>
        <w:gridCol w:w="411"/>
      </w:tblGrid>
      <w:tr>
        <w:trPr/>
        <w:tc>
          <w:tcPr>
            <w:tcW w:w="580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806" w:type="dxa"/>
            <w:tcBorders/>
            <w:shd w:fill="auto" w:val="clear"/>
            <w:vAlign w:val="center"/>
          </w:tcPr>
          <w:p>
            <w:pPr>
              <w:pStyle w:val="TableContents"/>
              <w:spacing w:before="0" w:after="0"/>
              <w:ind w:left="0" w:right="0" w:hanging="0"/>
              <w:jc w:val="left"/>
              <w:rPr/>
            </w:pPr>
            <w:r>
              <w:rPr/>
              <w:t> </w:t>
            </w:r>
          </w:p>
        </w:tc>
        <w:tc>
          <w:tcPr>
            <w:tcW w:w="29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06" w:type="dxa"/>
            <w:tcBorders/>
            <w:shd w:fill="auto" w:val="clear"/>
            <w:vAlign w:val="center"/>
          </w:tcPr>
          <w:p>
            <w:pPr>
              <w:pStyle w:val="TableContents"/>
              <w:spacing w:before="0" w:after="0"/>
              <w:ind w:left="0" w:right="0" w:hanging="0"/>
              <w:jc w:val="left"/>
              <w:rPr/>
            </w:pPr>
            <w:r>
              <w:rPr/>
              <w:t> </w:t>
            </w:r>
          </w:p>
        </w:tc>
        <w:tc>
          <w:tcPr>
            <w:tcW w:w="12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(38,282</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281" w:type="dxa"/>
            <w:gridSpan w:val="2"/>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58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w:t>
            </w:r>
          </w:p>
        </w:tc>
        <w:tc>
          <w:tcPr>
            <w:tcW w:w="285"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80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Changes in unrealized gain (loss) on investments, net of income taxes </w:t>
              <w:br/>
              <w:t>  of $0</w:t>
            </w:r>
            <w:r>
              <w:rPr>
                <w:rFonts w:ascii="Times New Roman" w:hAnsi="Times New Roman"/>
                <w:sz w:val="20"/>
              </w:rPr>
              <w:t> </w:t>
            </w:r>
            <w:r>
              <w:rPr>
                <w:rFonts w:ascii="Times New Roman;serif" w:hAnsi="Times New Roman;serif"/>
                <w:b w:val="false"/>
                <w:sz w:val="20"/>
              </w:rPr>
              <w:t>for the three months ended March 31, 2023 and 2022</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4,507</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8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(33,148</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7" w:type="dxa"/>
            <w:tcBorders/>
            <w:shd w:fill="auto" w:val="clear"/>
            <w:vAlign w:val="center"/>
          </w:tcPr>
          <w:p>
            <w:pPr>
              <w:pStyle w:val="TableContents"/>
              <w:spacing w:before="0" w:after="0"/>
              <w:ind w:left="0" w:right="0" w:hanging="0"/>
              <w:jc w:val="righ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(13,698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accompanying notes are an integral part of the consolidated financial statements.</w:t>
      </w:r>
    </w:p>
    <w:p>
      <w:pPr>
        <w:pStyle w:val="TextBody"/>
        <w:spacing w:before="4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HubSpot, Inc.</w:t>
      </w:r>
    </w:p>
    <w:p>
      <w:pPr>
        <w:pStyle w:val="TextBody"/>
        <w:spacing w:before="0" w:after="0"/>
        <w:jc w:val="center"/>
        <w:rPr>
          <w:rFonts w:ascii="Times New Roman;serif" w:hAnsi="Times New Roman;serif"/>
          <w:b/>
          <w:sz w:val="20"/>
        </w:rPr>
      </w:pPr>
      <w:r>
        <w:rPr>
          <w:rFonts w:ascii="Times New Roman;serif" w:hAnsi="Times New Roman;serif"/>
          <w:b/>
          <w:sz w:val="20"/>
        </w:rPr>
        <w:t>Unaudited Consolidated Statements of Stockholders' Equity</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spacing w:before="0" w:after="0"/>
        <w:jc w:val="center"/>
        <w:rPr/>
      </w:pPr>
      <w:r>
        <w:rPr/>
        <w:t> </w:t>
      </w:r>
    </w:p>
    <w:tbl>
      <w:tblPr>
        <w:tblW w:w="10531" w:type="dxa"/>
        <w:jc w:val="left"/>
        <w:tblInd w:w="0" w:type="dxa"/>
        <w:tblCellMar>
          <w:top w:w="28" w:type="dxa"/>
          <w:left w:w="28" w:type="dxa"/>
          <w:bottom w:w="28" w:type="dxa"/>
          <w:right w:w="28" w:type="dxa"/>
        </w:tblCellMar>
      </w:tblPr>
      <w:tblGrid>
        <w:gridCol w:w="1261"/>
        <w:gridCol w:w="146"/>
        <w:gridCol w:w="676"/>
        <w:gridCol w:w="166"/>
        <w:gridCol w:w="146"/>
        <w:gridCol w:w="211"/>
        <w:gridCol w:w="346"/>
        <w:gridCol w:w="146"/>
        <w:gridCol w:w="146"/>
        <w:gridCol w:w="146"/>
        <w:gridCol w:w="421"/>
        <w:gridCol w:w="146"/>
        <w:gridCol w:w="146"/>
        <w:gridCol w:w="211"/>
        <w:gridCol w:w="346"/>
        <w:gridCol w:w="146"/>
        <w:gridCol w:w="146"/>
        <w:gridCol w:w="211"/>
        <w:gridCol w:w="931"/>
        <w:gridCol w:w="166"/>
        <w:gridCol w:w="146"/>
        <w:gridCol w:w="244"/>
        <w:gridCol w:w="852"/>
        <w:gridCol w:w="166"/>
        <w:gridCol w:w="146"/>
        <w:gridCol w:w="211"/>
        <w:gridCol w:w="841"/>
        <w:gridCol w:w="166"/>
        <w:gridCol w:w="146"/>
        <w:gridCol w:w="211"/>
        <w:gridCol w:w="931"/>
        <w:gridCol w:w="211"/>
      </w:tblGrid>
      <w:tr>
        <w:trPr/>
        <w:tc>
          <w:tcPr>
            <w:tcW w:w="1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261" w:type="dxa"/>
            <w:tcBorders/>
            <w:shd w:fill="auto" w:val="clear"/>
            <w:vAlign w:val="center"/>
          </w:tcPr>
          <w:p>
            <w:pPr>
              <w:pStyle w:val="TableContents"/>
              <w:spacing w:before="0" w:after="0"/>
              <w:ind w:left="0" w:right="0" w:hanging="0"/>
              <w:jc w:val="right"/>
              <w:rPr/>
            </w:pPr>
            <w:r>
              <w:rPr/>
              <w:t> </w:t>
            </w:r>
          </w:p>
        </w:tc>
        <w:tc>
          <w:tcPr>
            <w:tcW w:w="16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Common</w:t>
              <w:br/>
              <w:t>Stock, $0.001</w:t>
              <w:br/>
              <w:t>Par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Treasury Stock, $0.001</w:t>
              <w:br/>
              <w:t>Par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Additional</w:t>
              <w:b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6"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261" w:type="dxa"/>
            <w:tcBorders/>
            <w:shd w:fill="auto" w:val="cle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Balances at December 31, 2022</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49,217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1,647,446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(12,890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(642,381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992,224</w:t>
            </w:r>
          </w:p>
        </w:tc>
        <w:tc>
          <w:tcPr>
            <w:tcW w:w="211" w:type="dxa"/>
            <w:tcBorders/>
            <w:shd w:fill="auto" w:val="clear"/>
            <w:vAlign w:val="center"/>
          </w:tcPr>
          <w:p>
            <w:pPr>
              <w:pStyle w:val="TableContents"/>
              <w:spacing w:before="0" w:after="0"/>
              <w:ind w:left="0" w:right="0" w:hanging="0"/>
              <w:jc w:val="left"/>
              <w:rPr/>
            </w:pPr>
            <w:r>
              <w:rPr/>
              <w:t> </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 xml:space="preserve">Issuance of common stock under stock </w:t>
              <w:br/>
              <w:t>  plans</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1,196</w:t>
            </w:r>
          </w:p>
        </w:tc>
        <w:tc>
          <w:tcPr>
            <w:tcW w:w="211" w:type="dxa"/>
            <w:tcBorders/>
            <w:shd w:fill="auto" w:val="clear"/>
            <w:vAlign w:val="center"/>
          </w:tcPr>
          <w:p>
            <w:pPr>
              <w:pStyle w:val="TableContents"/>
              <w:spacing w:before="0" w:after="0"/>
              <w:ind w:left="0" w:right="0" w:hanging="0"/>
              <w:jc w:val="left"/>
              <w:rPr/>
            </w:pPr>
            <w:r>
              <w:rPr/>
              <w:t> </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Restricted stock units taxes paid in cash</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(1,198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87,305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87,305</w:t>
            </w:r>
          </w:p>
        </w:tc>
        <w:tc>
          <w:tcPr>
            <w:tcW w:w="211" w:type="dxa"/>
            <w:tcBorders/>
            <w:shd w:fill="auto" w:val="clear"/>
            <w:vAlign w:val="center"/>
          </w:tcPr>
          <w:p>
            <w:pPr>
              <w:pStyle w:val="TableContents"/>
              <w:spacing w:before="0" w:after="0"/>
              <w:ind w:left="0" w:right="0" w:hanging="0"/>
              <w:jc w:val="left"/>
              <w:rPr/>
            </w:pPr>
            <w:r>
              <w:rPr/>
              <w:t> </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Cumulative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627</w:t>
            </w:r>
          </w:p>
        </w:tc>
        <w:tc>
          <w:tcPr>
            <w:tcW w:w="211" w:type="dxa"/>
            <w:tcBorders/>
            <w:shd w:fill="auto" w:val="clear"/>
            <w:vAlign w:val="center"/>
          </w:tcPr>
          <w:p>
            <w:pPr>
              <w:pStyle w:val="TableContents"/>
              <w:spacing w:before="0" w:after="0"/>
              <w:ind w:left="0" w:right="0" w:hanging="0"/>
              <w:jc w:val="left"/>
              <w:rPr/>
            </w:pPr>
            <w:r>
              <w:rPr/>
              <w:t> </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Unrealized gain on investments, net of</w:t>
              <w:br/>
              <w:t>  income taxes of $0</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85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4,507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4,507</w:t>
            </w:r>
          </w:p>
        </w:tc>
        <w:tc>
          <w:tcPr>
            <w:tcW w:w="211" w:type="dxa"/>
            <w:tcBorders/>
            <w:shd w:fill="auto" w:val="clear"/>
            <w:vAlign w:val="center"/>
          </w:tcPr>
          <w:p>
            <w:pPr>
              <w:pStyle w:val="TableContents"/>
              <w:spacing w:before="0" w:after="0"/>
              <w:ind w:left="0" w:right="0" w:hanging="0"/>
              <w:jc w:val="left"/>
              <w:rPr/>
            </w:pPr>
            <w:r>
              <w:rPr/>
              <w:t> </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(38,282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(38,282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Balances at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49,473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1,734,749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(7,756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(680,663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1,046,379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tbl>
      <w:tblPr>
        <w:tblW w:w="10361" w:type="dxa"/>
        <w:jc w:val="left"/>
        <w:tblInd w:w="0" w:type="dxa"/>
        <w:tblCellMar>
          <w:top w:w="28" w:type="dxa"/>
          <w:left w:w="28" w:type="dxa"/>
          <w:bottom w:w="28" w:type="dxa"/>
          <w:right w:w="28" w:type="dxa"/>
        </w:tblCellMar>
      </w:tblPr>
      <w:tblGrid>
        <w:gridCol w:w="1261"/>
        <w:gridCol w:w="146"/>
        <w:gridCol w:w="676"/>
        <w:gridCol w:w="146"/>
        <w:gridCol w:w="146"/>
        <w:gridCol w:w="211"/>
        <w:gridCol w:w="346"/>
        <w:gridCol w:w="146"/>
        <w:gridCol w:w="146"/>
        <w:gridCol w:w="146"/>
        <w:gridCol w:w="421"/>
        <w:gridCol w:w="146"/>
        <w:gridCol w:w="146"/>
        <w:gridCol w:w="211"/>
        <w:gridCol w:w="346"/>
        <w:gridCol w:w="146"/>
        <w:gridCol w:w="146"/>
        <w:gridCol w:w="211"/>
        <w:gridCol w:w="931"/>
        <w:gridCol w:w="166"/>
        <w:gridCol w:w="146"/>
        <w:gridCol w:w="274"/>
        <w:gridCol w:w="822"/>
        <w:gridCol w:w="166"/>
        <w:gridCol w:w="146"/>
        <w:gridCol w:w="211"/>
        <w:gridCol w:w="841"/>
        <w:gridCol w:w="166"/>
        <w:gridCol w:w="146"/>
        <w:gridCol w:w="211"/>
        <w:gridCol w:w="781"/>
        <w:gridCol w:w="211"/>
      </w:tblGrid>
      <w:tr>
        <w:trPr/>
        <w:tc>
          <w:tcPr>
            <w:tcW w:w="1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261" w:type="dxa"/>
            <w:tcBorders/>
            <w:shd w:fill="auto" w:val="clear"/>
            <w:vAlign w:val="center"/>
          </w:tcPr>
          <w:p>
            <w:pPr>
              <w:pStyle w:val="TableContents"/>
              <w:spacing w:before="0" w:after="0"/>
              <w:ind w:left="0" w:right="0" w:hanging="0"/>
              <w:jc w:val="right"/>
              <w:rPr/>
            </w:pPr>
            <w:r>
              <w:rPr/>
              <w:t> </w:t>
            </w:r>
          </w:p>
        </w:tc>
        <w:tc>
          <w:tcPr>
            <w:tcW w:w="16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Common</w:t>
              <w:br/>
              <w:t>Stock, $0.001</w:t>
              <w:br/>
              <w:t>Par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Treasury Stock, $0.001</w:t>
              <w:br/>
              <w:t>Par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Additional</w:t>
              <w:b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6"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261" w:type="dxa"/>
            <w:tcBorders/>
            <w:shd w:fill="auto" w:val="clear"/>
            <w:vAlign w:val="center"/>
          </w:tcPr>
          <w:p>
            <w:pPr>
              <w:pStyle w:val="TableContents"/>
              <w:spacing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Balances at December 31, 2021</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47,390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1,436,089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(1,339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(560,998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873,799</w:t>
            </w:r>
          </w:p>
        </w:tc>
        <w:tc>
          <w:tcPr>
            <w:tcW w:w="211" w:type="dxa"/>
            <w:tcBorders/>
            <w:shd w:fill="auto" w:val="clear"/>
            <w:vAlign w:val="center"/>
          </w:tcPr>
          <w:p>
            <w:pPr>
              <w:pStyle w:val="TableContents"/>
              <w:spacing w:before="0" w:after="0"/>
              <w:ind w:left="0" w:right="0" w:hanging="0"/>
              <w:jc w:val="left"/>
              <w:rPr/>
            </w:pPr>
            <w:r>
              <w:rPr/>
              <w:t> </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 xml:space="preserve">Issuance of common stock under stock </w:t>
              <w:br/>
              <w:t>  plans</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2,144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2,145</w:t>
            </w:r>
          </w:p>
        </w:tc>
        <w:tc>
          <w:tcPr>
            <w:tcW w:w="211" w:type="dxa"/>
            <w:tcBorders/>
            <w:shd w:fill="auto" w:val="clear"/>
            <w:vAlign w:val="center"/>
          </w:tcPr>
          <w:p>
            <w:pPr>
              <w:pStyle w:val="TableContents"/>
              <w:spacing w:before="0" w:after="0"/>
              <w:ind w:left="0" w:right="0" w:hanging="0"/>
              <w:jc w:val="left"/>
              <w:rPr/>
            </w:pPr>
            <w:r>
              <w:rPr/>
              <w:t> </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Restricted stock units taxes paid in cash</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(4,354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(4,354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46,436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46,436</w:t>
            </w:r>
          </w:p>
        </w:tc>
        <w:tc>
          <w:tcPr>
            <w:tcW w:w="211" w:type="dxa"/>
            <w:tcBorders/>
            <w:shd w:fill="auto" w:val="clear"/>
            <w:vAlign w:val="center"/>
          </w:tcPr>
          <w:p>
            <w:pPr>
              <w:pStyle w:val="TableContents"/>
              <w:spacing w:before="0" w:after="0"/>
              <w:ind w:left="0" w:right="0" w:hanging="0"/>
              <w:jc w:val="left"/>
              <w:rPr/>
            </w:pPr>
            <w:r>
              <w:rPr/>
              <w:t> </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Conversion of the 2025 Notes</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(691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 xml:space="preserve">Cumulative adjustment from adoption </w:t>
              <w:br/>
              <w:t>  of convertible debt standard</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(101,167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31,366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(69,801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Cumulative translation adjustment</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(356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Unrealized loss on investments, net of</w:t>
              <w:br/>
              <w:t>  income taxes of $0</w:t>
            </w:r>
          </w:p>
        </w:tc>
        <w:tc>
          <w:tcPr>
            <w:tcW w:w="14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(4,001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(4,001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(9,341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(9,341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26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Balances at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47,640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1,378,457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(5,696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(538,973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833,836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rFonts w:ascii="Times New Roman;serif" w:hAnsi="Times New Roman;serif"/>
          <w:b w:val="false"/>
          <w:sz w:val="20"/>
        </w:rPr>
      </w:pPr>
      <w:r>
        <w:rPr>
          <w:rFonts w:ascii="Times New Roman;serif" w:hAnsi="Times New Roman;serif"/>
          <w:b w:val="false"/>
          <w:sz w:val="20"/>
        </w:rPr>
        <w:t>The accompanying notes are an integral part of the consolidated financial statements.</w:t>
      </w:r>
    </w:p>
    <w:p>
      <w:pPr>
        <w:pStyle w:val="TextBody"/>
        <w:spacing w:before="4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HubSpot, Inc.</w:t>
      </w:r>
    </w:p>
    <w:p>
      <w:pPr>
        <w:pStyle w:val="TextBody"/>
        <w:spacing w:before="0" w:after="0"/>
        <w:jc w:val="center"/>
        <w:rPr>
          <w:rFonts w:ascii="Times New Roman;serif" w:hAnsi="Times New Roman;serif"/>
          <w:b/>
          <w:sz w:val="20"/>
        </w:rPr>
      </w:pPr>
      <w:bookmarkStart w:id="7" w:name="unaudited_consolidated_statements_cash_f"/>
      <w:bookmarkEnd w:id="7"/>
      <w:r>
        <w:rPr>
          <w:rFonts w:ascii="Times New Roman;serif" w:hAnsi="Times New Roman;serif"/>
          <w:b/>
          <w:sz w:val="20"/>
        </w:rPr>
        <w:t>Unaudited Consolidated Statements of Cash Flows</w:t>
      </w:r>
    </w:p>
    <w:p>
      <w:pPr>
        <w:pStyle w:val="TextBody"/>
        <w:spacing w:before="40" w:after="0"/>
        <w:jc w:val="center"/>
        <w:rPr>
          <w:rFonts w:ascii="Times New Roman;serif" w:hAnsi="Times New Roman;serif"/>
          <w:b/>
          <w:sz w:val="20"/>
        </w:rPr>
      </w:pPr>
      <w:r>
        <w:rPr>
          <w:rFonts w:ascii="Times New Roman;serif" w:hAnsi="Times New Roman;serif"/>
          <w:b/>
          <w:sz w:val="20"/>
        </w:rPr>
        <w:t>(in thousands)</w:t>
      </w:r>
    </w:p>
    <w:tbl>
      <w:tblPr>
        <w:tblW w:w="9616" w:type="dxa"/>
        <w:jc w:val="left"/>
        <w:tblInd w:w="0" w:type="dxa"/>
        <w:tblCellMar>
          <w:top w:w="28" w:type="dxa"/>
          <w:left w:w="28" w:type="dxa"/>
          <w:bottom w:w="28" w:type="dxa"/>
          <w:right w:w="28" w:type="dxa"/>
        </w:tblCellMar>
      </w:tblPr>
      <w:tblGrid>
        <w:gridCol w:w="5476"/>
        <w:gridCol w:w="146"/>
        <w:gridCol w:w="265"/>
        <w:gridCol w:w="1016"/>
        <w:gridCol w:w="224"/>
        <w:gridCol w:w="197"/>
        <w:gridCol w:w="265"/>
        <w:gridCol w:w="1016"/>
        <w:gridCol w:w="1011"/>
      </w:tblGrid>
      <w:tr>
        <w:trPr/>
        <w:tc>
          <w:tcPr>
            <w:tcW w:w="5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r>
      <w:tr>
        <w:trPr/>
        <w:tc>
          <w:tcPr>
            <w:tcW w:w="5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547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(38,282</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(9,341</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Adjustments to reconcile net loss to net cash and cash equivalents provided</w:t>
              <w:br/>
              <w:t>   by operating activities, net of acquisitions</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400"/>
              <w:jc w:val="right"/>
              <w:rPr/>
            </w:pPr>
            <w:r>
              <w:rPr/>
              <w:t> </w:t>
            </w:r>
          </w:p>
        </w:tc>
      </w:tr>
      <w:tr>
        <w:trPr/>
        <w:tc>
          <w:tcPr>
            <w:tcW w:w="547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16,570</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12,798</w:t>
            </w:r>
          </w:p>
        </w:tc>
        <w:tc>
          <w:tcPr>
            <w:tcW w:w="1011" w:type="dxa"/>
            <w:tcBorders/>
            <w:shd w:fill="auto" w:val="clear"/>
            <w:vAlign w:val="center"/>
          </w:tcPr>
          <w:p>
            <w:pPr>
              <w:pStyle w:val="TableContents"/>
              <w:spacing w:before="0" w:after="0"/>
              <w:ind w:left="0" w:right="0" w:firstLine="400"/>
              <w:jc w:val="left"/>
              <w:rPr/>
            </w:pPr>
            <w:r>
              <w:rPr/>
              <w:t> </w:t>
            </w:r>
          </w:p>
        </w:tc>
      </w:tr>
      <w:tr>
        <w:trPr/>
        <w:tc>
          <w:tcPr>
            <w:tcW w:w="547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83,037</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45,704</w:t>
            </w:r>
          </w:p>
        </w:tc>
        <w:tc>
          <w:tcPr>
            <w:tcW w:w="1011" w:type="dxa"/>
            <w:tcBorders/>
            <w:shd w:fill="auto" w:val="clear"/>
            <w:vAlign w:val="center"/>
          </w:tcPr>
          <w:p>
            <w:pPr>
              <w:pStyle w:val="TableContents"/>
              <w:spacing w:before="0" w:after="0"/>
              <w:ind w:left="0" w:right="0" w:firstLine="400"/>
              <w:jc w:val="left"/>
              <w:rPr/>
            </w:pPr>
            <w:r>
              <w:rPr/>
              <w:t> </w:t>
            </w:r>
          </w:p>
        </w:tc>
      </w:tr>
      <w:tr>
        <w:trPr/>
        <w:tc>
          <w:tcPr>
            <w:tcW w:w="547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Restructuring charges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2,281</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firstLine="400"/>
              <w:jc w:val="left"/>
              <w:rPr/>
            </w:pPr>
            <w:r>
              <w:rPr/>
              <w:t> </w:t>
            </w:r>
          </w:p>
        </w:tc>
      </w:tr>
      <w:tr>
        <w:trPr/>
        <w:tc>
          <w:tcPr>
            <w:tcW w:w="547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Gain on strategic investments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pPr>
            <w:r>
              <w:rPr/>
              <w:t>—</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(4,221</w:t>
            </w:r>
          </w:p>
        </w:tc>
        <w:tc>
          <w:tcPr>
            <w:tcW w:w="10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Provision on (benefit from) 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w:t>
            </w:r>
          </w:p>
        </w:tc>
        <w:tc>
          <w:tcPr>
            <w:tcW w:w="10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Amortization of debt discount and issuance costs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484</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507</w:t>
            </w:r>
          </w:p>
        </w:tc>
        <w:tc>
          <w:tcPr>
            <w:tcW w:w="1011" w:type="dxa"/>
            <w:tcBorders/>
            <w:shd w:fill="auto" w:val="clear"/>
            <w:vAlign w:val="center"/>
          </w:tcPr>
          <w:p>
            <w:pPr>
              <w:pStyle w:val="TableContents"/>
              <w:spacing w:before="0" w:after="0"/>
              <w:ind w:left="0" w:right="0" w:firstLine="400"/>
              <w:jc w:val="left"/>
              <w:rPr/>
            </w:pPr>
            <w:r>
              <w:rPr/>
              <w:t> </w:t>
            </w:r>
          </w:p>
        </w:tc>
      </w:tr>
      <w:tr>
        <w:trPr/>
        <w:tc>
          <w:tcPr>
            <w:tcW w:w="547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(Accretion) amortization of bond discount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(8,008</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585</w:t>
            </w:r>
          </w:p>
        </w:tc>
        <w:tc>
          <w:tcPr>
            <w:tcW w:w="1011" w:type="dxa"/>
            <w:tcBorders/>
            <w:shd w:fill="auto" w:val="clear"/>
            <w:vAlign w:val="center"/>
          </w:tcPr>
          <w:p>
            <w:pPr>
              <w:pStyle w:val="TableContents"/>
              <w:spacing w:before="0" w:after="0"/>
              <w:ind w:left="0" w:right="0" w:firstLine="400"/>
              <w:jc w:val="left"/>
              <w:rPr/>
            </w:pPr>
            <w:r>
              <w:rPr/>
              <w:t> </w:t>
            </w:r>
          </w:p>
        </w:tc>
      </w:tr>
      <w:tr>
        <w:trPr/>
        <w:tc>
          <w:tcPr>
            <w:tcW w:w="547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Unrealized currency translation</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(358</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703</w:t>
            </w:r>
          </w:p>
        </w:tc>
        <w:tc>
          <w:tcPr>
            <w:tcW w:w="1011" w:type="dxa"/>
            <w:tcBorders/>
            <w:shd w:fill="auto" w:val="clear"/>
            <w:vAlign w:val="center"/>
          </w:tcPr>
          <w:p>
            <w:pPr>
              <w:pStyle w:val="TableContents"/>
              <w:spacing w:before="0" w:after="0"/>
              <w:ind w:left="0" w:right="0" w:firstLine="400"/>
              <w:jc w:val="left"/>
              <w:rPr/>
            </w:pPr>
            <w:r>
              <w:rPr/>
              <w:t> </w:t>
            </w:r>
          </w:p>
        </w:tc>
      </w:tr>
      <w:tr>
        <w:trPr/>
        <w:tc>
          <w:tcPr>
            <w:tcW w:w="5476"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600"/>
              <w:jc w:val="right"/>
              <w:rPr/>
            </w:pPr>
            <w:r>
              <w:rPr/>
              <w:t> </w:t>
            </w:r>
          </w:p>
        </w:tc>
      </w:tr>
      <w:tr>
        <w:trPr/>
        <w:tc>
          <w:tcPr>
            <w:tcW w:w="5476"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30,615</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3,552</w:t>
            </w:r>
          </w:p>
        </w:tc>
        <w:tc>
          <w:tcPr>
            <w:tcW w:w="1011" w:type="dxa"/>
            <w:tcBorders/>
            <w:shd w:fill="auto" w:val="clear"/>
            <w:vAlign w:val="center"/>
          </w:tcPr>
          <w:p>
            <w:pPr>
              <w:pStyle w:val="TableContents"/>
              <w:spacing w:before="0" w:after="0"/>
              <w:ind w:left="0" w:right="0" w:firstLine="600"/>
              <w:jc w:val="left"/>
              <w:rPr/>
            </w:pPr>
            <w:r>
              <w:rPr/>
              <w:t> </w:t>
            </w:r>
          </w:p>
        </w:tc>
      </w:tr>
      <w:tr>
        <w:trPr/>
        <w:tc>
          <w:tcPr>
            <w:tcW w:w="5476"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(20,417</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(3,927</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Deferred commission expense</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(18,539</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(8,354</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Right-of-use assets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8,483</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6,528</w:t>
            </w:r>
          </w:p>
        </w:tc>
        <w:tc>
          <w:tcPr>
            <w:tcW w:w="1011" w:type="dxa"/>
            <w:tcBorders/>
            <w:shd w:fill="auto" w:val="clear"/>
            <w:vAlign w:val="center"/>
          </w:tcPr>
          <w:p>
            <w:pPr>
              <w:pStyle w:val="TableContents"/>
              <w:spacing w:before="0" w:after="0"/>
              <w:ind w:left="0" w:right="0" w:firstLine="600"/>
              <w:jc w:val="left"/>
              <w:rPr/>
            </w:pPr>
            <w:r>
              <w:rPr/>
              <w:t> </w:t>
            </w:r>
          </w:p>
        </w:tc>
      </w:tr>
      <w:tr>
        <w:trPr/>
        <w:tc>
          <w:tcPr>
            <w:tcW w:w="5476"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(17,873</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3,625</w:t>
            </w:r>
          </w:p>
        </w:tc>
        <w:tc>
          <w:tcPr>
            <w:tcW w:w="1011" w:type="dxa"/>
            <w:tcBorders/>
            <w:shd w:fill="auto" w:val="clear"/>
            <w:vAlign w:val="center"/>
          </w:tcPr>
          <w:p>
            <w:pPr>
              <w:pStyle w:val="TableContents"/>
              <w:spacing w:before="0" w:after="0"/>
              <w:ind w:left="0" w:right="0" w:firstLine="600"/>
              <w:jc w:val="left"/>
              <w:rPr/>
            </w:pPr>
            <w:r>
              <w:rPr/>
              <w:t> </w:t>
            </w:r>
          </w:p>
        </w:tc>
      </w:tr>
      <w:tr>
        <w:trPr/>
        <w:tc>
          <w:tcPr>
            <w:tcW w:w="5476"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24,221</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7,135</w:t>
            </w:r>
          </w:p>
        </w:tc>
        <w:tc>
          <w:tcPr>
            <w:tcW w:w="1011" w:type="dxa"/>
            <w:tcBorders/>
            <w:shd w:fill="auto" w:val="clear"/>
            <w:vAlign w:val="center"/>
          </w:tcPr>
          <w:p>
            <w:pPr>
              <w:pStyle w:val="TableContents"/>
              <w:spacing w:before="0" w:after="0"/>
              <w:ind w:left="0" w:right="0" w:firstLine="600"/>
              <w:jc w:val="left"/>
              <w:rPr/>
            </w:pPr>
            <w:r>
              <w:rPr/>
              <w:t> </w:t>
            </w:r>
          </w:p>
        </w:tc>
      </w:tr>
      <w:tr>
        <w:trPr/>
        <w:tc>
          <w:tcPr>
            <w:tcW w:w="5476"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(9,829</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(2,318</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28,638</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29,496</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5476" w:type="dxa"/>
            <w:tcBorders/>
            <w:shd w:fill="auto" w:val="clear"/>
            <w:vAlign w:val="center"/>
          </w:tcPr>
          <w:p>
            <w:pPr>
              <w:pStyle w:val="TableContents"/>
              <w:spacing w:before="0" w:after="0"/>
              <w:ind w:left="800" w:right="0" w:hanging="0"/>
              <w:jc w:val="left"/>
              <w:rPr>
                <w:rFonts w:ascii="Times New Roman;serif" w:hAnsi="Times New Roman;serif"/>
                <w:b w:val="false"/>
                <w:sz w:val="16"/>
              </w:rPr>
            </w:pPr>
            <w:r>
              <w:rPr>
                <w:rFonts w:ascii="Times New Roman;serif" w:hAnsi="Times New Roman;serif"/>
                <w:b w:val="false"/>
                <w:sz w:val="16"/>
              </w:rPr>
              <w:t>Net cash and cash equivalents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81,070</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82,226</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547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investments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(362,246</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(435,547</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Maturities of investments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287,967</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405,219</w:t>
            </w:r>
          </w:p>
        </w:tc>
        <w:tc>
          <w:tcPr>
            <w:tcW w:w="1011" w:type="dxa"/>
            <w:tcBorders/>
            <w:shd w:fill="auto" w:val="clear"/>
            <w:vAlign w:val="center"/>
          </w:tcPr>
          <w:p>
            <w:pPr>
              <w:pStyle w:val="TableContents"/>
              <w:spacing w:before="0" w:after="0"/>
              <w:ind w:left="0" w:right="0" w:firstLine="200"/>
              <w:jc w:val="left"/>
              <w:rPr/>
            </w:pPr>
            <w:r>
              <w:rPr/>
              <w:t> </w:t>
            </w:r>
          </w:p>
        </w:tc>
      </w:tr>
      <w:tr>
        <w:trPr/>
        <w:tc>
          <w:tcPr>
            <w:tcW w:w="547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(3,310</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(9,940</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strategic investments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(6,000</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(5,046</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Capitalization of software development costs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(15,122</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(9,722</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800" w:right="0" w:hanging="0"/>
              <w:jc w:val="left"/>
              <w:rPr>
                <w:rFonts w:ascii="Times New Roman;serif" w:hAnsi="Times New Roman;serif"/>
                <w:b w:val="false"/>
                <w:sz w:val="16"/>
              </w:rPr>
            </w:pPr>
            <w:r>
              <w:rPr>
                <w:rFonts w:ascii="Times New Roman;serif" w:hAnsi="Times New Roman;serif"/>
                <w:b w:val="false"/>
                <w:sz w:val="16"/>
              </w:rPr>
              <w:t>Net cash and cash equivalents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(98,711</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(55,036</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200"/>
              <w:jc w:val="right"/>
              <w:rPr/>
            </w:pPr>
            <w:r>
              <w:rPr/>
              <w:t> </w:t>
            </w:r>
          </w:p>
        </w:tc>
      </w:tr>
      <w:tr>
        <w:trPr/>
        <w:tc>
          <w:tcPr>
            <w:tcW w:w="547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Repayment of 2025 Convertible Notes attributable to the principal</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pPr>
            <w:r>
              <w:rPr/>
              <w:t>—</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(1,619</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Employee taxes paid related to the net share settlement of stock-based awards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(1,198</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(4,354</w:t>
            </w:r>
          </w:p>
        </w:tc>
        <w:tc>
          <w:tcPr>
            <w:tcW w:w="10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related to the issuance of common stock under stock plans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11,254</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11,852</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5476" w:type="dxa"/>
            <w:tcBorders/>
            <w:shd w:fill="auto" w:val="clear"/>
            <w:vAlign w:val="center"/>
          </w:tcPr>
          <w:p>
            <w:pPr>
              <w:pStyle w:val="TableContents"/>
              <w:spacing w:before="0" w:after="0"/>
              <w:ind w:left="800" w:right="0" w:hanging="0"/>
              <w:jc w:val="left"/>
              <w:rPr>
                <w:rFonts w:ascii="Times New Roman;serif" w:hAnsi="Times New Roman;serif"/>
                <w:b w:val="false"/>
                <w:sz w:val="16"/>
              </w:rPr>
            </w:pPr>
            <w:r>
              <w:rPr>
                <w:rFonts w:ascii="Times New Roman;serif" w:hAnsi="Times New Roman;serif"/>
                <w:b w:val="false"/>
                <w:sz w:val="16"/>
              </w:rPr>
              <w:t>Net cash and cash equivalents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10,056</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5,879</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Effect of exchange rate changes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1,722</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(1,649</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(decrease) increase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(5,863</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31,420</w:t>
            </w:r>
          </w:p>
        </w:tc>
        <w:tc>
          <w:tcPr>
            <w:tcW w:w="10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beginning of period</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334,175</w:t>
            </w:r>
          </w:p>
        </w:tc>
        <w:tc>
          <w:tcPr>
            <w:tcW w:w="2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380,042</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end of period</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328,312</w:t>
            </w:r>
          </w:p>
        </w:tc>
        <w:tc>
          <w:tcPr>
            <w:tcW w:w="2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411,462</w:t>
            </w:r>
          </w:p>
        </w:tc>
        <w:tc>
          <w:tcPr>
            <w:tcW w:w="10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Supplemental cash flow disclosure:</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hanging="0"/>
              <w:jc w:val="righ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paid for income taxes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4,063</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1,683</w:t>
            </w:r>
          </w:p>
        </w:tc>
        <w:tc>
          <w:tcPr>
            <w:tcW w:w="10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Right-of-use assets obtained in exchange for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3,754</w:t>
            </w:r>
          </w:p>
        </w:tc>
        <w:tc>
          <w:tcPr>
            <w:tcW w:w="10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Right-of-use asset reductions related to operating lease terminations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(1,235</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0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hanging="0"/>
              <w:jc w:val="righ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Capital expenditures incurred but not yet paid</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5,919</w:t>
            </w:r>
          </w:p>
        </w:tc>
        <w:tc>
          <w:tcPr>
            <w:tcW w:w="224"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2,287</w:t>
            </w:r>
          </w:p>
        </w:tc>
        <w:tc>
          <w:tcPr>
            <w:tcW w:w="10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Asset retirement obligations</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(108</w:t>
            </w:r>
          </w:p>
        </w:tc>
        <w:tc>
          <w:tcPr>
            <w:tcW w:w="22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7"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1,188</w:t>
            </w:r>
          </w:p>
        </w:tc>
        <w:tc>
          <w:tcPr>
            <w:tcW w:w="1011" w:type="dxa"/>
            <w:tcBorders/>
            <w:shd w:fill="auto" w:val="clear"/>
            <w:vAlign w:val="center"/>
          </w:tcPr>
          <w:p>
            <w:pPr>
              <w:pStyle w:val="TableContents"/>
              <w:spacing w:before="0" w:after="0"/>
              <w:ind w:left="0" w:right="0" w:hanging="0"/>
              <w:jc w:val="left"/>
              <w:rPr/>
            </w:pPr>
            <w:r>
              <w:rPr/>
              <w:t> </w:t>
            </w:r>
          </w:p>
        </w:tc>
      </w:tr>
      <w:tr>
        <w:trPr/>
        <w:tc>
          <w:tcPr>
            <w:tcW w:w="5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224" w:type="dxa"/>
            <w:tcBorders/>
            <w:shd w:fill="auto" w:val="clear"/>
            <w:vAlign w:val="center"/>
          </w:tcPr>
          <w:p>
            <w:pPr>
              <w:pStyle w:val="TableContents"/>
              <w:spacing w:before="0" w:after="0"/>
              <w:ind w:left="0" w:right="0" w:hanging="0"/>
              <w:jc w:val="righ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hanging="0"/>
              <w:jc w:val="right"/>
              <w:rPr/>
            </w:pPr>
            <w:r>
              <w:rPr/>
              <w:t> </w:t>
            </w:r>
          </w:p>
        </w:tc>
      </w:tr>
    </w:tbl>
    <w:p>
      <w:pPr>
        <w:pStyle w:val="TextBody"/>
        <w:spacing w:before="40" w:after="0"/>
        <w:jc w:val="left"/>
        <w:rPr>
          <w:rFonts w:ascii="Times New Roman;serif" w:hAnsi="Times New Roman;serif"/>
          <w:b w:val="false"/>
          <w:sz w:val="20"/>
        </w:rPr>
      </w:pPr>
      <w:r>
        <w:rPr>
          <w:rFonts w:ascii="Times New Roman;serif" w:hAnsi="Times New Roman;serif"/>
          <w:b w:val="false"/>
          <w:sz w:val="20"/>
        </w:rPr>
        <w:t>The accompanying notes are an integral part of the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HubSpot, Inc.</w:t>
      </w:r>
    </w:p>
    <w:p>
      <w:pPr>
        <w:pStyle w:val="TextBody"/>
        <w:spacing w:before="0" w:after="0"/>
        <w:jc w:val="center"/>
        <w:rPr>
          <w:rFonts w:ascii="Times New Roman;serif" w:hAnsi="Times New Roman;serif"/>
          <w:b/>
          <w:sz w:val="20"/>
        </w:rPr>
      </w:pPr>
      <w:bookmarkStart w:id="8" w:name="notes_to_unaudited_consolida_ted_financi"/>
      <w:bookmarkEnd w:id="8"/>
      <w:r>
        <w:rPr>
          <w:rFonts w:ascii="Times New Roman;serif" w:hAnsi="Times New Roman;serif"/>
          <w:b/>
          <w:sz w:val="20"/>
        </w:rPr>
        <w:t>Notes to Unaudited Consolidated Financial Statements</w:t>
      </w:r>
    </w:p>
    <w:p>
      <w:pPr>
        <w:pStyle w:val="TextBody"/>
        <w:spacing w:before="0" w:after="0"/>
        <w:jc w:val="left"/>
        <w:rPr/>
      </w:pPr>
      <w:r>
        <w:rPr/>
        <w:t> </w:t>
      </w:r>
    </w:p>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1. Organization and Operations</w:t>
      </w:r>
    </w:p>
    <w:p>
      <w:pPr>
        <w:pStyle w:val="TextBody"/>
        <w:spacing w:before="200" w:after="0"/>
        <w:jc w:val="left"/>
        <w:rPr>
          <w:rFonts w:ascii="Times New Roman" w:hAnsi="Times New Roman"/>
          <w:sz w:val="20"/>
        </w:rPr>
      </w:pPr>
      <w:r>
        <w:rPr>
          <w:rFonts w:ascii="Times New Roman;serif" w:hAnsi="Times New Roman;serif"/>
          <w:b w:val="false"/>
          <w:sz w:val="20"/>
        </w:rPr>
        <w:t>HubSpot, Inc. (the “Company”) provides a cloud-based customer relationship management (“CRM”) Platform, that enables companies to attract, engage, and delight customers throughout the customer experience. The Company’s CRM Platform, comprised of Marketing Hub, Sales Hub, Service Hub, content management system ("CMS") Hub and Operations Hub, features integrated applications, tools, and a native payment solution, that enable businesses to create a cohesive and adaptable customer experience.</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The accompanying unaudited consolidated financial statements have been prepared in accordance with generally accepted accounting principles in 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December 31, 2022, and these consolidated financial statements include all adjustments, consisting only of normal recurring adjustments, necessary for a fair statement of the results of the interim periods presented. All intercompany balances and transactions have been eliminated in consolidation.</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results of operations for the interim periods presented are not necessarily indicative of the results to be expected for any subsequent quarter or for the entire year ending December 31, 2023.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pStyle w:val="TextBody"/>
        <w:spacing w:before="200" w:after="0"/>
        <w:jc w:val="left"/>
        <w:rPr>
          <w:rFonts w:ascii="Times New Roman" w:hAnsi="Times New Roman"/>
          <w:sz w:val="20"/>
        </w:rPr>
      </w:pPr>
      <w:r>
        <w:rPr>
          <w:rFonts w:ascii="Times New Roman;serif" w:hAnsi="Times New Roman;serif"/>
          <w:b w:val="false"/>
          <w:sz w:val="20"/>
        </w:rPr>
        <w:t>These interim financial statements should be read in conjunction with the audited consolidated financial statements and related notes contained in the Company’s Annual Report on Form 10-K filed with the SEC on February 16, 2023. There have been no changes in the Company’s significant accounting policies from those that were disclosed in the Company’s Annual Report on Form 10-K that have had a material impact on our consolidated financial statements and related notes.</w:t>
      </w:r>
      <w:r>
        <w:rPr>
          <w:rFonts w:ascii="Times New Roman" w:hAnsi="Times New Roman"/>
          <w:sz w:val="20"/>
        </w:rPr>
        <w:t xml:space="preserve"> </w:t>
      </w:r>
    </w:p>
    <w:p>
      <w:pPr>
        <w:pStyle w:val="TextBody"/>
        <w:spacing w:before="200" w:after="0"/>
        <w:jc w:val="left"/>
        <w:rPr>
          <w:rFonts w:ascii="Times New Roman;serif" w:hAnsi="Times New Roman;serif"/>
          <w:b/>
          <w:i/>
          <w:sz w:val="20"/>
        </w:rPr>
      </w:pPr>
      <w:r>
        <w:rPr>
          <w:rFonts w:ascii="Times New Roman;serif" w:hAnsi="Times New Roman;serif"/>
          <w:b/>
          <w:i/>
          <w:sz w:val="20"/>
        </w:rPr>
        <w:t>Recent Accounting Pronouncements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 has implemented all applicable accounting pronouncements that are in effect and there are no new accounting pronouncements that have been issued that would have a material impact on its financial position or results of operations.</w:t>
      </w:r>
    </w:p>
    <w:p>
      <w:pPr>
        <w:pStyle w:val="TextBody"/>
        <w:spacing w:before="240" w:after="0"/>
        <w:jc w:val="both"/>
        <w:rPr>
          <w:rFonts w:ascii="Times New Roman;serif" w:hAnsi="Times New Roman;serif"/>
          <w:b/>
          <w:sz w:val="20"/>
        </w:rPr>
      </w:pPr>
      <w:r>
        <w:rPr>
          <w:rFonts w:ascii="Times New Roman;serif" w:hAnsi="Times New Roman;serif"/>
          <w:b/>
          <w:sz w:val="20"/>
        </w:rPr>
        <w:t>2. Revenues</w:t>
      </w:r>
    </w:p>
    <w:p>
      <w:pPr>
        <w:pStyle w:val="TextBody"/>
        <w:spacing w:before="240" w:after="0"/>
        <w:jc w:val="both"/>
        <w:rPr>
          <w:rFonts w:ascii="Times New Roman;serif" w:hAnsi="Times New Roman;serif"/>
          <w:b/>
          <w:i/>
          <w:sz w:val="20"/>
        </w:rPr>
      </w:pPr>
      <w:r>
        <w:rPr>
          <w:rFonts w:ascii="Times New Roman;serif" w:hAnsi="Times New Roman;serif"/>
          <w:b/>
          <w:i/>
          <w:sz w:val="20"/>
        </w:rPr>
        <w:t xml:space="preserve">Disaggregation of Revenue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provides disaggregation of revenue based on geographic region (Note 13)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pStyle w:val="TextBody"/>
        <w:spacing w:before="240" w:after="0"/>
        <w:jc w:val="left"/>
        <w:rPr>
          <w:rFonts w:ascii="Times New Roman;serif" w:hAnsi="Times New Roman;serif"/>
          <w:b/>
          <w:i/>
          <w:sz w:val="20"/>
        </w:rPr>
      </w:pPr>
      <w:r>
        <w:rPr>
          <w:rFonts w:ascii="Times New Roman;serif" w:hAnsi="Times New Roman;serif"/>
          <w:b/>
          <w:i/>
          <w:sz w:val="20"/>
        </w:rPr>
        <w:t>Deferred Revenue and Deferred Commission Expense</w:t>
      </w:r>
    </w:p>
    <w:p>
      <w:pPr>
        <w:pStyle w:val="TextBody"/>
        <w:spacing w:before="240" w:after="0"/>
        <w:jc w:val="left"/>
        <w:rPr>
          <w:rFonts w:ascii="Times New Roman" w:hAnsi="Times New Roman"/>
          <w:sz w:val="20"/>
        </w:rPr>
      </w:pPr>
      <w:r>
        <w:rPr>
          <w:rFonts w:ascii="Times New Roman;serif" w:hAnsi="Times New Roman;serif"/>
          <w:b w:val="false"/>
          <w:sz w:val="20"/>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three months ended March 31, 2023 increased by $31.5</w:t>
      </w:r>
      <w:r>
        <w:rPr>
          <w:rFonts w:ascii="Times New Roman" w:hAnsi="Times New Roman"/>
          <w:sz w:val="20"/>
        </w:rPr>
        <w:t xml:space="preserve"> </w:t>
      </w:r>
      <w:r>
        <w:rPr>
          <w:rFonts w:ascii="Times New Roman;serif" w:hAnsi="Times New Roman;serif"/>
          <w:b w:val="false"/>
          <w:sz w:val="20"/>
        </w:rPr>
        <w:t>million resulting from $533.1</w:t>
      </w:r>
      <w:r>
        <w:rPr>
          <w:rFonts w:ascii="Times New Roman" w:hAnsi="Times New Roman"/>
          <w:sz w:val="20"/>
        </w:rPr>
        <w:t xml:space="preserve"> </w:t>
      </w:r>
      <w:r>
        <w:rPr>
          <w:rFonts w:ascii="Times New Roman;serif" w:hAnsi="Times New Roman;serif"/>
          <w:b w:val="false"/>
          <w:sz w:val="20"/>
        </w:rPr>
        <w:t>million of additional invoicing and was offset by revenue recognized of $501.6</w:t>
      </w:r>
      <w:r>
        <w:rPr>
          <w:rFonts w:ascii="Times New Roman" w:hAnsi="Times New Roman"/>
          <w:sz w:val="20"/>
        </w:rPr>
        <w:t xml:space="preserve"> </w:t>
      </w:r>
      <w:r>
        <w:rPr>
          <w:rFonts w:ascii="Times New Roman;serif" w:hAnsi="Times New Roman;serif"/>
          <w:b w:val="false"/>
          <w:sz w:val="20"/>
        </w:rPr>
        <w:t>million during the same period. $289.8</w:t>
      </w:r>
      <w:r>
        <w:rPr>
          <w:rFonts w:ascii="Times New Roman" w:hAnsi="Times New Roman"/>
          <w:sz w:val="20"/>
        </w:rPr>
        <w:t xml:space="preserve"> </w:t>
      </w:r>
      <w:r>
        <w:rPr>
          <w:rFonts w:ascii="Times New Roman;serif" w:hAnsi="Times New Roman;serif"/>
          <w:b w:val="false"/>
          <w:sz w:val="20"/>
        </w:rPr>
        <w:t>million of revenue was recognized during the three months ended March 31, 2023 that was included in deferred revenue at the beginning of the period. As of March 31, 2023, approximately $622.3</w:t>
      </w:r>
      <w:r>
        <w:rPr>
          <w:rFonts w:ascii="Times New Roman" w:hAnsi="Times New Roman"/>
          <w:sz w:val="20"/>
        </w:rPr>
        <w:t xml:space="preserve"> </w:t>
      </w:r>
      <w:r>
        <w:rPr>
          <w:rFonts w:ascii="Times New Roman;serif" w:hAnsi="Times New Roman;serif"/>
          <w:b w:val="false"/>
          <w:sz w:val="20"/>
        </w:rPr>
        <w:t>million of revenue is expected to be recognized from remaining performance obligations for contracts with original performance obligations that exceed one year. The Company expects to recognize revenue on approximately 90%</w:t>
      </w:r>
      <w:r>
        <w:rPr>
          <w:rFonts w:ascii="Times New Roman" w:hAnsi="Times New Roman"/>
          <w:sz w:val="20"/>
        </w:rPr>
        <w:t xml:space="preserve"> </w:t>
      </w:r>
      <w:r>
        <w:rPr>
          <w:rFonts w:ascii="Times New Roman;serif" w:hAnsi="Times New Roman;serif"/>
          <w:b w:val="false"/>
          <w:sz w:val="20"/>
        </w:rPr>
        <w:t>of these remaining performance obligations over the next 24 months, with the balance recognized thereafter.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Additional contract liabilities of $3.6</w:t>
      </w:r>
      <w:r>
        <w:rPr>
          <w:rFonts w:ascii="Times New Roman" w:hAnsi="Times New Roman"/>
          <w:sz w:val="20"/>
        </w:rPr>
        <w:t xml:space="preserve"> </w:t>
      </w:r>
      <w:r>
        <w:rPr>
          <w:rFonts w:ascii="Times New Roman;serif" w:hAnsi="Times New Roman;serif"/>
          <w:b w:val="false"/>
          <w:sz w:val="20"/>
        </w:rPr>
        <w:t>million and $3.0</w:t>
      </w:r>
      <w:r>
        <w:rPr>
          <w:rFonts w:ascii="Times New Roman" w:hAnsi="Times New Roman"/>
          <w:sz w:val="20"/>
        </w:rPr>
        <w:t xml:space="preserve"> </w:t>
      </w:r>
      <w:r>
        <w:rPr>
          <w:rFonts w:ascii="Times New Roman;serif" w:hAnsi="Times New Roman;serif"/>
          <w:b w:val="false"/>
          <w:sz w:val="20"/>
        </w:rPr>
        <w:t>were included in accrued expenses and other current liabilities on the consolidated balance sheet as of March 31, 2023 and December 31, 2022.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incremental direct costs of obtaining a contract, which primarily consist of sales and partner commissions paid for new subscription contracts, are deferred and amortized on a straight-line basis over a period of approximately two to four years. The two</w:t>
      </w:r>
      <w:r>
        <w:rPr>
          <w:rFonts w:ascii="Times New Roman" w:hAnsi="Times New Roman"/>
          <w:sz w:val="20"/>
        </w:rPr>
        <w:t xml:space="preserve"> </w:t>
      </w:r>
      <w:r>
        <w:rPr>
          <w:rFonts w:ascii="Times New Roman;serif" w:hAnsi="Times New Roman;serif"/>
          <w:b w:val="false"/>
          <w:sz w:val="20"/>
        </w:rPr>
        <w:t>to four-year</w:t>
      </w:r>
      <w:r>
        <w:rPr>
          <w:rFonts w:ascii="Times New Roman" w:hAnsi="Times New Roman"/>
          <w:sz w:val="20"/>
        </w:rPr>
        <w:t xml:space="preserve"> </w:t>
      </w:r>
      <w:r>
        <w:rPr>
          <w:rFonts w:ascii="Times New Roman;serif" w:hAnsi="Times New Roman;serif"/>
          <w:b w:val="false"/>
          <w:sz w:val="20"/>
        </w:rPr>
        <w:t>period has been determined by taking into consideration the type of product sold, the commitment term of the customer contract, the nature of the Company’s technology development life-cycle, and an estimated customer relationship period. Sales and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Deferred commission expense during the three months ended March 31, 2023 increased by $19.2</w:t>
      </w:r>
      <w:r>
        <w:rPr>
          <w:rFonts w:ascii="Times New Roman" w:hAnsi="Times New Roman"/>
          <w:sz w:val="20"/>
        </w:rPr>
        <w:t xml:space="preserve"> </w:t>
      </w:r>
      <w:r>
        <w:rPr>
          <w:rFonts w:ascii="Times New Roman;serif" w:hAnsi="Times New Roman;serif"/>
          <w:b w:val="false"/>
          <w:sz w:val="20"/>
        </w:rPr>
        <w:t>million as a result of deferring incremental costs of obtaining a contract of $40.9</w:t>
      </w:r>
      <w:r>
        <w:rPr>
          <w:rFonts w:ascii="Times New Roman" w:hAnsi="Times New Roman"/>
          <w:sz w:val="20"/>
        </w:rPr>
        <w:t xml:space="preserve"> </w:t>
      </w:r>
      <w:r>
        <w:rPr>
          <w:rFonts w:ascii="Times New Roman;serif" w:hAnsi="Times New Roman;serif"/>
          <w:b w:val="false"/>
          <w:sz w:val="20"/>
        </w:rPr>
        <w:t>million and was offset by amortization of $21.7</w:t>
      </w:r>
      <w:r>
        <w:rPr>
          <w:rFonts w:ascii="Times New Roman" w:hAnsi="Times New Roman"/>
          <w:sz w:val="20"/>
        </w:rPr>
        <w:t xml:space="preserve"> </w:t>
      </w:r>
      <w:r>
        <w:rPr>
          <w:rFonts w:ascii="Times New Roman;serif" w:hAnsi="Times New Roman;serif"/>
          <w:b w:val="false"/>
          <w:sz w:val="20"/>
        </w:rPr>
        <w:t>million during the same period.</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3. Net Loss per Share</w:t>
      </w:r>
    </w:p>
    <w:p>
      <w:pPr>
        <w:pStyle w:val="TextBody"/>
        <w:spacing w:before="240" w:after="0"/>
        <w:jc w:val="left"/>
        <w:rPr>
          <w:rFonts w:ascii="Times New Roman" w:hAnsi="Times New Roman"/>
          <w:sz w:val="20"/>
        </w:rPr>
      </w:pPr>
      <w:r>
        <w:rPr>
          <w:rFonts w:ascii="Times New Roman;serif" w:hAnsi="Times New Roman;serif"/>
          <w:b w:val="false"/>
          <w:sz w:val="20"/>
        </w:rPr>
        <w:t>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the Warrants (defined in Note 8), the Conversion Option of the 2022 Notes, and the Conversion Option of the 2025 Notes (the “Conversion Options”) (Note 8) are considered to be potential common stock equivalents.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 reconciliation of the denominator used in the calculation of basic and diluted net loss per share is as follows:</w:t>
      </w:r>
    </w:p>
    <w:tbl>
      <w:tblPr>
        <w:tblW w:w="8191" w:type="dxa"/>
        <w:jc w:val="left"/>
        <w:tblInd w:w="0" w:type="dxa"/>
        <w:tblCellMar>
          <w:top w:w="28" w:type="dxa"/>
          <w:left w:w="28" w:type="dxa"/>
          <w:bottom w:w="28" w:type="dxa"/>
          <w:right w:w="28" w:type="dxa"/>
        </w:tblCellMar>
      </w:tblPr>
      <w:tblGrid>
        <w:gridCol w:w="5581"/>
        <w:gridCol w:w="236"/>
        <w:gridCol w:w="823"/>
        <w:gridCol w:w="185"/>
        <w:gridCol w:w="163"/>
        <w:gridCol w:w="236"/>
        <w:gridCol w:w="756"/>
        <w:gridCol w:w="211"/>
      </w:tblGrid>
      <w:tr>
        <w:trPr/>
        <w:tc>
          <w:tcPr>
            <w:tcW w:w="5581"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581" w:type="dxa"/>
            <w:tcBorders/>
            <w:shd w:fill="auto" w:val="clear"/>
            <w:vAlign w:val="center"/>
          </w:tcPr>
          <w:p>
            <w:pPr>
              <w:pStyle w:val="TableContents"/>
              <w:spacing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81" w:type="dxa"/>
            <w:tcBorders/>
            <w:shd w:fill="auto" w:val="clear"/>
            <w:vAlign w:val="center"/>
          </w:tcPr>
          <w:p>
            <w:pPr>
              <w:pStyle w:val="TableContents"/>
              <w:spacing w:before="0" w:after="0"/>
              <w:ind w:left="0" w:right="0" w:hanging="0"/>
              <w:jc w:val="left"/>
              <w:rPr/>
            </w:pPr>
            <w:r>
              <w:rPr/>
              <w:t> </w:t>
            </w:r>
          </w:p>
        </w:tc>
        <w:tc>
          <w:tcPr>
            <w:tcW w:w="10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(38,282</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 basic</w:t>
            </w:r>
          </w:p>
        </w:tc>
        <w:tc>
          <w:tcPr>
            <w:tcW w:w="236"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49,395</w:t>
            </w:r>
          </w:p>
        </w:tc>
        <w:tc>
          <w:tcPr>
            <w:tcW w:w="185" w:type="dxa"/>
            <w:tcBorders/>
            <w:shd w:fill="auto" w:val="cle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47,577</w:t>
            </w:r>
          </w:p>
        </w:tc>
        <w:tc>
          <w:tcPr>
            <w:tcW w:w="21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Dilutive effect of share equivalents resulting from stock </w:t>
              <w:br/>
              <w:t>   options, RSUs, ESPP, PSUs, Warrants and the Conversion Options</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 diluted</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49,395</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47,577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(0.78</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(0.20</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Since the Company incurred net losses for each of the periods presented, diluted net loss per share is the same as basic net loss per share. All of the Company’s outstanding stock options, RSUs, PSUs, and shares issuable under the ESPP, as well as the Warrants and Conversion Options were excluded in the calculation of diluted net loss per share as the effect would be anti-dilutive.</w:t>
      </w:r>
    </w:p>
    <w:p>
      <w:pPr>
        <w:pStyle w:val="TextBody"/>
        <w:spacing w:before="240" w:after="0"/>
        <w:jc w:val="left"/>
        <w:rPr>
          <w:rFonts w:ascii="Times New Roman" w:hAnsi="Times New Roman"/>
          <w:sz w:val="20"/>
        </w:rPr>
      </w:pPr>
      <w:r>
        <w:rPr>
          <w:rFonts w:ascii="Times New Roman;serif" w:hAnsi="Times New Roman;serif"/>
          <w:b w:val="false"/>
          <w:sz w:val="20"/>
        </w:rPr>
        <w:t>The Company uses the treasury stock method and the average market price per share during the period for calculating any potential dilutive effect of the Warrants. The average stock price for the three months ended March 31, 2023</w:t>
      </w:r>
      <w:r>
        <w:rPr>
          <w:rFonts w:ascii="Times New Roman" w:hAnsi="Times New Roman"/>
          <w:sz w:val="20"/>
        </w:rPr>
        <w:t xml:space="preserve"> </w:t>
      </w:r>
      <w:r>
        <w:rPr>
          <w:rFonts w:ascii="Times New Roman;serif" w:hAnsi="Times New Roman;serif"/>
          <w:b w:val="false"/>
          <w:sz w:val="20"/>
        </w:rPr>
        <w:t>was $364.93.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pStyle w:val="TextBody"/>
        <w:spacing w:before="240" w:after="0"/>
        <w:jc w:val="left"/>
        <w:rPr>
          <w:rFonts w:ascii="Times New Roman" w:hAnsi="Times New Roman"/>
          <w:sz w:val="20"/>
        </w:rPr>
      </w:pPr>
      <w:r>
        <w:rPr>
          <w:rFonts w:ascii="Times New Roman;serif" w:hAnsi="Times New Roman;serif"/>
          <w:b w:val="false"/>
          <w:sz w:val="20"/>
        </w:rPr>
        <w:t>Because the last reported sale price of the Company’s common stock for at least 20</w:t>
      </w:r>
      <w:r>
        <w:rPr>
          <w:rFonts w:ascii="Times New Roman" w:hAnsi="Times New Roman"/>
          <w:sz w:val="20"/>
        </w:rPr>
        <w:t xml:space="preserve"> </w:t>
      </w:r>
      <w:r>
        <w:rPr>
          <w:rFonts w:ascii="Times New Roman;serif" w:hAnsi="Times New Roman;serif"/>
          <w:b w:val="false"/>
          <w:sz w:val="20"/>
        </w:rPr>
        <w:t>trading days during the period of 30</w:t>
      </w:r>
      <w:r>
        <w:rPr>
          <w:rFonts w:ascii="Times New Roman" w:hAnsi="Times New Roman"/>
          <w:sz w:val="20"/>
        </w:rPr>
        <w:t xml:space="preserve"> </w:t>
      </w:r>
      <w:r>
        <w:rPr>
          <w:rFonts w:ascii="Times New Roman;serif" w:hAnsi="Times New Roman;serif"/>
          <w:b w:val="false"/>
          <w:sz w:val="20"/>
        </w:rPr>
        <w:t>consecutive trading days ending on the last trading day of the calendar quarter ended March 31, 2023</w:t>
      </w:r>
      <w:r>
        <w:rPr>
          <w:rFonts w:ascii="Times New Roman" w:hAnsi="Times New Roman"/>
          <w:sz w:val="20"/>
        </w:rPr>
        <w:t xml:space="preserve"> </w:t>
      </w:r>
      <w:r>
        <w:rPr>
          <w:rFonts w:ascii="Times New Roman;serif" w:hAnsi="Times New Roman;serif"/>
          <w:b w:val="false"/>
          <w:sz w:val="20"/>
        </w:rPr>
        <w:t>was equal to or greater than 130% of the applicable conversion price of $282.52</w:t>
      </w:r>
      <w:r>
        <w:rPr>
          <w:rFonts w:ascii="Times New Roman" w:hAnsi="Times New Roman"/>
          <w:sz w:val="20"/>
        </w:rPr>
        <w:t xml:space="preserve"> </w:t>
      </w:r>
      <w:r>
        <w:rPr>
          <w:rFonts w:ascii="Times New Roman;serif" w:hAnsi="Times New Roman;serif"/>
          <w:b w:val="false"/>
          <w:sz w:val="20"/>
        </w:rPr>
        <w:t>on each applicable trading day, the 2025 Notes (defined in Note 8) are convertible at the option of the holders thereof during the calendar quarter ending June 30, 2023. As of April 28, 2023, the Company has not received any conversion notices.</w:t>
      </w:r>
    </w:p>
    <w:p>
      <w:pPr>
        <w:pStyle w:val="TextBody"/>
        <w:spacing w:before="240" w:after="0"/>
        <w:jc w:val="left"/>
        <w:rPr>
          <w:rFonts w:ascii="Times New Roman" w:hAnsi="Times New Roman"/>
          <w:sz w:val="20"/>
        </w:rPr>
      </w:pPr>
      <w:r>
        <w:rPr>
          <w:rFonts w:ascii="Times New Roman;serif" w:hAnsi="Times New Roman;serif"/>
          <w:b w:val="false"/>
          <w:sz w:val="20"/>
        </w:rPr>
        <w:t>The following table contains all potentially dilutive common stock equivalents.</w:t>
      </w:r>
      <w:r>
        <w:rPr>
          <w:rFonts w:ascii="Times New Roman" w:hAnsi="Times New Roman"/>
          <w:sz w:val="20"/>
        </w:rPr>
        <w:t xml:space="preserve"> </w:t>
      </w:r>
    </w:p>
    <w:tbl>
      <w:tblPr>
        <w:tblW w:w="6339" w:type="dxa"/>
        <w:jc w:val="left"/>
        <w:tblInd w:w="0" w:type="dxa"/>
        <w:tblCellMar>
          <w:top w:w="28" w:type="dxa"/>
          <w:left w:w="28" w:type="dxa"/>
          <w:bottom w:w="28" w:type="dxa"/>
          <w:right w:w="28" w:type="dxa"/>
        </w:tblCellMar>
      </w:tblPr>
      <w:tblGrid>
        <w:gridCol w:w="4276"/>
        <w:gridCol w:w="146"/>
        <w:gridCol w:w="146"/>
        <w:gridCol w:w="571"/>
        <w:gridCol w:w="146"/>
        <w:gridCol w:w="146"/>
        <w:gridCol w:w="146"/>
        <w:gridCol w:w="571"/>
        <w:gridCol w:w="191"/>
      </w:tblGrid>
      <w:tr>
        <w:trPr/>
        <w:tc>
          <w:tcPr>
            <w:tcW w:w="4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shd w:fill="auto" w:val="cle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shares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1,145</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Conversion Option of the 2022 Notes and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1,232</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Conversion Option of the 2025 Notes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1,627</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ESPP</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4. Fair Value of Financial Instruments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Level 1 — Quoted prices in active markets for identical assets or liabilities.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Level 3 — Unobservable inputs to the valuation methodology that are significant to the measurement of fair value of assets or liabilities.</w:t>
      </w:r>
    </w:p>
    <w:p>
      <w:pPr>
        <w:pStyle w:val="TextBody"/>
        <w:spacing w:before="200" w:after="0"/>
        <w:jc w:val="left"/>
        <w:rPr>
          <w:rFonts w:ascii="Times New Roman" w:hAnsi="Times New Roman"/>
          <w:sz w:val="20"/>
        </w:rPr>
      </w:pPr>
      <w:r>
        <w:rPr>
          <w:rFonts w:ascii="Times New Roman;serif" w:hAnsi="Times New Roman;serif"/>
          <w:b w:val="false"/>
          <w:sz w:val="20"/>
        </w:rPr>
        <w:t>The following table details the fair value measurements within the fair value hierarchy of the Company’s financial assets and liabilities at March 31, 2023 and December 31, 2022:</w:t>
        <w:br/>
      </w:r>
      <w:r>
        <w:rPr>
          <w:rFonts w:ascii="Times New Roman" w:hAnsi="Times New Roman"/>
          <w:sz w:val="20"/>
        </w:rPr>
        <w:t> </w:t>
      </w:r>
    </w:p>
    <w:tbl>
      <w:tblPr>
        <w:tblW w:w="8155" w:type="dxa"/>
        <w:jc w:val="left"/>
        <w:tblInd w:w="0" w:type="dxa"/>
        <w:tblCellMar>
          <w:top w:w="28" w:type="dxa"/>
          <w:left w:w="28" w:type="dxa"/>
          <w:bottom w:w="28" w:type="dxa"/>
          <w:right w:w="28" w:type="dxa"/>
        </w:tblCellMar>
      </w:tblPr>
      <w:tblGrid>
        <w:gridCol w:w="2941"/>
        <w:gridCol w:w="146"/>
        <w:gridCol w:w="211"/>
        <w:gridCol w:w="676"/>
        <w:gridCol w:w="146"/>
        <w:gridCol w:w="146"/>
        <w:gridCol w:w="211"/>
        <w:gridCol w:w="931"/>
        <w:gridCol w:w="146"/>
        <w:gridCol w:w="146"/>
        <w:gridCol w:w="239"/>
        <w:gridCol w:w="391"/>
        <w:gridCol w:w="146"/>
        <w:gridCol w:w="146"/>
        <w:gridCol w:w="211"/>
        <w:gridCol w:w="931"/>
        <w:gridCol w:w="39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7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77"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 and investments:</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14,126</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20,325</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248,493</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55,175</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957,368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957,368</w:t>
            </w:r>
          </w:p>
        </w:tc>
        <w:tc>
          <w:tcPr>
            <w:tcW w:w="3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1,284,514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1,298,640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pPr>
      <w:r>
        <w:rPr/>
        <w:t> </w:t>
      </w:r>
    </w:p>
    <w:tbl>
      <w:tblPr>
        <w:tblW w:w="8155" w:type="dxa"/>
        <w:jc w:val="left"/>
        <w:tblInd w:w="0" w:type="dxa"/>
        <w:tblCellMar>
          <w:top w:w="28" w:type="dxa"/>
          <w:left w:w="28" w:type="dxa"/>
          <w:bottom w:w="28" w:type="dxa"/>
          <w:right w:w="28" w:type="dxa"/>
        </w:tblCellMar>
      </w:tblPr>
      <w:tblGrid>
        <w:gridCol w:w="2941"/>
        <w:gridCol w:w="146"/>
        <w:gridCol w:w="211"/>
        <w:gridCol w:w="676"/>
        <w:gridCol w:w="146"/>
        <w:gridCol w:w="146"/>
        <w:gridCol w:w="211"/>
        <w:gridCol w:w="931"/>
        <w:gridCol w:w="146"/>
        <w:gridCol w:w="146"/>
        <w:gridCol w:w="239"/>
        <w:gridCol w:w="391"/>
        <w:gridCol w:w="146"/>
        <w:gridCol w:w="146"/>
        <w:gridCol w:w="211"/>
        <w:gridCol w:w="931"/>
        <w:gridCol w:w="39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7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77"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 and investments:</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11,518</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261,918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261,918</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39,965</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876,534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876,534</w:t>
            </w:r>
          </w:p>
        </w:tc>
        <w:tc>
          <w:tcPr>
            <w:tcW w:w="3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1,197,606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1,209,124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March 31, 2023 and December 31, 2022,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As of March 31, 2023, the fair value of the 2025 Notes was $725.5</w:t>
      </w:r>
      <w:r>
        <w:rPr>
          <w:rFonts w:ascii="Times New Roman" w:hAnsi="Times New Roman"/>
          <w:sz w:val="20"/>
        </w:rPr>
        <w:t xml:space="preserve"> </w:t>
      </w:r>
      <w:r>
        <w:rPr>
          <w:rFonts w:ascii="Times New Roman;serif" w:hAnsi="Times New Roman;serif"/>
          <w:b w:val="false"/>
          <w:sz w:val="20"/>
        </w:rPr>
        <w:t>million. The fair value was determined based on the quoted price of the 2025 Notes in an inactive market on the last trading day of the reporting period and has been classified as Level 2 within the fair value hierarchy.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For certain other financial instruments, including accounts receivable, accounts payable, and other current liabilities, the carrying amounts approximate their fair value due to the relatively short maturity of these balances.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Restricted cash is comprised of money market funds related to landlord guarantees for leased facilities. These restricted cash balances have been excluded from our cash and cash equivalents balance on our consolidated balance sheets.</w:t>
      </w:r>
    </w:p>
    <w:p>
      <w:pPr>
        <w:pStyle w:val="TextBody"/>
        <w:spacing w:before="200" w:after="0"/>
        <w:jc w:val="left"/>
        <w:rPr>
          <w:rFonts w:ascii="Times New Roman" w:hAnsi="Times New Roman"/>
          <w:sz w:val="20"/>
        </w:rPr>
      </w:pPr>
      <w:r>
        <w:rPr>
          <w:rFonts w:ascii="Times New Roman;serif" w:hAnsi="Times New Roman;serif"/>
          <w:b w:val="false"/>
          <w:sz w:val="20"/>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$49.6</w:t>
      </w:r>
      <w:r>
        <w:rPr>
          <w:rFonts w:ascii="Times New Roman" w:hAnsi="Times New Roman"/>
          <w:sz w:val="20"/>
        </w:rPr>
        <w:t xml:space="preserve"> </w:t>
      </w:r>
      <w:r>
        <w:rPr>
          <w:rFonts w:ascii="Times New Roman;serif" w:hAnsi="Times New Roman;serif"/>
          <w:b w:val="false"/>
          <w:sz w:val="20"/>
        </w:rPr>
        <w:t>million of strategic investments without readily determinable fair values at March 31, 2023 and $43.6</w:t>
      </w:r>
      <w:r>
        <w:rPr>
          <w:rFonts w:ascii="Times New Roman" w:hAnsi="Times New Roman"/>
          <w:sz w:val="20"/>
        </w:rPr>
        <w:t xml:space="preserve"> </w:t>
      </w:r>
      <w:r>
        <w:rPr>
          <w:rFonts w:ascii="Times New Roman;serif" w:hAnsi="Times New Roman;serif"/>
          <w:b w:val="false"/>
          <w:sz w:val="20"/>
        </w:rPr>
        <w:t>million of strategic investments without readily determinable fair values at December 31, 2022. These investments are included in other assets on the consolidated balance sheets. There were no adjustments to the carrying value of the strategic investments resulting from impairments or observable price changes in the three months ended March 31, 2023.</w:t>
      </w:r>
    </w:p>
    <w:p>
      <w:pPr>
        <w:pStyle w:val="TextBody"/>
        <w:spacing w:before="200" w:after="0"/>
        <w:jc w:val="left"/>
        <w:rPr>
          <w:rFonts w:ascii="Times New Roman" w:hAnsi="Times New Roman"/>
          <w:sz w:val="20"/>
        </w:rPr>
      </w:pPr>
      <w:r>
        <w:rPr>
          <w:rFonts w:ascii="Times New Roman;serif" w:hAnsi="Times New Roman;serif"/>
          <w:b w:val="false"/>
          <w:sz w:val="20"/>
        </w:rPr>
        <w:t>The following tables summarize the composition of our short- and long-term investments at March 31, 2023 and December 31, 2022.</w:t>
      </w:r>
      <w:r>
        <w:rPr>
          <w:rFonts w:ascii="Times New Roman" w:hAnsi="Times New Roman"/>
          <w:sz w:val="20"/>
        </w:rPr>
        <w:t xml:space="preserve"> </w:t>
      </w:r>
    </w:p>
    <w:tbl>
      <w:tblPr>
        <w:tblW w:w="8430" w:type="dxa"/>
        <w:jc w:val="left"/>
        <w:tblInd w:w="0" w:type="dxa"/>
        <w:tblCellMar>
          <w:top w:w="28" w:type="dxa"/>
          <w:left w:w="28" w:type="dxa"/>
          <w:bottom w:w="28" w:type="dxa"/>
          <w:right w:w="28" w:type="dxa"/>
        </w:tblCellMar>
      </w:tblPr>
      <w:tblGrid>
        <w:gridCol w:w="2941"/>
        <w:gridCol w:w="146"/>
        <w:gridCol w:w="211"/>
        <w:gridCol w:w="931"/>
        <w:gridCol w:w="146"/>
        <w:gridCol w:w="146"/>
        <w:gridCol w:w="295"/>
        <w:gridCol w:w="591"/>
        <w:gridCol w:w="146"/>
        <w:gridCol w:w="146"/>
        <w:gridCol w:w="222"/>
        <w:gridCol w:w="664"/>
        <w:gridCol w:w="166"/>
        <w:gridCol w:w="146"/>
        <w:gridCol w:w="211"/>
        <w:gridCol w:w="931"/>
        <w:gridCol w:w="39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95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952"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20,325</w:t>
            </w:r>
          </w:p>
        </w:tc>
        <w:tc>
          <w:tcPr>
            <w:tcW w:w="3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250,920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248,493</w:t>
            </w:r>
          </w:p>
        </w:tc>
        <w:tc>
          <w:tcPr>
            <w:tcW w:w="3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55,175</w:t>
            </w:r>
          </w:p>
        </w:tc>
        <w:tc>
          <w:tcPr>
            <w:tcW w:w="3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959,613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957,368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20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1,286,649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1,281,361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pPr>
      <w:r>
        <w:rPr/>
        <w:t> </w:t>
      </w:r>
    </w:p>
    <w:tbl>
      <w:tblPr>
        <w:tblW w:w="8430" w:type="dxa"/>
        <w:jc w:val="left"/>
        <w:tblInd w:w="0" w:type="dxa"/>
        <w:tblCellMar>
          <w:top w:w="28" w:type="dxa"/>
          <w:left w:w="28" w:type="dxa"/>
          <w:bottom w:w="28" w:type="dxa"/>
          <w:right w:w="28" w:type="dxa"/>
        </w:tblCellMar>
      </w:tblPr>
      <w:tblGrid>
        <w:gridCol w:w="2941"/>
        <w:gridCol w:w="146"/>
        <w:gridCol w:w="211"/>
        <w:gridCol w:w="931"/>
        <w:gridCol w:w="146"/>
        <w:gridCol w:w="146"/>
        <w:gridCol w:w="335"/>
        <w:gridCol w:w="551"/>
        <w:gridCol w:w="146"/>
        <w:gridCol w:w="146"/>
        <w:gridCol w:w="222"/>
        <w:gridCol w:w="664"/>
        <w:gridCol w:w="166"/>
        <w:gridCol w:w="146"/>
        <w:gridCol w:w="211"/>
        <w:gridCol w:w="931"/>
        <w:gridCol w:w="39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95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952"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3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265,875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(3,966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261,918</w:t>
            </w:r>
          </w:p>
        </w:tc>
        <w:tc>
          <w:tcPr>
            <w:tcW w:w="3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shd w:fill="auto" w:val="clear"/>
            <w:vAlign w:val="center"/>
          </w:tcPr>
          <w:p>
            <w:pPr>
              <w:pStyle w:val="TableContents"/>
              <w:spacing w:before="0" w:after="0"/>
              <w:ind w:left="0" w:right="0" w:hanging="0"/>
              <w:jc w:val="left"/>
              <w:rPr/>
            </w:pPr>
            <w:r>
              <w:rPr/>
              <w:t> </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39,965</w:t>
            </w:r>
          </w:p>
        </w:tc>
        <w:tc>
          <w:tcPr>
            <w:tcW w:w="3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881,428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876,534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20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1,204,247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1,194,453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For all of our securities for which the amortized cost basis was greater than the fair value at March 31, 2023,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pStyle w:val="TextBody"/>
        <w:spacing w:before="200" w:after="0"/>
        <w:jc w:val="left"/>
        <w:rPr>
          <w:rFonts w:ascii="Times New Roman;serif" w:hAnsi="Times New Roman;serif"/>
          <w:b/>
          <w:i/>
          <w:sz w:val="20"/>
        </w:rPr>
      </w:pPr>
      <w:r>
        <w:rPr>
          <w:rFonts w:ascii="Times New Roman;serif" w:hAnsi="Times New Roman;serif"/>
          <w:b/>
          <w:i/>
          <w:sz w:val="20"/>
        </w:rPr>
        <w:t>Contractual Maturities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contractual maturities of short-term and long-term investments held at March 31, 2023 and December 31, 2022 are as follows:</w:t>
      </w:r>
    </w:p>
    <w:tbl>
      <w:tblPr>
        <w:tblW w:w="8682" w:type="dxa"/>
        <w:jc w:val="left"/>
        <w:tblInd w:w="0" w:type="dxa"/>
        <w:tblCellMar>
          <w:top w:w="28" w:type="dxa"/>
          <w:left w:w="28" w:type="dxa"/>
          <w:bottom w:w="28" w:type="dxa"/>
          <w:right w:w="28" w:type="dxa"/>
        </w:tblCellMar>
      </w:tblPr>
      <w:tblGrid>
        <w:gridCol w:w="2701"/>
        <w:gridCol w:w="146"/>
        <w:gridCol w:w="211"/>
        <w:gridCol w:w="931"/>
        <w:gridCol w:w="146"/>
        <w:gridCol w:w="146"/>
        <w:gridCol w:w="211"/>
        <w:gridCol w:w="931"/>
        <w:gridCol w:w="146"/>
        <w:gridCol w:w="146"/>
        <w:gridCol w:w="211"/>
        <w:gridCol w:w="931"/>
        <w:gridCol w:w="146"/>
        <w:gridCol w:w="146"/>
        <w:gridCol w:w="211"/>
        <w:gridCol w:w="931"/>
        <w:gridCol w:w="39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 Basis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 Basis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7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Due within one year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1,164,216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1,159,547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1,089,250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1,081,662</w:t>
            </w:r>
          </w:p>
        </w:tc>
        <w:tc>
          <w:tcPr>
            <w:tcW w:w="3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Due after 1 year through 2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122,433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121,814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114,997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112,791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1,286,649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1,281,361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1,204,247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1,194,453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pPr>
      <w:r>
        <w:rPr/>
        <w:t> </w:t>
      </w:r>
    </w:p>
    <w:p>
      <w:pPr>
        <w:pStyle w:val="TextBody"/>
        <w:spacing w:before="20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5. Restricted cash</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following table provides a reconciliation of cash, cash equivalents, and restricted cash reported within the consolidated balance sheets that sum to the total of the same such amounts shown in the statement of cash flows for the three months ended March 31, 2023 and 2022.</w:t>
      </w:r>
    </w:p>
    <w:p>
      <w:pPr>
        <w:pStyle w:val="TextBody"/>
        <w:spacing w:before="0" w:after="0"/>
        <w:jc w:val="left"/>
        <w:rPr/>
      </w:pPr>
      <w:r>
        <w:rPr/>
        <w:t> </w:t>
      </w:r>
    </w:p>
    <w:tbl>
      <w:tblPr>
        <w:tblW w:w="9662" w:type="dxa"/>
        <w:jc w:val="left"/>
        <w:tblInd w:w="0" w:type="dxa"/>
        <w:tblCellMar>
          <w:top w:w="28" w:type="dxa"/>
          <w:left w:w="28" w:type="dxa"/>
          <w:bottom w:w="28" w:type="dxa"/>
          <w:right w:w="28" w:type="dxa"/>
        </w:tblCellMar>
      </w:tblPr>
      <w:tblGrid>
        <w:gridCol w:w="4621"/>
        <w:gridCol w:w="146"/>
        <w:gridCol w:w="268"/>
        <w:gridCol w:w="992"/>
        <w:gridCol w:w="146"/>
        <w:gridCol w:w="146"/>
        <w:gridCol w:w="268"/>
        <w:gridCol w:w="992"/>
        <w:gridCol w:w="146"/>
        <w:gridCol w:w="146"/>
        <w:gridCol w:w="319"/>
        <w:gridCol w:w="1181"/>
        <w:gridCol w:w="291"/>
      </w:tblGrid>
      <w:tr>
        <w:trPr/>
        <w:tc>
          <w:tcPr>
            <w:tcW w:w="46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46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04"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91" w:type="dxa"/>
            <w:tcBorders/>
            <w:shd w:fill="auto" w:val="clear"/>
            <w:vAlign w:val="center"/>
          </w:tcPr>
          <w:p>
            <w:pPr>
              <w:pStyle w:val="TableContents"/>
              <w:spacing w:before="0" w:after="0"/>
              <w:ind w:left="0" w:right="0" w:hanging="0"/>
              <w:jc w:val="center"/>
              <w:rPr/>
            </w:pPr>
            <w:r>
              <w:rPr/>
              <w:t> </w:t>
            </w:r>
          </w:p>
        </w:tc>
      </w:tr>
      <w:tr>
        <w:trPr/>
        <w:tc>
          <w:tcPr>
            <w:tcW w:w="4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325,159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408,433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331,022</w:t>
            </w:r>
          </w:p>
        </w:tc>
        <w:tc>
          <w:tcPr>
            <w:tcW w:w="291" w:type="dxa"/>
            <w:tcBorders/>
            <w:shd w:fill="auto" w:val="clear"/>
            <w:vAlign w:val="center"/>
          </w:tcPr>
          <w:p>
            <w:pPr>
              <w:pStyle w:val="TableContents"/>
              <w:spacing w:before="0" w:after="0"/>
              <w:ind w:left="0" w:right="0" w:hanging="0"/>
              <w:jc w:val="left"/>
              <w:rPr/>
            </w:pPr>
            <w:r>
              <w:rPr/>
              <w:t> </w:t>
            </w:r>
          </w:p>
        </w:tc>
      </w:tr>
      <w:tr>
        <w:trPr/>
        <w:tc>
          <w:tcPr>
            <w:tcW w:w="46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Restricted cash, included in prepaid expenses</w:t>
            </w:r>
            <w:r>
              <w:rPr>
                <w:rFonts w:ascii="Times New Roman" w:hAnsi="Times New Roman"/>
                <w:sz w:val="20"/>
              </w:rPr>
              <w:t> </w:t>
            </w:r>
            <w:r>
              <w:rPr>
                <w:rFonts w:ascii="Times New Roman;serif" w:hAnsi="Times New Roman;serif"/>
                <w:b w:val="false"/>
                <w:sz w:val="20"/>
              </w:rPr>
              <w:t>and other</w:t>
              <w:br/>
              <w:t>   current assets and other assets</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62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328,312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411,462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334,175</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6. Property and Equipment, Net</w:t>
      </w:r>
    </w:p>
    <w:p>
      <w:pPr>
        <w:pStyle w:val="TextBody"/>
        <w:spacing w:before="200" w:after="0"/>
        <w:jc w:val="left"/>
        <w:rPr>
          <w:rFonts w:ascii="Times New Roman" w:hAnsi="Times New Roman"/>
          <w:sz w:val="20"/>
        </w:rPr>
      </w:pPr>
      <w:r>
        <w:rPr>
          <w:rFonts w:ascii="Times New Roman;serif" w:hAnsi="Times New Roman;serif"/>
          <w:b w:val="false"/>
          <w:sz w:val="20"/>
        </w:rPr>
        <w:t>Property and equipment, net consists of the following:</w:t>
        <w:br/>
      </w:r>
      <w:r>
        <w:rPr>
          <w:rFonts w:ascii="Times New Roman" w:hAnsi="Times New Roman"/>
          <w:sz w:val="20"/>
        </w:rPr>
        <w:t> </w:t>
      </w:r>
    </w:p>
    <w:tbl>
      <w:tblPr>
        <w:tblW w:w="7410" w:type="dxa"/>
        <w:jc w:val="left"/>
        <w:tblInd w:w="0" w:type="dxa"/>
        <w:tblCellMar>
          <w:top w:w="28" w:type="dxa"/>
          <w:left w:w="28" w:type="dxa"/>
          <w:bottom w:w="28" w:type="dxa"/>
          <w:right w:w="28" w:type="dxa"/>
        </w:tblCellMar>
      </w:tblPr>
      <w:tblGrid>
        <w:gridCol w:w="3781"/>
        <w:gridCol w:w="146"/>
        <w:gridCol w:w="252"/>
        <w:gridCol w:w="1008"/>
        <w:gridCol w:w="166"/>
        <w:gridCol w:w="146"/>
        <w:gridCol w:w="301"/>
        <w:gridCol w:w="1199"/>
        <w:gridCol w:w="411"/>
      </w:tblGrid>
      <w:tr>
        <w:trPr/>
        <w:tc>
          <w:tcPr>
            <w:tcW w:w="3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shd w:fill="auto" w:val="clear"/>
            <w:vAlign w:val="center"/>
          </w:tcPr>
          <w:p>
            <w:pPr>
              <w:pStyle w:val="TableContents"/>
              <w:spacing w:before="0" w:after="0"/>
              <w:ind w:left="0" w:right="0" w:hanging="0"/>
              <w:jc w:val="center"/>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and purchased software</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17,710</w:t>
            </w:r>
          </w:p>
        </w:tc>
        <w:tc>
          <w:tcPr>
            <w:tcW w:w="41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related computer equipment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0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46,399</w:t>
            </w:r>
          </w:p>
        </w:tc>
        <w:tc>
          <w:tcPr>
            <w:tcW w:w="41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0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21,232</w:t>
            </w:r>
          </w:p>
        </w:tc>
        <w:tc>
          <w:tcPr>
            <w:tcW w:w="41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0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97,077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98,427</w:t>
            </w:r>
          </w:p>
        </w:tc>
        <w:tc>
          <w:tcPr>
            <w:tcW w:w="41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Internal-use software</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0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32,205</w:t>
            </w:r>
          </w:p>
        </w:tc>
        <w:tc>
          <w:tcPr>
            <w:tcW w:w="41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7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0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223,585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pPr>
            <w:r>
              <w:rPr/>
              <w:t> </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217,672</w:t>
            </w:r>
          </w:p>
        </w:tc>
        <w:tc>
          <w:tcPr>
            <w:tcW w:w="41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(116,525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(112,445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107,060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105,227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Depreciation and amortization expense on property and equipment was $7.5</w:t>
      </w:r>
      <w:r>
        <w:rPr>
          <w:rFonts w:ascii="Times New Roman" w:hAnsi="Times New Roman"/>
          <w:sz w:val="20"/>
        </w:rPr>
        <w:t xml:space="preserve"> </w:t>
      </w:r>
      <w:r>
        <w:rPr>
          <w:rFonts w:ascii="Times New Roman;serif" w:hAnsi="Times New Roman;serif"/>
          <w:b w:val="false"/>
          <w:sz w:val="20"/>
        </w:rPr>
        <w:t>million for the three months ended March 31, 2023 and $6.3</w:t>
      </w:r>
      <w:r>
        <w:rPr>
          <w:rFonts w:ascii="Times New Roman" w:hAnsi="Times New Roman"/>
          <w:sz w:val="20"/>
        </w:rPr>
        <w:t xml:space="preserve"> </w:t>
      </w:r>
      <w:r>
        <w:rPr>
          <w:rFonts w:ascii="Times New Roman;serif" w:hAnsi="Times New Roman;serif"/>
          <w:b w:val="false"/>
          <w:sz w:val="20"/>
        </w:rPr>
        <w:t>million for the three months ended March 31, 2022.</w:t>
      </w:r>
    </w:p>
    <w:p>
      <w:pPr>
        <w:pStyle w:val="TextBody"/>
        <w:spacing w:before="200" w:after="0"/>
        <w:jc w:val="left"/>
        <w:rPr>
          <w:rFonts w:ascii="Times New Roman" w:hAnsi="Times New Roman"/>
          <w:sz w:val="20"/>
        </w:rPr>
      </w:pPr>
      <w:r>
        <w:rPr>
          <w:rFonts w:ascii="Times New Roman;serif" w:hAnsi="Times New Roman;serif"/>
          <w:b w:val="false"/>
          <w:sz w:val="20"/>
        </w:rPr>
        <w:t>In the three months ended March 31, 2023, the Company disposed of $0.9</w:t>
      </w:r>
      <w:r>
        <w:rPr>
          <w:rFonts w:ascii="Times New Roman" w:hAnsi="Times New Roman"/>
          <w:sz w:val="20"/>
        </w:rPr>
        <w:t xml:space="preserve"> </w:t>
      </w:r>
      <w:r>
        <w:rPr>
          <w:rFonts w:ascii="Times New Roman;serif" w:hAnsi="Times New Roman;serif"/>
          <w:b w:val="false"/>
          <w:sz w:val="20"/>
        </w:rPr>
        <w:t xml:space="preserve">million of fixed assets, net, as part of the Restructuring Plan (defined in Note 14). Refer to Note 14 regarding the loss associated with fixed asset disposals in connection with the Restructuring Plan. </w:t>
        <w:br/>
        <w:br/>
      </w:r>
      <w:r>
        <w:rPr>
          <w:rFonts w:ascii="Times New Roman" w:hAnsi="Times New Roman"/>
          <w:sz w:val="20"/>
        </w:rPr>
        <w:t> </w:t>
      </w:r>
    </w:p>
    <w:p>
      <w:pPr>
        <w:pStyle w:val="TextBody"/>
        <w:spacing w:before="200" w:after="0"/>
        <w:jc w:val="left"/>
        <w:rPr>
          <w:rFonts w:ascii="Times New Roman;serif" w:hAnsi="Times New Roman;serif"/>
          <w:b/>
          <w:sz w:val="20"/>
        </w:rPr>
      </w:pPr>
      <w:r>
        <w:rPr>
          <w:rFonts w:ascii="Times New Roman;serif" w:hAnsi="Times New Roman;serif"/>
          <w:b/>
          <w:sz w:val="20"/>
        </w:rPr>
        <w:t>7. Capitalized Software Development Costs</w:t>
      </w:r>
    </w:p>
    <w:p>
      <w:pPr>
        <w:pStyle w:val="TextBody"/>
        <w:spacing w:before="200" w:after="0"/>
        <w:jc w:val="left"/>
        <w:rPr>
          <w:rFonts w:ascii="Times New Roman" w:hAnsi="Times New Roman"/>
          <w:sz w:val="20"/>
        </w:rPr>
      </w:pPr>
      <w:r>
        <w:rPr>
          <w:rFonts w:ascii="Times New Roman;serif" w:hAnsi="Times New Roman;serif"/>
          <w:b w:val="false"/>
          <w:sz w:val="20"/>
        </w:rPr>
        <w:t xml:space="preserve">Capitalized software development costs, exclusive of those recorded within property and equipment, consisted of the following: </w:t>
        <w:br/>
      </w:r>
      <w:r>
        <w:rPr>
          <w:rFonts w:ascii="Times New Roman" w:hAnsi="Times New Roman"/>
          <w:sz w:val="20"/>
        </w:rPr>
        <w:t> </w:t>
      </w:r>
    </w:p>
    <w:tbl>
      <w:tblPr>
        <w:tblW w:w="7425" w:type="dxa"/>
        <w:jc w:val="left"/>
        <w:tblInd w:w="0" w:type="dxa"/>
        <w:tblCellMar>
          <w:top w:w="28" w:type="dxa"/>
          <w:left w:w="28" w:type="dxa"/>
          <w:bottom w:w="28" w:type="dxa"/>
          <w:right w:w="28" w:type="dxa"/>
        </w:tblCellMar>
      </w:tblPr>
      <w:tblGrid>
        <w:gridCol w:w="3796"/>
        <w:gridCol w:w="146"/>
        <w:gridCol w:w="252"/>
        <w:gridCol w:w="1008"/>
        <w:gridCol w:w="166"/>
        <w:gridCol w:w="146"/>
        <w:gridCol w:w="301"/>
        <w:gridCol w:w="1199"/>
        <w:gridCol w:w="411"/>
      </w:tblGrid>
      <w:tr>
        <w:trPr/>
        <w:tc>
          <w:tcPr>
            <w:tcW w:w="3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7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shd w:fill="auto" w:val="clear"/>
            <w:vAlign w:val="center"/>
          </w:tcPr>
          <w:p>
            <w:pPr>
              <w:pStyle w:val="TableContents"/>
              <w:spacing w:before="0" w:after="0"/>
              <w:ind w:left="0" w:right="0" w:hanging="0"/>
              <w:jc w:val="center"/>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capitalized software development costs</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191,858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174,732</w:t>
            </w:r>
          </w:p>
        </w:tc>
        <w:tc>
          <w:tcPr>
            <w:tcW w:w="411" w:type="dxa"/>
            <w:tcBorders/>
            <w:shd w:fill="auto" w:val="clear"/>
            <w:vAlign w:val="center"/>
          </w:tcPr>
          <w:p>
            <w:pPr>
              <w:pStyle w:val="TableContents"/>
              <w:spacing w:before="0" w:after="0"/>
              <w:ind w:left="0" w:right="0" w:hanging="0"/>
              <w:jc w:val="left"/>
              <w:rPr/>
            </w:pPr>
            <w:r>
              <w:rPr/>
              <w:t> </w:t>
            </w:r>
          </w:p>
        </w:tc>
      </w:tr>
      <w:tr>
        <w:trPr/>
        <w:tc>
          <w:tcPr>
            <w:tcW w:w="3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amortization</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(118,790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(110,942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Capitalized software development costs, net</w:t>
            </w:r>
          </w:p>
        </w:tc>
        <w:tc>
          <w:tcPr>
            <w:tcW w:w="146" w:type="dxa"/>
            <w:tcBorders/>
            <w:shd w:fill="auto" w:val="clear"/>
            <w:vAlign w:val="center"/>
          </w:tcPr>
          <w:p>
            <w:pPr>
              <w:pStyle w:val="TableContents"/>
              <w:spacing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63,790</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These capitalized software development costs are associated with software developed for customer purchase. Capitalized software development costs recorded within property and equipment are associated with software developed for Company use.</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Amortization of capitalized software development costs, exclusive of costs recorded within property and equipment, was $9.8</w:t>
      </w:r>
      <w:r>
        <w:rPr>
          <w:rFonts w:ascii="Times New Roman" w:hAnsi="Times New Roman"/>
          <w:sz w:val="20"/>
        </w:rPr>
        <w:t xml:space="preserve"> </w:t>
      </w:r>
      <w:r>
        <w:rPr>
          <w:rFonts w:ascii="Times New Roman;serif" w:hAnsi="Times New Roman;serif"/>
          <w:b w:val="false"/>
          <w:sz w:val="20"/>
        </w:rPr>
        <w:t>million for the three months ended March 31, 2023 and $7.1</w:t>
      </w:r>
      <w:r>
        <w:rPr>
          <w:rFonts w:ascii="Times New Roman" w:hAnsi="Times New Roman"/>
          <w:sz w:val="20"/>
        </w:rPr>
        <w:t xml:space="preserve"> </w:t>
      </w:r>
      <w:r>
        <w:rPr>
          <w:rFonts w:ascii="Times New Roman;serif" w:hAnsi="Times New Roman;serif"/>
          <w:b w:val="false"/>
          <w:sz w:val="20"/>
        </w:rPr>
        <w:t>million for three months ended March 31, 2022.</w:t>
      </w:r>
    </w:p>
    <w:p>
      <w:pPr>
        <w:pStyle w:val="TextBody"/>
        <w:spacing w:before="4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8. Convertible Senior Notes</w:t>
      </w:r>
    </w:p>
    <w:p>
      <w:pPr>
        <w:pStyle w:val="TextBody"/>
        <w:spacing w:before="200" w:after="0"/>
        <w:jc w:val="left"/>
        <w:rPr>
          <w:rFonts w:ascii="Times New Roman" w:hAnsi="Times New Roman"/>
          <w:sz w:val="20"/>
        </w:rPr>
      </w:pPr>
      <w:r>
        <w:rPr>
          <w:rFonts w:ascii="Times New Roman;serif" w:hAnsi="Times New Roman;serif"/>
          <w:b/>
          <w:i/>
          <w:sz w:val="20"/>
        </w:rPr>
        <w:t>2025 Convertible Senior Notes and Capped Call Options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In June 2020, the Company issued $400</w:t>
      </w:r>
      <w:r>
        <w:rPr>
          <w:rFonts w:ascii="Times New Roman" w:hAnsi="Times New Roman"/>
          <w:sz w:val="20"/>
        </w:rPr>
        <w:t xml:space="preserve"> </w:t>
      </w:r>
      <w:r>
        <w:rPr>
          <w:rFonts w:ascii="Times New Roman;serif" w:hAnsi="Times New Roman;serif"/>
          <w:b w:val="false"/>
          <w:sz w:val="20"/>
        </w:rPr>
        <w:t>million aggregate principal amount of 0.375% convertible senior notes due June 1, 2025</w:t>
      </w:r>
      <w:r>
        <w:rPr>
          <w:rFonts w:ascii="Times New Roman" w:hAnsi="Times New Roman"/>
          <w:sz w:val="20"/>
        </w:rPr>
        <w:t xml:space="preserve"> </w:t>
      </w:r>
      <w:r>
        <w:rPr>
          <w:rFonts w:ascii="Times New Roman;serif" w:hAnsi="Times New Roman;serif"/>
          <w:b w:val="false"/>
          <w:sz w:val="20"/>
        </w:rPr>
        <w:t>(the “2025 Notes”) in a private offering and an additional $60</w:t>
      </w:r>
      <w:r>
        <w:rPr>
          <w:rFonts w:ascii="Times New Roman" w:hAnsi="Times New Roman"/>
          <w:sz w:val="20"/>
        </w:rPr>
        <w:t xml:space="preserve"> </w:t>
      </w:r>
      <w:r>
        <w:rPr>
          <w:rFonts w:ascii="Times New Roman;serif" w:hAnsi="Times New Roman;serif"/>
          <w:b w:val="false"/>
          <w:sz w:val="20"/>
        </w:rPr>
        <w:t>million aggregate principal amount of the 2025 Notes pursuant to the exercise in full of the over-allotment options of the initial purchasers. The interest rate is fixed at 0.375% per annum and is payable semi-annually in arrears on June 1 and December 1 of each year.</w:t>
      </w:r>
      <w:r>
        <w:rPr>
          <w:rFonts w:ascii="Times New Roman" w:hAnsi="Times New Roman"/>
          <w:sz w:val="20"/>
        </w:rPr>
        <w:t xml:space="preserve"> </w:t>
      </w:r>
      <w:r>
        <w:rPr>
          <w:rFonts w:ascii="Times New Roman;serif" w:hAnsi="Times New Roman;serif"/>
          <w:b w:val="false"/>
          <w:sz w:val="20"/>
        </w:rPr>
        <w:t>The total net proceeds from the debt offering, after deducting initial purchase discounts and debt issuance costs, were approximately $450.1</w:t>
      </w:r>
      <w:r>
        <w:rPr>
          <w:rFonts w:ascii="Times New Roman" w:hAnsi="Times New Roman"/>
          <w:sz w:val="20"/>
        </w:rPr>
        <w:t xml:space="preserve"> </w:t>
      </w:r>
      <w:r>
        <w:rPr>
          <w:rFonts w:ascii="Times New Roman;serif" w:hAnsi="Times New Roman;serif"/>
          <w:b w:val="false"/>
          <w:sz w:val="20"/>
        </w:rPr>
        <w:t>million.</w:t>
      </w:r>
    </w:p>
    <w:p>
      <w:pPr>
        <w:pStyle w:val="TextBody"/>
        <w:spacing w:before="200" w:after="0"/>
        <w:jc w:val="left"/>
        <w:rPr>
          <w:rFonts w:ascii="Times New Roman" w:hAnsi="Times New Roman"/>
          <w:sz w:val="20"/>
        </w:rPr>
      </w:pPr>
      <w:r>
        <w:rPr>
          <w:rFonts w:ascii="Times New Roman;serif" w:hAnsi="Times New Roman;serif"/>
          <w:b w:val="false"/>
          <w:sz w:val="20"/>
        </w:rPr>
        <w:t>Each $1,000</w:t>
      </w:r>
      <w:r>
        <w:rPr>
          <w:rFonts w:ascii="Times New Roman" w:hAnsi="Times New Roman"/>
          <w:sz w:val="20"/>
        </w:rPr>
        <w:t xml:space="preserve"> </w:t>
      </w:r>
      <w:r>
        <w:rPr>
          <w:rFonts w:ascii="Times New Roman;serif" w:hAnsi="Times New Roman;serif"/>
          <w:b w:val="false"/>
          <w:sz w:val="20"/>
        </w:rPr>
        <w:t>of principal amount of the 2025 Notes will initially be convertible into 3.5396</w:t>
      </w:r>
      <w:r>
        <w:rPr>
          <w:rFonts w:ascii="Times New Roman" w:hAnsi="Times New Roman"/>
          <w:sz w:val="20"/>
        </w:rPr>
        <w:t xml:space="preserve"> </w:t>
      </w:r>
      <w:r>
        <w:rPr>
          <w:rFonts w:ascii="Times New Roman;serif" w:hAnsi="Times New Roman;serif"/>
          <w:b w:val="false"/>
          <w:sz w:val="20"/>
        </w:rPr>
        <w:t>shares of the Company’s common stock (the “Conversion Option of the 2025 Notes”), which is equivalent to an initial conversion price of approximately $282.52</w:t>
      </w:r>
      <w:r>
        <w:rPr>
          <w:rFonts w:ascii="Times New Roman" w:hAnsi="Times New Roman"/>
          <w:sz w:val="20"/>
        </w:rPr>
        <w:t xml:space="preserve"> </w:t>
      </w:r>
      <w:r>
        <w:rPr>
          <w:rFonts w:ascii="Times New Roman;serif" w:hAnsi="Times New Roman;serif"/>
          <w:b w:val="false"/>
          <w:sz w:val="20"/>
        </w:rPr>
        <w:t>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w:t>
      </w:r>
      <w:r>
        <w:rPr>
          <w:rFonts w:ascii="Times New Roman" w:hAnsi="Times New Roman"/>
          <w:sz w:val="20"/>
        </w:rPr>
        <w:t xml:space="preserve"> </w:t>
      </w:r>
      <w:r>
        <w:rPr>
          <w:rFonts w:ascii="Times New Roman;serif" w:hAnsi="Times New Roman;serif"/>
          <w:b w:val="false"/>
          <w:sz w:val="20"/>
        </w:rPr>
        <w:t>Because the last reported sale price of the Company’s common stock for at least 20</w:t>
      </w:r>
      <w:r>
        <w:rPr>
          <w:rFonts w:ascii="Times New Roman" w:hAnsi="Times New Roman"/>
          <w:sz w:val="20"/>
        </w:rPr>
        <w:t xml:space="preserve"> </w:t>
      </w:r>
      <w:r>
        <w:rPr>
          <w:rFonts w:ascii="Times New Roman;serif" w:hAnsi="Times New Roman;serif"/>
          <w:b w:val="false"/>
          <w:sz w:val="20"/>
        </w:rPr>
        <w:t>trading days during the period of 30</w:t>
      </w:r>
      <w:r>
        <w:rPr>
          <w:rFonts w:ascii="Times New Roman" w:hAnsi="Times New Roman"/>
          <w:sz w:val="20"/>
        </w:rPr>
        <w:t xml:space="preserve"> </w:t>
      </w:r>
      <w:r>
        <w:rPr>
          <w:rFonts w:ascii="Times New Roman;serif" w:hAnsi="Times New Roman;serif"/>
          <w:b w:val="false"/>
          <w:sz w:val="20"/>
        </w:rPr>
        <w:t>consecutive trading days ending on the last trading day of the calendar quarter ended March 31, 2023</w:t>
      </w:r>
      <w:r>
        <w:rPr>
          <w:rFonts w:ascii="Times New Roman" w:hAnsi="Times New Roman"/>
          <w:sz w:val="20"/>
        </w:rPr>
        <w:t xml:space="preserve"> </w:t>
      </w:r>
      <w:r>
        <w:rPr>
          <w:rFonts w:ascii="Times New Roman;serif" w:hAnsi="Times New Roman;serif"/>
          <w:b w:val="false"/>
          <w:sz w:val="20"/>
        </w:rPr>
        <w:t>was equal to or greater than 130% of the applicable conversion price on each applicable trading day, the 2025 Notes are convertible at the option of the holders thereof during the calendar quarter ending June 30, 2023. As of April 28, 2023, the Company has not received any conversion notices.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The net carrying amount of the liability component of the 2025 Notes is as follows:</w:t>
        <w:br/>
      </w:r>
      <w:r>
        <w:rPr>
          <w:rFonts w:ascii="Times New Roman" w:hAnsi="Times New Roman"/>
          <w:sz w:val="20"/>
        </w:rPr>
        <w:t> </w:t>
      </w:r>
    </w:p>
    <w:tbl>
      <w:tblPr>
        <w:tblW w:w="6825" w:type="dxa"/>
        <w:jc w:val="left"/>
        <w:tblInd w:w="0" w:type="dxa"/>
        <w:tblCellMar>
          <w:top w:w="28" w:type="dxa"/>
          <w:left w:w="28" w:type="dxa"/>
          <w:bottom w:w="28" w:type="dxa"/>
          <w:right w:w="28" w:type="dxa"/>
        </w:tblCellMar>
      </w:tblPr>
      <w:tblGrid>
        <w:gridCol w:w="2356"/>
        <w:gridCol w:w="146"/>
        <w:gridCol w:w="357"/>
        <w:gridCol w:w="1323"/>
        <w:gridCol w:w="166"/>
        <w:gridCol w:w="146"/>
        <w:gridCol w:w="408"/>
        <w:gridCol w:w="1512"/>
        <w:gridCol w:w="411"/>
      </w:tblGrid>
      <w:tr>
        <w:trPr/>
        <w:tc>
          <w:tcPr>
            <w:tcW w:w="23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3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shd w:fill="auto" w:val="clear"/>
            <w:vAlign w:val="center"/>
          </w:tcPr>
          <w:p>
            <w:pPr>
              <w:pStyle w:val="TableContents"/>
              <w:spacing w:before="0" w:after="0"/>
              <w:ind w:left="0" w:right="0" w:hanging="0"/>
              <w:jc w:val="center"/>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459,083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459,083</w:t>
            </w:r>
          </w:p>
        </w:tc>
        <w:tc>
          <w:tcPr>
            <w:tcW w:w="411" w:type="dxa"/>
            <w:tcBorders/>
            <w:shd w:fill="auto" w:val="clear"/>
            <w:vAlign w:val="center"/>
          </w:tcPr>
          <w:p>
            <w:pPr>
              <w:pStyle w:val="TableContents"/>
              <w:spacing w:before="0" w:after="0"/>
              <w:ind w:left="0" w:right="0" w:hanging="0"/>
              <w:jc w:val="left"/>
              <w:rPr/>
            </w:pPr>
            <w:r>
              <w:rPr/>
              <w:t> </w:t>
            </w:r>
          </w:p>
        </w:tc>
      </w:tr>
      <w:tr>
        <w:trPr/>
        <w:tc>
          <w:tcPr>
            <w:tcW w:w="2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issuance costs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4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carrying amount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454,712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454,227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Interest expense related to the 2025 Notes is as follows:</w:t>
        <w:br/>
      </w:r>
      <w:r>
        <w:rPr>
          <w:rFonts w:ascii="Times New Roman" w:hAnsi="Times New Roman"/>
          <w:sz w:val="20"/>
        </w:rPr>
        <w:t> </w:t>
      </w:r>
    </w:p>
    <w:tbl>
      <w:tblPr>
        <w:tblW w:w="5531" w:type="dxa"/>
        <w:jc w:val="left"/>
        <w:tblInd w:w="0" w:type="dxa"/>
        <w:tblCellMar>
          <w:top w:w="28" w:type="dxa"/>
          <w:left w:w="28" w:type="dxa"/>
          <w:bottom w:w="28" w:type="dxa"/>
          <w:right w:w="28" w:type="dxa"/>
        </w:tblCellMar>
      </w:tblPr>
      <w:tblGrid>
        <w:gridCol w:w="2596"/>
        <w:gridCol w:w="146"/>
        <w:gridCol w:w="325"/>
        <w:gridCol w:w="649"/>
        <w:gridCol w:w="225"/>
        <w:gridCol w:w="225"/>
        <w:gridCol w:w="325"/>
        <w:gridCol w:w="649"/>
        <w:gridCol w:w="39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5" w:type="dxa"/>
            <w:tcBorders/>
            <w:shd w:fill="auto" w:val="clear"/>
            <w:vAlign w:val="center"/>
          </w:tcPr>
          <w:p>
            <w:pPr>
              <w:pStyle w:val="TableContents"/>
              <w:spacing w:before="0" w:after="0"/>
              <w:ind w:left="0" w:right="0" w:hanging="0"/>
              <w:jc w:val="center"/>
              <w:rPr/>
            </w:pPr>
            <w:r>
              <w:rPr/>
              <w:t> </w:t>
            </w:r>
          </w:p>
        </w:tc>
        <w:tc>
          <w:tcPr>
            <w:tcW w:w="97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Contractual interest expense</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22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39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issuance costs</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5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interest expense</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right"/>
              <w:rPr/>
            </w:pPr>
            <w:r>
              <w:rPr/>
              <w:t> </w:t>
            </w:r>
          </w:p>
        </w:tc>
        <w:tc>
          <w:tcPr>
            <w:tcW w:w="3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In connection with the offering of the 2025 Notes, the Company purchased capped call options (“Capped Call Options”) with respect to its common stock for $50.6</w:t>
      </w:r>
      <w:r>
        <w:rPr>
          <w:rFonts w:ascii="Times New Roman" w:hAnsi="Times New Roman"/>
          <w:sz w:val="20"/>
        </w:rPr>
        <w:t xml:space="preserve"> </w:t>
      </w:r>
      <w:r>
        <w:rPr>
          <w:rFonts w:ascii="Times New Roman;serif" w:hAnsi="Times New Roman;serif"/>
          <w:b w:val="false"/>
          <w:sz w:val="20"/>
        </w:rPr>
        <w:t>million. The Capped Call Options are purchased call options that give the Company the option to purchase up to approximately 1.6</w:t>
      </w:r>
      <w:r>
        <w:rPr>
          <w:rFonts w:ascii="Times New Roman" w:hAnsi="Times New Roman"/>
          <w:sz w:val="20"/>
        </w:rPr>
        <w:t xml:space="preserve"> </w:t>
      </w:r>
      <w:r>
        <w:rPr>
          <w:rFonts w:ascii="Times New Roman;serif" w:hAnsi="Times New Roman;serif"/>
          <w:b w:val="false"/>
          <w:sz w:val="20"/>
        </w:rPr>
        <w:t>million shares of its common stock for $282.52</w:t>
      </w:r>
      <w:r>
        <w:rPr>
          <w:rFonts w:ascii="Times New Roman" w:hAnsi="Times New Roman"/>
          <w:sz w:val="20"/>
        </w:rPr>
        <w:t xml:space="preserve"> </w:t>
      </w:r>
      <w:r>
        <w:rPr>
          <w:rFonts w:ascii="Times New Roman;serif" w:hAnsi="Times New Roman;serif"/>
          <w:b w:val="false"/>
          <w:sz w:val="20"/>
        </w:rPr>
        <w:t>per share, which corresponds to the approximate initial conversion price of the 2025 Notes. The Capped Call Options were purchased in order to offset potential dilution to the Company’s common stock upon any conversion of the 2025 Notes, subject to a cap of $426.44</w:t>
      </w:r>
      <w:r>
        <w:rPr>
          <w:rFonts w:ascii="Times New Roman" w:hAnsi="Times New Roman"/>
          <w:sz w:val="20"/>
        </w:rPr>
        <w:t xml:space="preserve"> </w:t>
      </w:r>
      <w:r>
        <w:rPr>
          <w:rFonts w:ascii="Times New Roman;serif" w:hAnsi="Times New Roman;serif"/>
          <w:b w:val="false"/>
          <w:sz w:val="20"/>
        </w:rPr>
        <w:t>per share, and expire concurrently with the 2025 Notes. The $50.6</w:t>
      </w:r>
      <w:r>
        <w:rPr>
          <w:rFonts w:ascii="Times New Roman" w:hAnsi="Times New Roman"/>
          <w:sz w:val="20"/>
        </w:rPr>
        <w:t xml:space="preserve"> </w:t>
      </w:r>
      <w:r>
        <w:rPr>
          <w:rFonts w:ascii="Times New Roman;serif" w:hAnsi="Times New Roman;serif"/>
          <w:b w:val="false"/>
          <w:sz w:val="20"/>
        </w:rPr>
        <w:t>million paid for the Capped Call Options is recorded in stockholders’ equity as a reduction in additional paid-in capital and are not accounted for as separate derivative financial instruments.</w:t>
      </w:r>
    </w:p>
    <w:p>
      <w:pPr>
        <w:pStyle w:val="TextBody"/>
        <w:spacing w:before="200" w:after="0"/>
        <w:jc w:val="left"/>
        <w:rPr>
          <w:rFonts w:ascii="Times New Roman;serif" w:hAnsi="Times New Roman;serif"/>
          <w:b/>
          <w:i/>
          <w:sz w:val="20"/>
        </w:rPr>
      </w:pPr>
      <w:r>
        <w:rPr>
          <w:rFonts w:ascii="Times New Roman;serif" w:hAnsi="Times New Roman;serif"/>
          <w:b/>
          <w:i/>
          <w:sz w:val="20"/>
        </w:rPr>
        <w:t>2022 Convertible Senior Notes, Convertible Note Hedge and Warrant</w:t>
      </w:r>
    </w:p>
    <w:p>
      <w:pPr>
        <w:pStyle w:val="TextBody"/>
        <w:spacing w:before="200" w:after="0"/>
        <w:jc w:val="left"/>
        <w:rPr>
          <w:rFonts w:ascii="Times New Roman" w:hAnsi="Times New Roman"/>
          <w:sz w:val="20"/>
        </w:rPr>
      </w:pPr>
      <w:r>
        <w:rPr>
          <w:rFonts w:ascii="Times New Roman;serif" w:hAnsi="Times New Roman;serif"/>
          <w:b w:val="false"/>
          <w:sz w:val="20"/>
        </w:rPr>
        <w:t>In May 2017, the Company issued $350.0</w:t>
      </w:r>
      <w:r>
        <w:rPr>
          <w:rFonts w:ascii="Times New Roman" w:hAnsi="Times New Roman"/>
          <w:sz w:val="20"/>
        </w:rPr>
        <w:t xml:space="preserve"> </w:t>
      </w:r>
      <w:r>
        <w:rPr>
          <w:rFonts w:ascii="Times New Roman;serif" w:hAnsi="Times New Roman;serif"/>
          <w:b w:val="false"/>
          <w:sz w:val="20"/>
        </w:rPr>
        <w:t>million aggregate principal amount of 0.25% convertible senior notes due June 1, 2022</w:t>
      </w:r>
      <w:r>
        <w:rPr>
          <w:rFonts w:ascii="Times New Roman" w:hAnsi="Times New Roman"/>
          <w:sz w:val="20"/>
        </w:rPr>
        <w:t xml:space="preserve"> </w:t>
      </w:r>
      <w:r>
        <w:rPr>
          <w:rFonts w:ascii="Times New Roman;serif" w:hAnsi="Times New Roman;serif"/>
          <w:b w:val="false"/>
          <w:sz w:val="20"/>
        </w:rPr>
        <w:t>(the “2022 Notes”) in a private offering and an additional $50</w:t>
      </w:r>
      <w:r>
        <w:rPr>
          <w:rFonts w:ascii="Times New Roman" w:hAnsi="Times New Roman"/>
          <w:sz w:val="20"/>
        </w:rPr>
        <w:t xml:space="preserve"> </w:t>
      </w:r>
      <w:r>
        <w:rPr>
          <w:rFonts w:ascii="Times New Roman;serif" w:hAnsi="Times New Roman;serif"/>
          <w:b w:val="false"/>
          <w:sz w:val="20"/>
        </w:rPr>
        <w:t>million aggregate principal amount of the 2022 Notes pursuant to the exercise in full of the over-allotment options of the initial purchasers. of the 2022 Notes. The interest rate is fixed at 0.25% per annum and is payable semi-annually in arrears on June 1 and December 1 of each year.</w:t>
      </w:r>
      <w:r>
        <w:rPr>
          <w:rFonts w:ascii="Times New Roman" w:hAnsi="Times New Roman"/>
          <w:sz w:val="20"/>
        </w:rPr>
        <w:t xml:space="preserve"> </w:t>
      </w:r>
      <w:r>
        <w:rPr>
          <w:rFonts w:ascii="Times New Roman;serif" w:hAnsi="Times New Roman;serif"/>
          <w:b w:val="false"/>
          <w:sz w:val="20"/>
        </w:rPr>
        <w:t>The total net proceeds from the debt offering, after deducting initial purchase discounts and debt issuance costs, were approximately $389.2</w:t>
      </w:r>
      <w:r>
        <w:rPr>
          <w:rFonts w:ascii="Times New Roman" w:hAnsi="Times New Roman"/>
          <w:sz w:val="20"/>
        </w:rPr>
        <w:t xml:space="preserve"> </w:t>
      </w:r>
      <w:r>
        <w:rPr>
          <w:rFonts w:ascii="Times New Roman;serif" w:hAnsi="Times New Roman;serif"/>
          <w:b w:val="false"/>
          <w:sz w:val="20"/>
        </w:rPr>
        <w:t>million. 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w:t>
      </w:r>
      <w:r>
        <w:rPr>
          <w:rFonts w:ascii="Times New Roman" w:hAnsi="Times New Roman"/>
          <w:sz w:val="20"/>
        </w:rPr>
        <w:t xml:space="preserve"> </w:t>
      </w:r>
      <w:r>
        <w:rPr>
          <w:rFonts w:ascii="Times New Roman;serif" w:hAnsi="Times New Roman;serif"/>
          <w:b w:val="false"/>
          <w:sz w:val="20"/>
        </w:rPr>
        <w:t>million shares of the Company’s common stock at a price of approximately $94.77</w:t>
      </w:r>
      <w:r>
        <w:rPr>
          <w:rFonts w:ascii="Times New Roman" w:hAnsi="Times New Roman"/>
          <w:sz w:val="20"/>
        </w:rPr>
        <w:t xml:space="preserve"> </w:t>
      </w:r>
      <w:r>
        <w:rPr>
          <w:rFonts w:ascii="Times New Roman;serif" w:hAnsi="Times New Roman;serif"/>
          <w:b w:val="false"/>
          <w:sz w:val="20"/>
        </w:rPr>
        <w:t>per share. In addition, the Company sold warrants (the “Warrants”) to certain bank counterparties whereby the holders of the Warrants have the option to initially purchase (subject to adjustment for certain specified events) a total of approximately 4.2</w:t>
      </w:r>
      <w:r>
        <w:rPr>
          <w:rFonts w:ascii="Times New Roman" w:hAnsi="Times New Roman"/>
          <w:sz w:val="20"/>
        </w:rPr>
        <w:t xml:space="preserve"> </w:t>
      </w:r>
      <w:r>
        <w:rPr>
          <w:rFonts w:ascii="Times New Roman;serif" w:hAnsi="Times New Roman;serif"/>
          <w:b w:val="false"/>
          <w:sz w:val="20"/>
        </w:rPr>
        <w:t>million shares of the Company’s common stock at a price of $115.8</w:t>
      </w:r>
      <w:r>
        <w:rPr>
          <w:rFonts w:ascii="Times New Roman" w:hAnsi="Times New Roman"/>
          <w:sz w:val="20"/>
        </w:rPr>
        <w:t xml:space="preserve"> </w:t>
      </w:r>
      <w:r>
        <w:rPr>
          <w:rFonts w:ascii="Times New Roman;serif" w:hAnsi="Times New Roman;serif"/>
          <w:b w:val="false"/>
          <w:sz w:val="20"/>
        </w:rPr>
        <w:t>per share.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On June 1, 2022, upon the maturity of the 2022 Notes, the Company paid $19.4</w:t>
      </w:r>
      <w:r>
        <w:rPr>
          <w:rFonts w:ascii="Times New Roman" w:hAnsi="Times New Roman"/>
          <w:sz w:val="20"/>
        </w:rPr>
        <w:t xml:space="preserve"> </w:t>
      </w:r>
      <w:r>
        <w:rPr>
          <w:rFonts w:ascii="Times New Roman;serif" w:hAnsi="Times New Roman;serif"/>
          <w:b w:val="false"/>
          <w:sz w:val="20"/>
        </w:rPr>
        <w:t>million to satisfy the aggregate principal amount due and $60.4</w:t>
      </w:r>
      <w:r>
        <w:rPr>
          <w:rFonts w:ascii="Times New Roman" w:hAnsi="Times New Roman"/>
          <w:sz w:val="20"/>
        </w:rPr>
        <w:t xml:space="preserve"> </w:t>
      </w:r>
      <w:r>
        <w:rPr>
          <w:rFonts w:ascii="Times New Roman;serif" w:hAnsi="Times New Roman;serif"/>
          <w:b w:val="false"/>
          <w:sz w:val="20"/>
        </w:rPr>
        <w:t>million for the conversion premium in excess of the principal amount. The remaining Convertible Note Hedges were settled in cash and the Company received approximately $60.5</w:t>
      </w:r>
      <w:r>
        <w:rPr>
          <w:rFonts w:ascii="Times New Roman" w:hAnsi="Times New Roman"/>
          <w:sz w:val="20"/>
        </w:rPr>
        <w:t xml:space="preserve"> </w:t>
      </w:r>
      <w:r>
        <w:rPr>
          <w:rFonts w:ascii="Times New Roman;serif" w:hAnsi="Times New Roman;serif"/>
          <w:b w:val="false"/>
          <w:sz w:val="20"/>
        </w:rPr>
        <w:t>million in cash upon settlement. In addition, the remaining 1.4</w:t>
      </w:r>
      <w:r>
        <w:rPr>
          <w:rFonts w:ascii="Times New Roman" w:hAnsi="Times New Roman"/>
          <w:sz w:val="20"/>
        </w:rPr>
        <w:t xml:space="preserve"> </w:t>
      </w:r>
      <w:r>
        <w:rPr>
          <w:rFonts w:ascii="Times New Roman;serif" w:hAnsi="Times New Roman;serif"/>
          <w:b w:val="false"/>
          <w:sz w:val="20"/>
        </w:rPr>
        <w:t>million shares of Warrants were exercised in the fourth quarter of 2022, which the Company net share settled and issued 0.8</w:t>
      </w:r>
      <w:r>
        <w:rPr>
          <w:rFonts w:ascii="Times New Roman" w:hAnsi="Times New Roman"/>
          <w:sz w:val="20"/>
        </w:rPr>
        <w:t xml:space="preserve"> </w:t>
      </w:r>
      <w:r>
        <w:rPr>
          <w:rFonts w:ascii="Times New Roman;serif" w:hAnsi="Times New Roman;serif"/>
          <w:b w:val="false"/>
          <w:sz w:val="20"/>
        </w:rPr>
        <w:t>million shares of its common stock.</w:t>
      </w:r>
      <w:r>
        <w:rPr>
          <w:rFonts w:ascii="Times New Roman" w:hAnsi="Times New Roman"/>
          <w:sz w:val="20"/>
        </w:rPr>
        <w:t xml:space="preserve"> </w:t>
      </w:r>
    </w:p>
    <w:p>
      <w:pPr>
        <w:pStyle w:val="TextBody"/>
        <w:spacing w:before="200" w:after="0"/>
        <w:jc w:val="left"/>
        <w:rPr>
          <w:rFonts w:ascii="Times New Roman;serif" w:hAnsi="Times New Roman;serif"/>
          <w:b/>
          <w:sz w:val="20"/>
        </w:rPr>
      </w:pPr>
      <w:r>
        <w:rPr>
          <w:rFonts w:ascii="Times New Roman;serif" w:hAnsi="Times New Roman;serif"/>
          <w:b/>
          <w:sz w:val="20"/>
        </w:rPr>
        <w:t>9. Leases</w:t>
      </w:r>
    </w:p>
    <w:p>
      <w:pPr>
        <w:pStyle w:val="TextBody"/>
        <w:spacing w:before="200" w:after="0"/>
        <w:jc w:val="left"/>
        <w:rPr>
          <w:rFonts w:ascii="Times New Roman" w:hAnsi="Times New Roman"/>
          <w:sz w:val="20"/>
        </w:rPr>
      </w:pPr>
      <w:r>
        <w:rPr>
          <w:rFonts w:ascii="Times New Roman;serif" w:hAnsi="Times New Roman;serif"/>
          <w:b w:val="false"/>
          <w:sz w:val="20"/>
        </w:rPr>
        <w:t>The Company leases office facilities under non-cancelable operating leases that expire at various dates through February 2035.</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During the three months ended March 31, 2023, the Company terminated and abandoned various leases of office spaces globally. The Company recorded a reduction in right-of-use assets of $2.2</w:t>
      </w:r>
      <w:r>
        <w:rPr>
          <w:rFonts w:ascii="Times New Roman" w:hAnsi="Times New Roman"/>
          <w:sz w:val="20"/>
        </w:rPr>
        <w:t xml:space="preserve"> </w:t>
      </w:r>
      <w:r>
        <w:rPr>
          <w:rFonts w:ascii="Times New Roman;serif" w:hAnsi="Times New Roman;serif"/>
          <w:b w:val="false"/>
          <w:sz w:val="20"/>
        </w:rPr>
        <w:t>million and in lease liabilities of $1.2</w:t>
      </w:r>
      <w:r>
        <w:rPr>
          <w:rFonts w:ascii="Times New Roman" w:hAnsi="Times New Roman"/>
          <w:sz w:val="20"/>
        </w:rPr>
        <w:t xml:space="preserve"> </w:t>
      </w:r>
      <w:r>
        <w:rPr>
          <w:rFonts w:ascii="Times New Roman;serif" w:hAnsi="Times New Roman;serif"/>
          <w:b w:val="false"/>
          <w:sz w:val="20"/>
        </w:rPr>
        <w:t>million for these leases during the period upon the lease termination or abandonment. Refer to Note 14 regarding the loss associated with the lease termination and abandonment in connection with the Restructuring Plan.</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March 31, 2023</w:t>
      </w:r>
      <w:r>
        <w:rPr>
          <w:rFonts w:ascii="Times New Roman" w:hAnsi="Times New Roman"/>
          <w:sz w:val="20"/>
        </w:rPr>
        <w:t xml:space="preserve"> </w:t>
      </w:r>
      <w:r>
        <w:rPr>
          <w:rFonts w:ascii="Times New Roman;serif" w:hAnsi="Times New Roman;serif"/>
          <w:b w:val="false"/>
          <w:sz w:val="20"/>
        </w:rPr>
        <w:t>was 4.9%.</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Operating lease expense costs were $12.9</w:t>
      </w:r>
      <w:r>
        <w:rPr>
          <w:rFonts w:ascii="Times New Roman" w:hAnsi="Times New Roman"/>
          <w:sz w:val="20"/>
        </w:rPr>
        <w:t xml:space="preserve"> </w:t>
      </w:r>
      <w:r>
        <w:rPr>
          <w:rFonts w:ascii="Times New Roman;serif" w:hAnsi="Times New Roman;serif"/>
          <w:b w:val="false"/>
          <w:sz w:val="20"/>
        </w:rPr>
        <w:t>million for the three months ended March 31, 2023 and $10.9</w:t>
      </w:r>
      <w:r>
        <w:rPr>
          <w:rFonts w:ascii="Times New Roman" w:hAnsi="Times New Roman"/>
          <w:sz w:val="20"/>
        </w:rPr>
        <w:t xml:space="preserve"> </w:t>
      </w:r>
      <w:r>
        <w:rPr>
          <w:rFonts w:ascii="Times New Roman;serif" w:hAnsi="Times New Roman;serif"/>
          <w:b w:val="false"/>
          <w:sz w:val="20"/>
        </w:rPr>
        <w:t>million for the three months ended March 31, 2022.</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 xml:space="preserve">The Company subleases some of its unused spaces to third parties. Operating sublease income generated under all operating lease agreements for the three months ended March 31, 2023 and 2022 are as follows: </w:t>
        <w:br/>
      </w:r>
      <w:r>
        <w:rPr>
          <w:rFonts w:ascii="Times New Roman" w:hAnsi="Times New Roman"/>
          <w:sz w:val="20"/>
        </w:rPr>
        <w:t> </w:t>
      </w:r>
    </w:p>
    <w:tbl>
      <w:tblPr>
        <w:tblW w:w="5190" w:type="dxa"/>
        <w:jc w:val="left"/>
        <w:tblInd w:w="0" w:type="dxa"/>
        <w:tblCellMar>
          <w:top w:w="28" w:type="dxa"/>
          <w:left w:w="28" w:type="dxa"/>
          <w:bottom w:w="28" w:type="dxa"/>
          <w:right w:w="28" w:type="dxa"/>
        </w:tblCellMar>
      </w:tblPr>
      <w:tblGrid>
        <w:gridCol w:w="2311"/>
        <w:gridCol w:w="146"/>
        <w:gridCol w:w="272"/>
        <w:gridCol w:w="738"/>
        <w:gridCol w:w="188"/>
        <w:gridCol w:w="188"/>
        <w:gridCol w:w="272"/>
        <w:gridCol w:w="738"/>
        <w:gridCol w:w="146"/>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sublease income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2,028</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righ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1,188</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Cash payments related to operating lease liabilities were $14.4</w:t>
      </w:r>
      <w:r>
        <w:rPr>
          <w:rFonts w:ascii="Times New Roman;serif" w:hAnsi="Times New Roman;serif"/>
          <w:sz w:val="20"/>
        </w:rPr>
        <w:t xml:space="preserve"> </w:t>
      </w:r>
      <w:r>
        <w:rPr>
          <w:rFonts w:ascii="Times New Roman;serif" w:hAnsi="Times New Roman;serif"/>
          <w:b w:val="false"/>
          <w:sz w:val="20"/>
        </w:rPr>
        <w:t>million for the three months ended March 31, 2023 and $7.6</w:t>
      </w:r>
      <w:r>
        <w:rPr>
          <w:rFonts w:ascii="Times New Roman;serif" w:hAnsi="Times New Roman;serif"/>
          <w:sz w:val="20"/>
        </w:rPr>
        <w:t xml:space="preserve"> </w:t>
      </w:r>
      <w:r>
        <w:rPr>
          <w:rFonts w:ascii="Times New Roman;serif" w:hAnsi="Times New Roman;serif"/>
          <w:b w:val="false"/>
          <w:sz w:val="20"/>
        </w:rPr>
        <w:t>million for the three months ended March 31, 2022.</w:t>
      </w:r>
      <w:r>
        <w:rPr>
          <w:rFonts w:ascii="Times New Roman" w:hAnsi="Times New Roman"/>
          <w:sz w:val="20"/>
        </w:rPr>
        <w:t xml:space="preserve"> </w:t>
      </w:r>
    </w:p>
    <w:p>
      <w:pPr>
        <w:pStyle w:val="TextBody"/>
        <w:spacing w:before="200" w:after="0"/>
        <w:jc w:val="left"/>
        <w:rPr>
          <w:rFonts w:ascii="Times New Roman;serif" w:hAnsi="Times New Roman;serif"/>
          <w:b/>
          <w:sz w:val="20"/>
        </w:rPr>
      </w:pPr>
      <w:r>
        <w:rPr>
          <w:rFonts w:ascii="Times New Roman;serif" w:hAnsi="Times New Roman;serif"/>
          <w:b/>
          <w:sz w:val="20"/>
        </w:rPr>
        <w:t>10. Commitments and Contingencies</w:t>
      </w:r>
    </w:p>
    <w:p>
      <w:pPr>
        <w:pStyle w:val="TextBody"/>
        <w:spacing w:before="200" w:after="0"/>
        <w:jc w:val="left"/>
        <w:rPr>
          <w:rFonts w:ascii="Times New Roman;serif" w:hAnsi="Times New Roman;serif"/>
          <w:b/>
          <w:i/>
          <w:sz w:val="20"/>
        </w:rPr>
      </w:pPr>
      <w:r>
        <w:rPr>
          <w:rFonts w:ascii="Times New Roman;serif" w:hAnsi="Times New Roman;serif"/>
          <w:b/>
          <w:i/>
          <w:sz w:val="20"/>
        </w:rPr>
        <w:t>Contractual Obligations</w:t>
      </w:r>
    </w:p>
    <w:p>
      <w:pPr>
        <w:pStyle w:val="TextBody"/>
        <w:spacing w:before="200" w:after="0"/>
        <w:jc w:val="left"/>
        <w:rPr>
          <w:rFonts w:ascii="Times New Roman" w:hAnsi="Times New Roman"/>
          <w:sz w:val="20"/>
        </w:rPr>
      </w:pPr>
      <w:r>
        <w:rPr>
          <w:rFonts w:ascii="Times New Roman;serif" w:hAnsi="Times New Roman;serif"/>
          <w:b w:val="false"/>
          <w:sz w:val="20"/>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$78.4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Future minimum payments under all operating lease agreements as of March 31, 2023 are as follows:</w:t>
        <w:br/>
      </w:r>
      <w:r>
        <w:rPr>
          <w:rFonts w:ascii="Times New Roman" w:hAnsi="Times New Roman"/>
          <w:sz w:val="20"/>
        </w:rPr>
        <w:t> </w:t>
      </w:r>
    </w:p>
    <w:tbl>
      <w:tblPr>
        <w:tblW w:w="3583" w:type="dxa"/>
        <w:jc w:val="left"/>
        <w:tblInd w:w="0" w:type="dxa"/>
        <w:tblCellMar>
          <w:top w:w="28" w:type="dxa"/>
          <w:left w:w="28" w:type="dxa"/>
          <w:bottom w:w="28" w:type="dxa"/>
          <w:right w:w="28" w:type="dxa"/>
        </w:tblCellMar>
      </w:tblPr>
      <w:tblGrid>
        <w:gridCol w:w="1681"/>
        <w:gridCol w:w="146"/>
        <w:gridCol w:w="290"/>
        <w:gridCol w:w="1075"/>
        <w:gridCol w:w="3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Operating Leases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39,595</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49,350</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48,953</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49,072</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46,320</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196,134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429,424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Future minimum payments under all</w:t>
      </w:r>
      <w:r>
        <w:rPr>
          <w:rFonts w:ascii="Times New Roman" w:hAnsi="Times New Roman"/>
          <w:sz w:val="20"/>
        </w:rPr>
        <w:t xml:space="preserve"> </w:t>
      </w:r>
      <w:r>
        <w:rPr>
          <w:rFonts w:ascii="Times New Roman;serif" w:hAnsi="Times New Roman;serif"/>
          <w:b w:val="false"/>
          <w:sz w:val="20"/>
        </w:rPr>
        <w:t>non-cancelable arrangements as of March 31, 2023 and agreements entered into since then are as follows:</w:t>
        <w:br/>
      </w:r>
      <w:r>
        <w:rPr>
          <w:rFonts w:ascii="Times New Roman" w:hAnsi="Times New Roman"/>
          <w:sz w:val="20"/>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tbl>
      <w:tblPr>
        <w:tblW w:w="3913" w:type="dxa"/>
        <w:jc w:val="left"/>
        <w:tblInd w:w="0" w:type="dxa"/>
        <w:tblCellMar>
          <w:top w:w="28" w:type="dxa"/>
          <w:left w:w="28" w:type="dxa"/>
          <w:bottom w:w="28" w:type="dxa"/>
          <w:right w:w="28" w:type="dxa"/>
        </w:tblCellMar>
      </w:tblPr>
      <w:tblGrid>
        <w:gridCol w:w="1681"/>
        <w:gridCol w:w="146"/>
        <w:gridCol w:w="360"/>
        <w:gridCol w:w="1335"/>
        <w:gridCol w:w="3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Vendor Commitments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Remainder of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135,459</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2024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0"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201,800</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2025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0"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213,422</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2026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0"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220,200</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2027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0" w:type="dxa"/>
            <w:tcBorders/>
            <w:shd w:fill="auto" w:val="clear"/>
            <w:vAlign w:val="center"/>
          </w:tcPr>
          <w:p>
            <w:pPr>
              <w:pStyle w:val="TableContents"/>
              <w:spacing w:before="0" w:after="0"/>
              <w:ind w:left="0" w:right="0" w:hanging="0"/>
              <w:jc w:val="left"/>
              <w:rPr/>
            </w:pPr>
            <w:r>
              <w:rPr/>
              <w:t> </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187,684</w:t>
            </w:r>
          </w:p>
        </w:tc>
        <w:tc>
          <w:tcPr>
            <w:tcW w:w="3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9"/>
              </w:rPr>
              <w:t>Thereafter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6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958,749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i/>
          <w:sz w:val="20"/>
        </w:rPr>
      </w:pPr>
      <w:r>
        <w:rPr>
          <w:rFonts w:ascii="Times New Roman;serif" w:hAnsi="Times New Roman;serif"/>
          <w:b/>
          <w:i/>
          <w:sz w:val="20"/>
        </w:rPr>
        <w:t>Legal Contingencies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pStyle w:val="TextBody"/>
        <w:spacing w:before="20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11. Changes in Accumulated Other Comprehensive Loss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following table summarizes the changes in accumulated other comprehensive loss, which is reported as a component of stockholders’ equity, for the three months ended March 31, 2023.</w:t>
      </w:r>
    </w:p>
    <w:tbl>
      <w:tblPr>
        <w:tblW w:w="9895" w:type="dxa"/>
        <w:jc w:val="left"/>
        <w:tblInd w:w="0" w:type="dxa"/>
        <w:tblCellMar>
          <w:top w:w="28" w:type="dxa"/>
          <w:left w:w="28" w:type="dxa"/>
          <w:bottom w:w="28" w:type="dxa"/>
          <w:right w:w="28" w:type="dxa"/>
        </w:tblCellMar>
      </w:tblPr>
      <w:tblGrid>
        <w:gridCol w:w="4156"/>
        <w:gridCol w:w="146"/>
        <w:gridCol w:w="508"/>
        <w:gridCol w:w="2207"/>
        <w:gridCol w:w="166"/>
        <w:gridCol w:w="146"/>
        <w:gridCol w:w="180"/>
        <w:gridCol w:w="781"/>
        <w:gridCol w:w="166"/>
        <w:gridCol w:w="146"/>
        <w:gridCol w:w="146"/>
        <w:gridCol w:w="736"/>
        <w:gridCol w:w="411"/>
      </w:tblGrid>
      <w:tr>
        <w:trPr/>
        <w:tc>
          <w:tcPr>
            <w:tcW w:w="4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20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Cumulative Translation Adjustment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Unrealized </w:t>
              <w:br/>
              <w:t>Loss on</w:t>
              <w:br/>
              <w:t>Investments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82"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 at January 1, 2023</w:t>
            </w:r>
          </w:p>
        </w:tc>
        <w:tc>
          <w:tcPr>
            <w:tcW w:w="146"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left"/>
              <w:rPr/>
            </w:pPr>
            <w:r>
              <w:rPr/>
              <w:t> </w:t>
            </w:r>
          </w:p>
        </w:tc>
        <w:tc>
          <w:tcPr>
            <w:tcW w:w="22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(12,890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gain before reclassifications</w:t>
            </w:r>
          </w:p>
        </w:tc>
        <w:tc>
          <w:tcPr>
            <w:tcW w:w="146"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left"/>
              <w:rPr/>
            </w:pPr>
            <w:r>
              <w:rPr/>
              <w:t> </w:t>
            </w:r>
          </w:p>
        </w:tc>
        <w:tc>
          <w:tcPr>
            <w:tcW w:w="22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5,134</w:t>
            </w:r>
          </w:p>
        </w:tc>
        <w:tc>
          <w:tcPr>
            <w:tcW w:w="411" w:type="dxa"/>
            <w:tcBorders/>
            <w:shd w:fill="auto" w:val="clear"/>
            <w:vAlign w:val="center"/>
          </w:tcPr>
          <w:p>
            <w:pPr>
              <w:pStyle w:val="TableContents"/>
              <w:spacing w:before="0" w:after="0"/>
              <w:ind w:left="0" w:right="0" w:firstLine="200"/>
              <w:jc w:val="lef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Amounts reclassified from accumulated other </w:t>
              <w:br/>
              <w:t>  comprehensive income</w:t>
            </w:r>
          </w:p>
        </w:tc>
        <w:tc>
          <w:tcPr>
            <w:tcW w:w="146" w:type="dxa"/>
            <w:tcBorders/>
            <w:shd w:fill="auto" w:val="clear"/>
            <w:vAlign w:val="center"/>
          </w:tcPr>
          <w:p>
            <w:pPr>
              <w:pStyle w:val="TableContents"/>
              <w:spacing w:before="0" w:after="0"/>
              <w:ind w:left="0" w:right="0" w:hanging="0"/>
              <w:jc w:val="lef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5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(7,756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12. Stock-Based Compensation Expense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following two tables show stock-based compensation expense by award type and where the stock-based compensation expense is recorded in the Company’s consolidated statements of operations:</w:t>
      </w:r>
    </w:p>
    <w:tbl>
      <w:tblPr>
        <w:tblW w:w="6386" w:type="dxa"/>
        <w:jc w:val="left"/>
        <w:tblInd w:w="0" w:type="dxa"/>
        <w:tblCellMar>
          <w:top w:w="28" w:type="dxa"/>
          <w:left w:w="28" w:type="dxa"/>
          <w:bottom w:w="28" w:type="dxa"/>
          <w:right w:w="28" w:type="dxa"/>
        </w:tblCellMar>
      </w:tblPr>
      <w:tblGrid>
        <w:gridCol w:w="3451"/>
        <w:gridCol w:w="146"/>
        <w:gridCol w:w="245"/>
        <w:gridCol w:w="785"/>
        <w:gridCol w:w="169"/>
        <w:gridCol w:w="169"/>
        <w:gridCol w:w="245"/>
        <w:gridCol w:w="785"/>
        <w:gridCol w:w="3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1,999</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RSUs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73,032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40,807</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PSUs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3,234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4,064</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83,037</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45,704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In the first quarter of 2023, the Compensation Committee of the Board of Directors approved the grant of performance-based restricted stock units (“PSUs”) that are eligible to be earned upon the achievement of a pre-determined revenue growth metric. To the extent earned, 33% of the PSUs will vest in the first quarter of 2024 and the remaining 67% will vest in eight equal quarterly installments thereafter. No PSUs will be earned if the pre-determined revenue growth metric is not achieved, and the overall number of shares that may be earned shall not exceed 150% of the target award. Stock-based compensation costs for PSUs are recognized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using the graded vesting attribution method over the requisite service period.</w:t>
        <w:br/>
      </w:r>
      <w:r>
        <w:rPr>
          <w:rFonts w:ascii="Times New Roman" w:hAnsi="Times New Roman"/>
          <w:sz w:val="20"/>
        </w:rPr>
        <w:t> </w:t>
      </w:r>
    </w:p>
    <w:p>
      <w:pPr>
        <w:pStyle w:val="TextBody"/>
        <w:spacing w:before="200" w:after="0"/>
        <w:jc w:val="left"/>
        <w:rPr>
          <w:rFonts w:ascii="Times New Roman" w:hAnsi="Times New Roman"/>
          <w:sz w:val="20"/>
        </w:rPr>
      </w:pPr>
      <w:r>
        <w:rPr>
          <w:rFonts w:ascii="Times New Roman;serif" w:hAnsi="Times New Roman;serif"/>
          <w:b w:val="false"/>
          <w:sz w:val="20"/>
        </w:rPr>
        <w:t xml:space="preserve">Effect of stock-based compensation expense on income by line item: </w:t>
        <w:br/>
      </w:r>
      <w:r>
        <w:rPr>
          <w:rFonts w:ascii="Times New Roman" w:hAnsi="Times New Roman"/>
          <w:sz w:val="20"/>
        </w:rPr>
        <w:t> </w:t>
      </w:r>
    </w:p>
    <w:tbl>
      <w:tblPr>
        <w:tblW w:w="6911" w:type="dxa"/>
        <w:jc w:val="left"/>
        <w:tblInd w:w="0" w:type="dxa"/>
        <w:tblCellMar>
          <w:top w:w="28" w:type="dxa"/>
          <w:left w:w="28" w:type="dxa"/>
          <w:bottom w:w="28" w:type="dxa"/>
          <w:right w:w="28" w:type="dxa"/>
        </w:tblCellMar>
      </w:tblPr>
      <w:tblGrid>
        <w:gridCol w:w="3976"/>
        <w:gridCol w:w="146"/>
        <w:gridCol w:w="245"/>
        <w:gridCol w:w="785"/>
        <w:gridCol w:w="169"/>
        <w:gridCol w:w="169"/>
        <w:gridCol w:w="245"/>
        <w:gridCol w:w="785"/>
        <w:gridCol w:w="391"/>
      </w:tblGrid>
      <w:tr>
        <w:trPr/>
        <w:tc>
          <w:tcPr>
            <w:tcW w:w="39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subscription</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2,745</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1,823</w:t>
            </w:r>
          </w:p>
        </w:tc>
        <w:tc>
          <w:tcPr>
            <w:tcW w:w="3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professional services and other</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w:t>
            </w:r>
          </w:p>
        </w:tc>
        <w:tc>
          <w:tcPr>
            <w:tcW w:w="3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33,324</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16,986</w:t>
            </w:r>
          </w:p>
        </w:tc>
        <w:tc>
          <w:tcPr>
            <w:tcW w:w="3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30,169</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16,869</w:t>
            </w:r>
          </w:p>
        </w:tc>
        <w:tc>
          <w:tcPr>
            <w:tcW w:w="391" w:type="dxa"/>
            <w:tcBorders/>
            <w:shd w:fill="auto" w:val="clear"/>
            <w:vAlign w:val="center"/>
          </w:tcPr>
          <w:p>
            <w:pPr>
              <w:pStyle w:val="TableContents"/>
              <w:spacing w:before="0" w:after="0"/>
              <w:ind w:left="0" w:right="0" w:hanging="0"/>
              <w:jc w:val="left"/>
              <w:rPr/>
            </w:pPr>
            <w:r>
              <w:rPr/>
              <w:t> </w:t>
            </w:r>
          </w:p>
        </w:tc>
      </w:tr>
      <w:tr>
        <w:trPr/>
        <w:tc>
          <w:tcPr>
            <w:tcW w:w="3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15,712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9,191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83,037</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45,704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Capitalized software development costs excluded from stock-based compensation expense is $4.6</w:t>
      </w:r>
      <w:r>
        <w:rPr>
          <w:rFonts w:ascii="Times New Roman" w:hAnsi="Times New Roman"/>
          <w:sz w:val="20"/>
        </w:rPr>
        <w:t xml:space="preserve"> </w:t>
      </w:r>
      <w:r>
        <w:rPr>
          <w:rFonts w:ascii="Times New Roman;serif" w:hAnsi="Times New Roman;serif"/>
          <w:b w:val="false"/>
          <w:sz w:val="20"/>
        </w:rPr>
        <w:t>million for the three months ended March 31, 2023 and $1.6</w:t>
      </w:r>
      <w:r>
        <w:rPr>
          <w:rFonts w:ascii="Times New Roman" w:hAnsi="Times New Roman"/>
          <w:sz w:val="20"/>
        </w:rPr>
        <w:t xml:space="preserve"> </w:t>
      </w:r>
      <w:r>
        <w:rPr>
          <w:rFonts w:ascii="Times New Roman;serif" w:hAnsi="Times New Roman;serif"/>
          <w:b w:val="false"/>
          <w:sz w:val="20"/>
        </w:rPr>
        <w:t>million for the three months ended March 31, 2022. Also excluded in the three months ended March 31, 2023 is $1.0</w:t>
      </w:r>
      <w:r>
        <w:rPr>
          <w:rFonts w:ascii="Times New Roman" w:hAnsi="Times New Roman"/>
          <w:sz w:val="20"/>
        </w:rPr>
        <w:t xml:space="preserve"> </w:t>
      </w:r>
      <w:r>
        <w:rPr>
          <w:rFonts w:ascii="Times New Roman;serif" w:hAnsi="Times New Roman;serif"/>
          <w:b w:val="false"/>
          <w:sz w:val="20"/>
        </w:rPr>
        <w:t>million of stock-based compensation expense incurred in connection with the Restructuring Plan. See Note 14 for more details.</w:t>
      </w:r>
      <w:r>
        <w:rPr>
          <w:rFonts w:ascii="Times New Roman" w:hAnsi="Times New Roman"/>
          <w:sz w:val="20"/>
        </w:rPr>
        <w:t xml:space="preserve"> </w:t>
      </w:r>
    </w:p>
    <w:p>
      <w:pPr>
        <w:pStyle w:val="TextBody"/>
        <w:spacing w:before="200" w:after="0"/>
        <w:jc w:val="left"/>
        <w:rPr>
          <w:rFonts w:ascii="Times New Roman;serif" w:hAnsi="Times New Roman;serif"/>
          <w:b/>
          <w:sz w:val="20"/>
        </w:rPr>
      </w:pPr>
      <w:r>
        <w:rPr>
          <w:rFonts w:ascii="Times New Roman;serif" w:hAnsi="Times New Roman;serif"/>
          <w:b/>
          <w:sz w:val="20"/>
        </w:rPr>
        <w:t>13. Segment Information and Geographic Data</w:t>
      </w:r>
    </w:p>
    <w:p>
      <w:pPr>
        <w:pStyle w:val="TextBody"/>
        <w:spacing w:before="200" w:after="0"/>
        <w:jc w:val="left"/>
        <w:rPr>
          <w:rFonts w:ascii="Times New Roman" w:hAnsi="Times New Roman"/>
          <w:sz w:val="20"/>
        </w:rPr>
      </w:pPr>
      <w:r>
        <w:rPr>
          <w:rFonts w:ascii="Times New Roman;serif" w:hAnsi="Times New Roman;serif"/>
          <w:b w:val="false"/>
          <w:sz w:val="20"/>
        </w:rPr>
        <w:t>The Company operates as one</w:t>
      </w:r>
      <w:r>
        <w:rPr>
          <w:rFonts w:ascii="Times New Roman" w:hAnsi="Times New Roman"/>
          <w:sz w:val="20"/>
        </w:rPr>
        <w:t xml:space="preserve"> </w:t>
      </w:r>
      <w:r>
        <w:rPr>
          <w:rFonts w:ascii="Times New Roman;serif" w:hAnsi="Times New Roman;serif"/>
          <w:b w:val="false"/>
          <w:sz w:val="20"/>
        </w:rPr>
        <w:t>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 statements. Revenue and long-lived assets by geographic region, based on the physical location of the operations recording the sale or the asset, are as follows: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Revenues by geographical region:</w:t>
      </w:r>
    </w:p>
    <w:tbl>
      <w:tblPr>
        <w:tblW w:w="6659" w:type="dxa"/>
        <w:jc w:val="left"/>
        <w:tblInd w:w="0" w:type="dxa"/>
        <w:tblCellMar>
          <w:top w:w="28" w:type="dxa"/>
          <w:left w:w="28" w:type="dxa"/>
          <w:bottom w:w="28" w:type="dxa"/>
          <w:right w:w="28" w:type="dxa"/>
        </w:tblCellMar>
      </w:tblPr>
      <w:tblGrid>
        <w:gridCol w:w="3721"/>
        <w:gridCol w:w="146"/>
        <w:gridCol w:w="211"/>
        <w:gridCol w:w="781"/>
        <w:gridCol w:w="271"/>
        <w:gridCol w:w="146"/>
        <w:gridCol w:w="211"/>
        <w:gridCol w:w="781"/>
        <w:gridCol w:w="391"/>
      </w:tblGrid>
      <w:tr>
        <w:trPr/>
        <w:tc>
          <w:tcPr>
            <w:tcW w:w="3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7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307,822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242,027</w:t>
            </w:r>
          </w:p>
        </w:tc>
        <w:tc>
          <w:tcPr>
            <w:tcW w:w="391" w:type="dxa"/>
            <w:tcBorders/>
            <w:shd w:fill="auto" w:val="clear"/>
            <w:vAlign w:val="center"/>
          </w:tcPr>
          <w:p>
            <w:pPr>
              <w:pStyle w:val="TableContents"/>
              <w:spacing w:before="0" w:after="0"/>
              <w:ind w:left="0" w:right="0" w:hanging="0"/>
              <w:jc w:val="left"/>
              <w:rPr/>
            </w:pPr>
            <w:r>
              <w:rPr/>
              <w:t> </w:t>
            </w:r>
          </w:p>
        </w:tc>
      </w:tr>
      <w:tr>
        <w:trPr/>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150,839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119,189</w:t>
            </w:r>
          </w:p>
        </w:tc>
        <w:tc>
          <w:tcPr>
            <w:tcW w:w="391" w:type="dxa"/>
            <w:tcBorders/>
            <w:shd w:fill="auto" w:val="clear"/>
            <w:vAlign w:val="center"/>
          </w:tcPr>
          <w:p>
            <w:pPr>
              <w:pStyle w:val="TableContents"/>
              <w:spacing w:before="0" w:after="0"/>
              <w:ind w:left="0" w:right="0" w:hanging="0"/>
              <w:jc w:val="left"/>
              <w:rPr/>
            </w:pPr>
            <w:r>
              <w:rPr/>
              <w:t> </w:t>
            </w:r>
          </w:p>
        </w:tc>
      </w:tr>
      <w:tr>
        <w:trPr/>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 Pacific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42,959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34,383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7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501,620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395,599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Percentage of revenues generated outside of </w:t>
              <w:br/>
              <w:t>  the Americas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 w:hAnsi="Times New Roman"/>
          <w:sz w:val="20"/>
        </w:rPr>
      </w:pPr>
      <w:r>
        <w:rPr>
          <w:rFonts w:ascii="Times New Roman;serif" w:hAnsi="Times New Roman;serif"/>
          <w:b w:val="false"/>
          <w:sz w:val="20"/>
        </w:rPr>
        <w:t>Revenue derived from customers outside the United States (international) was approximately 46%</w:t>
      </w:r>
      <w:r>
        <w:rPr>
          <w:rFonts w:ascii="Times New Roman" w:hAnsi="Times New Roman"/>
          <w:sz w:val="20"/>
        </w:rPr>
        <w:t xml:space="preserve"> </w:t>
      </w:r>
      <w:r>
        <w:rPr>
          <w:rFonts w:ascii="Times New Roman;serif" w:hAnsi="Times New Roman;serif"/>
          <w:b w:val="false"/>
          <w:sz w:val="20"/>
        </w:rPr>
        <w:t>of total revenue in the three months ended March 31, 2023 and 2022.</w:t>
      </w:r>
    </w:p>
    <w:p>
      <w:pPr>
        <w:pStyle w:val="TextBody"/>
        <w:spacing w:before="200" w:after="0"/>
        <w:jc w:val="left"/>
        <w:rPr>
          <w:rFonts w:ascii="Times New Roman" w:hAnsi="Times New Roman"/>
          <w:sz w:val="20"/>
        </w:rPr>
      </w:pPr>
      <w:r>
        <w:rPr>
          <w:rFonts w:ascii="Times New Roman;serif" w:hAnsi="Times New Roman;serif"/>
          <w:b w:val="false"/>
          <w:sz w:val="20"/>
        </w:rPr>
        <w:t>Total long-lived assets by geographical region:</w:t>
        <w:br/>
      </w:r>
      <w:r>
        <w:rPr>
          <w:rFonts w:ascii="Times New Roman" w:hAnsi="Times New Roman"/>
          <w:sz w:val="20"/>
        </w:rPr>
        <w:t> </w:t>
      </w:r>
    </w:p>
    <w:tbl>
      <w:tblPr>
        <w:tblW w:w="9535" w:type="dxa"/>
        <w:jc w:val="left"/>
        <w:tblInd w:w="0" w:type="dxa"/>
        <w:tblCellMar>
          <w:top w:w="28" w:type="dxa"/>
          <w:left w:w="28" w:type="dxa"/>
          <w:bottom w:w="28" w:type="dxa"/>
          <w:right w:w="28" w:type="dxa"/>
        </w:tblCellMar>
      </w:tblPr>
      <w:tblGrid>
        <w:gridCol w:w="4981"/>
        <w:gridCol w:w="146"/>
        <w:gridCol w:w="357"/>
        <w:gridCol w:w="1323"/>
        <w:gridCol w:w="271"/>
        <w:gridCol w:w="146"/>
        <w:gridCol w:w="408"/>
        <w:gridCol w:w="1512"/>
        <w:gridCol w:w="391"/>
      </w:tblGrid>
      <w:tr>
        <w:trPr/>
        <w:tc>
          <w:tcPr>
            <w:tcW w:w="49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17"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Americas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289,138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290,977</w:t>
            </w:r>
          </w:p>
        </w:tc>
        <w:tc>
          <w:tcPr>
            <w:tcW w:w="3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3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120,535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shd w:fill="auto" w:val="clear"/>
            <w:vAlign w:val="center"/>
          </w:tcPr>
          <w:p>
            <w:pPr>
              <w:pStyle w:val="TableContents"/>
              <w:spacing w:before="0" w:after="0"/>
              <w:ind w:left="0" w:right="0" w:hanging="0"/>
              <w:jc w:val="left"/>
              <w:rPr/>
            </w:pPr>
            <w:r>
              <w:rPr/>
              <w:t> </w:t>
            </w:r>
          </w:p>
        </w:tc>
        <w:tc>
          <w:tcPr>
            <w:tcW w:w="1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123,311</w:t>
            </w:r>
          </w:p>
        </w:tc>
        <w:tc>
          <w:tcPr>
            <w:tcW w:w="3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 Pacific</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7,387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10,243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9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long-lived assets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417,060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424,531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Percentage of long-lived assets held outside of the Americas</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0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14. Restructuring Plan</w:t>
      </w:r>
    </w:p>
    <w:p>
      <w:pPr>
        <w:pStyle w:val="TextBody"/>
        <w:spacing w:before="200" w:after="0"/>
        <w:jc w:val="left"/>
        <w:rPr>
          <w:rFonts w:ascii="Times New Roman" w:hAnsi="Times New Roman"/>
          <w:sz w:val="20"/>
        </w:rPr>
      </w:pPr>
      <w:r>
        <w:rPr>
          <w:rFonts w:ascii="Times New Roman;serif" w:hAnsi="Times New Roman;serif"/>
          <w:b w:val="false"/>
          <w:sz w:val="20"/>
        </w:rPr>
        <w:t>On January 25, 2023, the Company's board of directors authorized a restructuring plan (the “Restructuring Plan”) that is designed to reduce operating costs and enable investment in key opportunities for long-term growth while driving continued profitability. The Restructuring Plan includes a reduction of the Company’s workforce by approximately 7% and a global lease consolidation to create higher density across our workspaces.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In the three months ended March 31, 2023, the Company incurred $28.6</w:t>
      </w:r>
      <w:r>
        <w:rPr>
          <w:rFonts w:ascii="Times New Roman" w:hAnsi="Times New Roman"/>
          <w:sz w:val="20"/>
        </w:rPr>
        <w:t xml:space="preserve"> </w:t>
      </w:r>
      <w:r>
        <w:rPr>
          <w:rFonts w:ascii="Times New Roman;serif" w:hAnsi="Times New Roman;serif"/>
          <w:b w:val="false"/>
          <w:sz w:val="20"/>
        </w:rPr>
        <w:t>million of restructuring charges, primarily composed of $26.8</w:t>
      </w:r>
      <w:r>
        <w:rPr>
          <w:rFonts w:ascii="Times New Roman" w:hAnsi="Times New Roman"/>
          <w:sz w:val="20"/>
        </w:rPr>
        <w:t xml:space="preserve"> </w:t>
      </w:r>
      <w:r>
        <w:rPr>
          <w:rFonts w:ascii="Times New Roman;serif" w:hAnsi="Times New Roman;serif"/>
          <w:b w:val="false"/>
          <w:sz w:val="20"/>
        </w:rPr>
        <w:t>million for severance, employee related benefits, and other costs, including</w:t>
      </w:r>
      <w:r>
        <w:rPr>
          <w:rFonts w:ascii="Times New Roman" w:hAnsi="Times New Roman"/>
          <w:sz w:val="20"/>
        </w:rPr>
        <w:t xml:space="preserve"> </w:t>
      </w:r>
      <w:r>
        <w:rPr>
          <w:rFonts w:ascii="Times New Roman;serif" w:hAnsi="Times New Roman;serif"/>
          <w:b w:val="false"/>
          <w:sz w:val="20"/>
        </w:rPr>
        <w:t>$1.0</w:t>
      </w:r>
      <w:r>
        <w:rPr>
          <w:rFonts w:ascii="Times New Roman" w:hAnsi="Times New Roman"/>
          <w:sz w:val="20"/>
        </w:rPr>
        <w:t xml:space="preserve"> </w:t>
      </w:r>
      <w:r>
        <w:rPr>
          <w:rFonts w:ascii="Times New Roman;serif" w:hAnsi="Times New Roman;serif"/>
          <w:b w:val="false"/>
          <w:sz w:val="20"/>
        </w:rPr>
        <w:t>million of stock-based compensation expense, and</w:t>
      </w:r>
      <w:r>
        <w:rPr>
          <w:rFonts w:ascii="Times New Roman" w:hAnsi="Times New Roman"/>
          <w:sz w:val="20"/>
        </w:rPr>
        <w:t xml:space="preserve"> </w:t>
      </w:r>
      <w:r>
        <w:rPr>
          <w:rFonts w:ascii="Times New Roman;serif" w:hAnsi="Times New Roman;serif"/>
          <w:b w:val="false"/>
          <w:sz w:val="20"/>
        </w:rPr>
        <w:t>$1.8</w:t>
      </w:r>
      <w:r>
        <w:rPr>
          <w:rFonts w:ascii="Times New Roman" w:hAnsi="Times New Roman"/>
          <w:sz w:val="20"/>
        </w:rPr>
        <w:t xml:space="preserve"> </w:t>
      </w:r>
      <w:r>
        <w:rPr>
          <w:rFonts w:ascii="Times New Roman;serif" w:hAnsi="Times New Roman;serif"/>
          <w:b w:val="false"/>
          <w:sz w:val="20"/>
        </w:rPr>
        <w:t>million related to facilities. The charges were recorded to the restructuring line item within the consolidated statements of operations.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 xml:space="preserve">The following table summarizes the Company's restructuring liabilities, which is recorded in current liabilities, as of March 31, 2023. The Company expects to make most payments associated with these restructuring costs in the second quarter of 2023. </w:t>
        <w:br/>
      </w:r>
      <w:r>
        <w:rPr>
          <w:rFonts w:ascii="Times New Roman" w:hAnsi="Times New Roman"/>
          <w:sz w:val="20"/>
        </w:rPr>
        <w:t> </w:t>
      </w:r>
    </w:p>
    <w:tbl>
      <w:tblPr>
        <w:tblW w:w="5443" w:type="dxa"/>
        <w:jc w:val="left"/>
        <w:tblInd w:w="0" w:type="dxa"/>
        <w:tblCellMar>
          <w:top w:w="28" w:type="dxa"/>
          <w:left w:w="28" w:type="dxa"/>
          <w:bottom w:w="28" w:type="dxa"/>
          <w:right w:w="28" w:type="dxa"/>
        </w:tblCellMar>
      </w:tblPr>
      <w:tblGrid>
        <w:gridCol w:w="3196"/>
        <w:gridCol w:w="146"/>
        <w:gridCol w:w="380"/>
        <w:gridCol w:w="1330"/>
        <w:gridCol w:w="391"/>
      </w:tblGrid>
      <w:tr>
        <w:trPr/>
        <w:tc>
          <w:tcPr>
            <w:tcW w:w="3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Restructuring liability</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 at January 1, 2023</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0"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1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Charges</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shd w:fill="auto" w:val="clear"/>
            <w:vAlign w:val="center"/>
          </w:tcPr>
          <w:p>
            <w:pPr>
              <w:pStyle w:val="TableContents"/>
              <w:spacing w:before="0" w:after="0"/>
              <w:ind w:left="0" w:right="0" w:hanging="0"/>
              <w:jc w:val="left"/>
              <w:rPr/>
            </w:pPr>
            <w:r>
              <w:rPr/>
              <w:t> </w:t>
            </w:r>
          </w:p>
        </w:tc>
        <w:tc>
          <w:tcPr>
            <w:tcW w:w="13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25,793</w:t>
            </w:r>
          </w:p>
        </w:tc>
        <w:tc>
          <w:tcPr>
            <w:tcW w:w="391" w:type="dxa"/>
            <w:tcBorders/>
            <w:shd w:fill="auto" w:val="clear"/>
            <w:vAlign w:val="center"/>
          </w:tcPr>
          <w:p>
            <w:pPr>
              <w:pStyle w:val="TableContents"/>
              <w:spacing w:before="0" w:after="0"/>
              <w:ind w:left="0" w:right="0" w:firstLine="200"/>
              <w:jc w:val="left"/>
              <w:rPr/>
            </w:pPr>
            <w:r>
              <w:rPr/>
              <w:t> </w:t>
            </w:r>
          </w:p>
        </w:tc>
      </w:tr>
      <w:tr>
        <w:trPr/>
        <w:tc>
          <w:tcPr>
            <w:tcW w:w="31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(21,903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3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The Company expects to make most payments associated with these restructuring costs in the second quarter of 2023. The actions associated with the workforce reduction under the Restructuring Plan are expected to be complete by the end of the second quarter of 2023, subject to local law and consultation requirements. The actions associated with the global lease consolidation under the Restructuring Plan are expected to be fully completed in 2023. The Company estimates that it will incur additional charges of approximately $62.0</w:t>
      </w:r>
      <w:r>
        <w:rPr>
          <w:rFonts w:ascii="Times New Roman" w:hAnsi="Times New Roman"/>
          <w:sz w:val="20"/>
        </w:rPr>
        <w:t xml:space="preserve"> </w:t>
      </w:r>
      <w:r>
        <w:rPr>
          <w:rFonts w:ascii="Times New Roman;serif" w:hAnsi="Times New Roman;serif"/>
          <w:b w:val="false"/>
          <w:sz w:val="20"/>
        </w:rPr>
        <w:t>million to $69.0</w:t>
      </w:r>
      <w:r>
        <w:rPr>
          <w:rFonts w:ascii="Times New Roman" w:hAnsi="Times New Roman"/>
          <w:sz w:val="20"/>
        </w:rPr>
        <w:t xml:space="preserve"> </w:t>
      </w:r>
      <w:r>
        <w:rPr>
          <w:rFonts w:ascii="Times New Roman;serif" w:hAnsi="Times New Roman;serif"/>
          <w:b w:val="false"/>
          <w:sz w:val="20"/>
        </w:rPr>
        <w:t>million, majority of which relates to lease consolidation.</w:t>
        <w:br/>
        <w:br/>
      </w:r>
      <w:r>
        <w:rPr>
          <w:rFonts w:ascii="Times New Roman" w:hAnsi="Times New Roman"/>
          <w:sz w:val="20"/>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bookmarkStart w:id="9" w:name="item_2_managements_discussion_analysis_f"/>
      <w:bookmarkEnd w:id="9"/>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2022 filed with the SEC on February 16, 2023.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pStyle w:val="TextBody"/>
        <w:spacing w:before="200" w:after="0"/>
        <w:jc w:val="left"/>
        <w:rPr>
          <w:rFonts w:ascii="Times New Roman;serif" w:hAnsi="Times New Roman;serif"/>
          <w:b/>
          <w:sz w:val="20"/>
        </w:rPr>
      </w:pPr>
      <w:r>
        <w:rPr>
          <w:rFonts w:ascii="Times New Roman;serif" w:hAnsi="Times New Roman;serif"/>
          <w:b/>
          <w:sz w:val="20"/>
        </w:rPr>
        <w:t>Company Overview</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provide a cloud-based customer relationship management (“CRM”) Platform. Our CRM Platform is comprised of Marketing Hub, Sales Hub, Service Hub, content management system ("CMS") Hub, and Operations Hub as well as other tools, integrations, and a native payment solution that enable companies to attract, engage, and delight customers throughout the customer experience.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At the core of our CRM Platform is our CRM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Our CRM Platform was built to easily and seamlessly integrate third-party applications to further customize to an individual company’s industry or needs. In addition, an end-to-end payment solution, Payments, is built within our CRM Platform which enables customers to streamline their payment process. We designed and built our CRM Platform to serve a broad range of customers globally.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pStyle w:val="TextBody"/>
        <w:spacing w:before="200" w:after="0"/>
        <w:jc w:val="left"/>
        <w:rPr>
          <w:rFonts w:ascii="Times New Roman" w:hAnsi="Times New Roman"/>
          <w:sz w:val="20"/>
        </w:rPr>
      </w:pPr>
      <w:r>
        <w:rPr>
          <w:rFonts w:ascii="Times New Roman;serif" w:hAnsi="Times New Roman;serif"/>
          <w:b w:val="false"/>
          <w:sz w:val="20"/>
        </w:rPr>
        <w:t>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As of March 31, 2023, we had 7,055 full-time employees and 177,298 Customers of varying sizes in more than 120 countries, representing many industries.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derive most of our revenue from subscriptions to our cloud-based CRM Platform and related professional services, which consist of customer on-boarding, training and consulting services. Subscription revenue accounted for 98% of our total revenue for the three months ended March 31, 2023 and 97% of our total revenue for the three months ended March 31, 2022.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pStyle w:val="TextBody"/>
        <w:spacing w:before="200" w:after="0"/>
        <w:jc w:val="left"/>
        <w:rPr>
          <w:rFonts w:ascii="Times New Roman" w:hAnsi="Times New Roman"/>
          <w:sz w:val="20"/>
        </w:rPr>
      </w:pPr>
      <w:r>
        <w:rPr>
          <w:rFonts w:ascii="Times New Roman;serif" w:hAnsi="Times New Roman;serif"/>
          <w:b w:val="false"/>
          <w:sz w:val="20"/>
        </w:rPr>
        <w:t>Many of our customers purchase on-boarding, training, and consulting services, and utilize other tools and Payments, which are designed to help customers enhance their ability to attract, engage and delight their customers using our CRM Platform. We also generate revenue from a number of revenue-share agreements with other companies based on mutually agreed upon terms. Professional services and other revenue accounted for 2% of total revenue for three months ended March 31, 2023 and 3% of our total revenue for the three months ended March 31, 2022.</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We have focused on rapidly growing our business and plan to continue to make investments to help us address some of the challenges facing us to support this growth, such as demand for our CRM Platform by existing and new customers, significant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competition from other providers of marketing, sales, customer service, operations, and content management software and related applications and rapid technological change in our industry.</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 xml:space="preserve">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CRM Platform. We intend to maintain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to fund these growth strategies and support our business and do not expect to be profitable in the near term. </w:t>
        <w:br/>
        <w:br/>
        <w:br/>
        <w:br/>
        <w:br/>
      </w:r>
      <w:r>
        <w:rPr>
          <w:rFonts w:ascii="Times New Roman;serif" w:hAnsi="Times New Roman;serif"/>
          <w:b/>
          <w:sz w:val="20"/>
        </w:rPr>
        <w:t>Global Economic Conditions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Our results of operations can be significantly influenced by general macroeconomic conditions, including, but not limited to, the impact of the COVID-19 pandemic, foreign currency fluctuations, interest rates, inflation, recession risks, existing and new domestic and foreign laws and regulations, all of which are beyond our control. Fluctuations in foreign exchange rates and rising inflation has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the section titled “Risk Factors'' included under Part II, Item 1A below for further discussion of the possible impact of these factors and other risks on our business.</w:t>
        <w:br/>
        <w:br/>
        <w:br/>
        <w:br/>
      </w:r>
      <w:r>
        <w:rPr>
          <w:rFonts w:ascii="Times New Roman" w:hAnsi="Times New Roman"/>
          <w:sz w:val="20"/>
        </w:rPr>
        <w:t> </w:t>
      </w:r>
    </w:p>
    <w:p>
      <w:pPr>
        <w:pStyle w:val="TextBody"/>
        <w:spacing w:before="0" w:after="0"/>
        <w:jc w:val="left"/>
        <w:rPr/>
      </w:pPr>
      <w:r>
        <w:rPr/>
        <w:t> </w:t>
      </w:r>
    </w:p>
    <w:p>
      <w:pPr>
        <w:pStyle w:val="TextBody"/>
        <w:spacing w:before="200" w:after="0"/>
        <w:jc w:val="left"/>
        <w:rPr/>
      </w:pPr>
      <w:r>
        <w:rPr/>
        <w:t> </w:t>
      </w:r>
    </w:p>
    <w:p>
      <w:pPr>
        <w:pStyle w:val="TextBody"/>
        <w:spacing w:before="200" w:after="0"/>
        <w:jc w:val="left"/>
        <w:rPr/>
      </w:pPr>
      <w:r>
        <w:rPr/>
        <w:t> </w:t>
      </w:r>
    </w:p>
    <w:p>
      <w:pPr>
        <w:pStyle w:val="TextBody"/>
        <w:spacing w:before="20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Results of Operations for the Three Months Ended March 31, 2023 and 2022</w:t>
      </w:r>
    </w:p>
    <w:p>
      <w:pPr>
        <w:pStyle w:val="TextBody"/>
        <w:spacing w:before="200" w:after="0"/>
        <w:jc w:val="left"/>
        <w:rPr>
          <w:rFonts w:ascii="Times New Roman" w:hAnsi="Times New Roman"/>
          <w:sz w:val="20"/>
        </w:rPr>
      </w:pPr>
      <w:r>
        <w:rPr>
          <w:rFonts w:ascii="Times New Roman;serif" w:hAnsi="Times New Roman;serif"/>
          <w:b w:val="false"/>
          <w:sz w:val="20"/>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r>
        <w:rPr>
          <w:rFonts w:ascii="Times New Roman" w:hAnsi="Times New Roman"/>
          <w:sz w:val="20"/>
        </w:rPr>
        <w:t xml:space="preserve"> </w:t>
      </w:r>
    </w:p>
    <w:tbl>
      <w:tblPr>
        <w:tblW w:w="5934" w:type="dxa"/>
        <w:jc w:val="left"/>
        <w:tblInd w:w="0" w:type="dxa"/>
        <w:tblCellMar>
          <w:top w:w="28" w:type="dxa"/>
          <w:left w:w="28" w:type="dxa"/>
          <w:bottom w:w="28" w:type="dxa"/>
          <w:right w:w="28" w:type="dxa"/>
        </w:tblCellMar>
      </w:tblPr>
      <w:tblGrid>
        <w:gridCol w:w="2701"/>
        <w:gridCol w:w="146"/>
        <w:gridCol w:w="211"/>
        <w:gridCol w:w="781"/>
        <w:gridCol w:w="166"/>
        <w:gridCol w:w="146"/>
        <w:gridCol w:w="211"/>
        <w:gridCol w:w="781"/>
        <w:gridCol w:w="79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489,743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384,956</w:t>
            </w:r>
          </w:p>
        </w:tc>
        <w:tc>
          <w:tcPr>
            <w:tcW w:w="79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10,643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270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501,620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395,599</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68,339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59,384</w:t>
            </w:r>
          </w:p>
        </w:tc>
        <w:tc>
          <w:tcPr>
            <w:tcW w:w="79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13,552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2701"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cost of 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82,046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72,936</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419,574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322,663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92,736</w:t>
            </w:r>
          </w:p>
        </w:tc>
        <w:tc>
          <w:tcPr>
            <w:tcW w:w="79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250,683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197,134</w:t>
            </w:r>
          </w:p>
        </w:tc>
        <w:tc>
          <w:tcPr>
            <w:tcW w:w="79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43,947</w:t>
            </w:r>
          </w:p>
        </w:tc>
        <w:tc>
          <w:tcPr>
            <w:tcW w:w="79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70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464,341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333,817</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(11,154</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79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w:t>
            </w:r>
          </w:p>
        </w:tc>
        <w:tc>
          <w:tcPr>
            <w:tcW w:w="7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70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3,257</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(7,897</w:t>
            </w:r>
          </w:p>
        </w:tc>
        <w:tc>
          <w:tcPr>
            <w:tcW w:w="79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(38,282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(9,341</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tbl>
      <w:tblPr>
        <w:tblW w:w="5069" w:type="dxa"/>
        <w:jc w:val="left"/>
        <w:tblInd w:w="0" w:type="dxa"/>
        <w:tblCellMar>
          <w:top w:w="28" w:type="dxa"/>
          <w:left w:w="28" w:type="dxa"/>
          <w:bottom w:w="28" w:type="dxa"/>
          <w:right w:w="28" w:type="dxa"/>
        </w:tblCellMar>
      </w:tblPr>
      <w:tblGrid>
        <w:gridCol w:w="2701"/>
        <w:gridCol w:w="146"/>
        <w:gridCol w:w="146"/>
        <w:gridCol w:w="421"/>
        <w:gridCol w:w="331"/>
        <w:gridCol w:w="146"/>
        <w:gridCol w:w="146"/>
        <w:gridCol w:w="421"/>
        <w:gridCol w:w="61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3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70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3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Subscription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61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services and other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70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33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61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61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61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Restructuring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70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Percentages are based on actual values. Totals may not sum due to rounding.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Three Months Ended March 31, 2023 Compared to the Three Months Ended March 31, 2022</w:t>
      </w:r>
    </w:p>
    <w:p>
      <w:pPr>
        <w:pStyle w:val="TextBody"/>
        <w:spacing w:before="20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r>
        <w:rPr>
          <w:rFonts w:ascii="Times New Roman;serif" w:hAnsi="Times New Roman;serif"/>
          <w:b w:val="false"/>
          <w:sz w:val="20"/>
        </w:rPr>
        <w:br/>
      </w:r>
      <w:r>
        <w:rPr>
          <w:rFonts w:ascii="Times New Roman" w:hAnsi="Times New Roman"/>
          <w:sz w:val="20"/>
        </w:rPr>
        <w:t> </w:t>
      </w:r>
    </w:p>
    <w:tbl>
      <w:tblPr>
        <w:tblW w:w="8196" w:type="dxa"/>
        <w:jc w:val="left"/>
        <w:tblInd w:w="0" w:type="dxa"/>
        <w:tblCellMar>
          <w:top w:w="28" w:type="dxa"/>
          <w:left w:w="28" w:type="dxa"/>
          <w:bottom w:w="28" w:type="dxa"/>
          <w:right w:w="28" w:type="dxa"/>
        </w:tblCellMar>
      </w:tblPr>
      <w:tblGrid>
        <w:gridCol w:w="2611"/>
        <w:gridCol w:w="146"/>
        <w:gridCol w:w="211"/>
        <w:gridCol w:w="781"/>
        <w:gridCol w:w="146"/>
        <w:gridCol w:w="146"/>
        <w:gridCol w:w="211"/>
        <w:gridCol w:w="781"/>
        <w:gridCol w:w="146"/>
        <w:gridCol w:w="146"/>
        <w:gridCol w:w="211"/>
        <w:gridCol w:w="781"/>
        <w:gridCol w:w="146"/>
        <w:gridCol w:w="146"/>
        <w:gridCol w:w="275"/>
        <w:gridCol w:w="596"/>
        <w:gridCol w:w="7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716" w:type="dxa"/>
            <w:tcBorders/>
            <w:shd w:fill="auto" w:val="cle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Revenues: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firstLine="200"/>
              <w:jc w:val="left"/>
              <w:rPr/>
            </w:pPr>
            <w:r>
              <w:rPr/>
              <w:t> </w:t>
            </w:r>
          </w:p>
        </w:tc>
      </w:tr>
      <w:tr>
        <w:trPr/>
        <w:tc>
          <w:tcPr>
            <w:tcW w:w="2611"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Subscription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489,743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384,956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104,787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27</w:t>
            </w:r>
          </w:p>
        </w:tc>
        <w:tc>
          <w:tcPr>
            <w:tcW w:w="716"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2611"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Professional services and 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11,877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10,643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w:t>
            </w:r>
          </w:p>
        </w:tc>
        <w:tc>
          <w:tcPr>
            <w:tcW w:w="716" w:type="dxa"/>
            <w:tcBorders/>
            <w:shd w:fill="auto" w:val="clear"/>
            <w:vAlign w:val="center"/>
          </w:tcPr>
          <w:p>
            <w:pPr>
              <w:pStyle w:val="TableContents"/>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2611"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501,620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395,599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106,021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27</w:t>
            </w:r>
          </w:p>
        </w:tc>
        <w:tc>
          <w:tcPr>
            <w:tcW w:w="7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bl>
    <w:p>
      <w:pPr>
        <w:pStyle w:val="TextBody"/>
        <w:spacing w:before="200" w:after="0"/>
        <w:jc w:val="left"/>
        <w:rPr>
          <w:rFonts w:ascii="Times New Roman" w:hAnsi="Times New Roman"/>
          <w:sz w:val="20"/>
        </w:rPr>
      </w:pPr>
      <w:r>
        <w:rPr>
          <w:rFonts w:ascii="Times New Roman;serif" w:hAnsi="Times New Roman;serif"/>
          <w:b w:val="false"/>
          <w:sz w:val="20"/>
        </w:rPr>
        <w:t>Subscription revenue increased during the three months ended March 31, 2023 compared to the same period in 2022 primarily due to the increase in Customers, which grew from 143,689 as of March 31, 2022 to 177,298 as of March 31, 2023. Average Subscription Revenue per Customer increased from $11,030 for the three months ended March 31, 2022 to $11,365 for the three months ended March 31, 2023. The growth in Customers was primarily driven by increased demand for our lower-priced Starter products. The increase in Average Subscription Revenue per Customer was primarily driven by a continued demand for our Professional and Enterprise products, offset by continued purchases of our lower-priced Starter products and the impact of foreign currency translation primarily attributable to the decline in the value of the Euro and British Pound Sterling relative to the U.S. Dollar.</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Professional services and other revenue increased during the three months ended March 31, 2023 compared to the same period in 2022 primarily due to increase in overall services revenue from onboarding and fees earned from other revenue streams.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i/>
          <w:sz w:val="20"/>
        </w:rPr>
        <w:t xml:space="preserve">Cost of Revenue, Gross Profit and Gross Margin Percentage </w:t>
      </w:r>
      <w:r>
        <w:rPr>
          <w:rFonts w:ascii="Times New Roman;serif" w:hAnsi="Times New Roman;serif"/>
          <w:b w:val="false"/>
          <w:sz w:val="20"/>
        </w:rPr>
        <w:br/>
      </w:r>
      <w:r>
        <w:rPr>
          <w:rFonts w:ascii="Times New Roman" w:hAnsi="Times New Roman"/>
          <w:sz w:val="20"/>
        </w:rPr>
        <w:t> </w:t>
      </w:r>
    </w:p>
    <w:tbl>
      <w:tblPr>
        <w:tblW w:w="6876" w:type="dxa"/>
        <w:jc w:val="left"/>
        <w:tblInd w:w="0" w:type="dxa"/>
        <w:tblCellMar>
          <w:top w:w="28" w:type="dxa"/>
          <w:left w:w="28" w:type="dxa"/>
          <w:bottom w:w="28" w:type="dxa"/>
          <w:right w:w="28" w:type="dxa"/>
        </w:tblCellMar>
      </w:tblPr>
      <w:tblGrid>
        <w:gridCol w:w="1891"/>
        <w:gridCol w:w="146"/>
        <w:gridCol w:w="196"/>
        <w:gridCol w:w="691"/>
        <w:gridCol w:w="256"/>
        <w:gridCol w:w="146"/>
        <w:gridCol w:w="196"/>
        <w:gridCol w:w="691"/>
        <w:gridCol w:w="256"/>
        <w:gridCol w:w="146"/>
        <w:gridCol w:w="196"/>
        <w:gridCol w:w="601"/>
        <w:gridCol w:w="146"/>
        <w:gridCol w:w="146"/>
        <w:gridCol w:w="294"/>
        <w:gridCol w:w="577"/>
        <w:gridCol w:w="301"/>
      </w:tblGrid>
      <w:tr>
        <w:trPr/>
        <w:tc>
          <w:tcPr>
            <w:tcW w:w="1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18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301" w:type="dxa"/>
            <w:tcBorders/>
            <w:shd w:fill="auto" w:val="clear"/>
            <w:vAlign w:val="center"/>
          </w:tcPr>
          <w:p>
            <w:pPr>
              <w:pStyle w:val="TableContents"/>
              <w:spacing w:before="0" w:after="0"/>
              <w:ind w:left="0" w:right="0" w:hanging="0"/>
              <w:jc w:val="center"/>
              <w:rPr/>
            </w:pPr>
            <w:r>
              <w:rPr/>
              <w:t> </w:t>
            </w:r>
          </w:p>
        </w:tc>
      </w:tr>
      <w:tr>
        <w:trPr/>
        <w:tc>
          <w:tcPr>
            <w:tcW w:w="18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cost of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82,046</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72,936</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9,110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8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Gross profit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419,574</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322,663</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96,911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w:t>
            </w:r>
          </w:p>
        </w:tc>
        <w:tc>
          <w:tcPr>
            <w:tcW w:w="3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8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Gross margin percentage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82</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righ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301" w:type="dxa"/>
            <w:tcBorders/>
            <w:shd w:fill="auto" w:val="clear"/>
            <w:vAlign w:val="center"/>
          </w:tcPr>
          <w:p>
            <w:pPr>
              <w:pStyle w:val="TableContents"/>
              <w:spacing w:before="0" w:after="0"/>
              <w:ind w:left="0" w:right="0" w:hanging="0"/>
              <w:jc w:val="righ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Total cost of revenue for the three months ended March 31, 2023 increased compared to the same period in 2022 primarily due to an increase in subscription and hosting costs, amortization of capitalized software development costs, amortization of acquired technology, offset by decreases in employee-related costs and allocated overhead expenses. The increase in gross margin was primarily driven by benefits from hosting cost efficiencies from infrastructure optimization efforts.</w:t>
        <w:br/>
      </w:r>
      <w:r>
        <w:rPr>
          <w:rFonts w:ascii="Times New Roman" w:hAnsi="Times New Roman"/>
          <w:sz w:val="20"/>
        </w:rPr>
        <w:t> </w:t>
      </w:r>
    </w:p>
    <w:tbl>
      <w:tblPr>
        <w:tblW w:w="8090" w:type="dxa"/>
        <w:jc w:val="left"/>
        <w:tblInd w:w="0" w:type="dxa"/>
        <w:tblCellMar>
          <w:top w:w="28" w:type="dxa"/>
          <w:left w:w="28" w:type="dxa"/>
          <w:bottom w:w="28" w:type="dxa"/>
          <w:right w:w="28" w:type="dxa"/>
        </w:tblCellMar>
      </w:tblPr>
      <w:tblGrid>
        <w:gridCol w:w="2956"/>
        <w:gridCol w:w="146"/>
        <w:gridCol w:w="211"/>
        <w:gridCol w:w="676"/>
        <w:gridCol w:w="271"/>
        <w:gridCol w:w="146"/>
        <w:gridCol w:w="211"/>
        <w:gridCol w:w="676"/>
        <w:gridCol w:w="271"/>
        <w:gridCol w:w="146"/>
        <w:gridCol w:w="226"/>
        <w:gridCol w:w="615"/>
        <w:gridCol w:w="146"/>
        <w:gridCol w:w="146"/>
        <w:gridCol w:w="294"/>
        <w:gridCol w:w="637"/>
        <w:gridCol w:w="316"/>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9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Subscription 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68,339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59,384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Percentage of subscription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The increase in subscription cost of revenue for the three months ended March 31, 2023 compared to the same period in 2022 was primarily due to the following:</w:t>
        <w:br/>
      </w:r>
      <w:r>
        <w:rPr>
          <w:rFonts w:ascii="Times New Roman" w:hAnsi="Times New Roman"/>
          <w:sz w:val="20"/>
        </w:rPr>
        <w:t> </w:t>
      </w:r>
    </w:p>
    <w:tbl>
      <w:tblPr>
        <w:tblW w:w="6118" w:type="dxa"/>
        <w:jc w:val="left"/>
        <w:tblInd w:w="0" w:type="dxa"/>
        <w:tblCellMar>
          <w:top w:w="28" w:type="dxa"/>
          <w:left w:w="28" w:type="dxa"/>
          <w:bottom w:w="28" w:type="dxa"/>
          <w:right w:w="28" w:type="dxa"/>
        </w:tblCellMar>
      </w:tblPr>
      <w:tblGrid>
        <w:gridCol w:w="4636"/>
        <w:gridCol w:w="146"/>
        <w:gridCol w:w="303"/>
        <w:gridCol w:w="822"/>
        <w:gridCol w:w="211"/>
      </w:tblGrid>
      <w:tr>
        <w:trPr/>
        <w:tc>
          <w:tcPr>
            <w:tcW w:w="4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6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shd w:fill="auto" w:val="cle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Subscription and hosting costs</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7,766</w:t>
            </w:r>
          </w:p>
        </w:tc>
        <w:tc>
          <w:tcPr>
            <w:tcW w:w="21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capitalized software development costs</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2,184</w:t>
            </w:r>
          </w:p>
        </w:tc>
        <w:tc>
          <w:tcPr>
            <w:tcW w:w="21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acquired technology</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11" w:type="dxa"/>
            <w:tcBorders/>
            <w:shd w:fill="auto" w:val="clear"/>
            <w:vAlign w:val="center"/>
          </w:tcPr>
          <w:p>
            <w:pPr>
              <w:pStyle w:val="TableContents"/>
              <w:spacing w:before="0" w:after="0"/>
              <w:ind w:left="0" w:right="0" w:hanging="0"/>
              <w:jc w:val="left"/>
              <w:rPr/>
            </w:pPr>
            <w:r>
              <w:rPr/>
              <w:t> </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Employee-related costs</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shd w:fill="auto" w:val="clear"/>
            <w:vAlign w:val="center"/>
          </w:tcPr>
          <w:p>
            <w:pPr>
              <w:pStyle w:val="TableContents"/>
              <w:spacing w:before="0" w:after="0"/>
              <w:ind w:left="0" w:right="0" w:hanging="0"/>
              <w:jc w:val="left"/>
              <w:rPr/>
            </w:pPr>
            <w:r>
              <w:rPr/>
              <w:t> </w:t>
            </w:r>
          </w:p>
        </w:tc>
        <w:tc>
          <w:tcPr>
            <w:tcW w:w="8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Allocated overhead expenses</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8,955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Subscription and hosting costs increased primarily due to growth in our Customer base from 143,689 as of March 31, 2022 to 177,298 as of March 31, 2023. We also saw higher subscription and hosting costs as we continued to focus on the security, reliability and performance of our CRM Platform. Amortization of capitalized software development costs increased due to the increased number of developers working on our software platform as we continued to develop new products and increased functionality. Amortization of acquired technology increased due to certain acquired technology being amortized using a method reflective of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expected economic benefit consumption over the expected useful life of the asset. Employee-related costs decreased as a result of the workforce reduction under the Restructuring Plan. Allocated overhead expenses decreased primarily due to lower cost allocation.</w:t>
      </w:r>
      <w:r>
        <w:rPr>
          <w:rFonts w:ascii="Times New Roman" w:hAnsi="Times New Roman"/>
          <w:sz w:val="20"/>
        </w:rPr>
        <w:t xml:space="preserve"> </w:t>
      </w:r>
    </w:p>
    <w:tbl>
      <w:tblPr>
        <w:tblW w:w="8914" w:type="dxa"/>
        <w:jc w:val="left"/>
        <w:tblInd w:w="0" w:type="dxa"/>
        <w:tblCellMar>
          <w:top w:w="28" w:type="dxa"/>
          <w:left w:w="28" w:type="dxa"/>
          <w:bottom w:w="28" w:type="dxa"/>
          <w:right w:w="28" w:type="dxa"/>
        </w:tblCellMar>
      </w:tblPr>
      <w:tblGrid>
        <w:gridCol w:w="3886"/>
        <w:gridCol w:w="146"/>
        <w:gridCol w:w="211"/>
        <w:gridCol w:w="676"/>
        <w:gridCol w:w="271"/>
        <w:gridCol w:w="146"/>
        <w:gridCol w:w="211"/>
        <w:gridCol w:w="676"/>
        <w:gridCol w:w="271"/>
        <w:gridCol w:w="146"/>
        <w:gridCol w:w="265"/>
        <w:gridCol w:w="531"/>
        <w:gridCol w:w="146"/>
        <w:gridCol w:w="146"/>
        <w:gridCol w:w="355"/>
        <w:gridCol w:w="515"/>
        <w:gridCol w:w="316"/>
      </w:tblGrid>
      <w:tr>
        <w:trPr/>
        <w:tc>
          <w:tcPr>
            <w:tcW w:w="3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8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3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Professional services and other 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13,707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13,552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Percentage of professional services and other</w:t>
              <w:br/>
              <w: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 xml:space="preserve">The increase in professional services and other cost of revenue for three months ended March 31, 2023 compared to the same period in 2022 was primarily due to the following: </w:t>
        <w:br/>
      </w:r>
      <w:r>
        <w:rPr>
          <w:rFonts w:ascii="Times New Roman" w:hAnsi="Times New Roman"/>
          <w:sz w:val="20"/>
        </w:rPr>
        <w:t> </w:t>
      </w:r>
    </w:p>
    <w:tbl>
      <w:tblPr>
        <w:tblW w:w="4783" w:type="dxa"/>
        <w:jc w:val="left"/>
        <w:tblInd w:w="0" w:type="dxa"/>
        <w:tblCellMar>
          <w:top w:w="28" w:type="dxa"/>
          <w:left w:w="28" w:type="dxa"/>
          <w:bottom w:w="28" w:type="dxa"/>
          <w:right w:w="28" w:type="dxa"/>
        </w:tblCellMar>
      </w:tblPr>
      <w:tblGrid>
        <w:gridCol w:w="3301"/>
        <w:gridCol w:w="146"/>
        <w:gridCol w:w="282"/>
        <w:gridCol w:w="843"/>
        <w:gridCol w:w="211"/>
      </w:tblGrid>
      <w:tr>
        <w:trPr/>
        <w:tc>
          <w:tcPr>
            <w:tcW w:w="33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shd w:fill="auto" w:val="clear"/>
            <w:vAlign w:val="center"/>
          </w:tcPr>
          <w:p>
            <w:pPr>
              <w:pStyle w:val="TableContents"/>
              <w:spacing w:before="0" w:after="0"/>
              <w:ind w:left="0" w:right="0" w:hanging="0"/>
              <w:jc w:val="center"/>
              <w:rPr/>
            </w:pPr>
            <w:r>
              <w:rPr/>
              <w:t> </w:t>
            </w:r>
          </w:p>
        </w:tc>
      </w:tr>
      <w:tr>
        <w:trPr/>
        <w:tc>
          <w:tcPr>
            <w:tcW w:w="3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Allocated overhead and other expenses</w:t>
            </w:r>
          </w:p>
        </w:tc>
        <w:tc>
          <w:tcPr>
            <w:tcW w:w="146"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1,196</w:t>
            </w:r>
          </w:p>
        </w:tc>
        <w:tc>
          <w:tcPr>
            <w:tcW w:w="211" w:type="dxa"/>
            <w:tcBorders/>
            <w:shd w:fill="auto" w:val="clear"/>
            <w:vAlign w:val="center"/>
          </w:tcPr>
          <w:p>
            <w:pPr>
              <w:pStyle w:val="TableContents"/>
              <w:spacing w:before="0" w:after="0"/>
              <w:ind w:left="0" w:right="0" w:hanging="0"/>
              <w:jc w:val="left"/>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Employee-related costs</w:t>
            </w:r>
          </w:p>
        </w:tc>
        <w:tc>
          <w:tcPr>
            <w:tcW w:w="146" w:type="dxa"/>
            <w:tcBorders/>
            <w:shd w:fill="auto" w:val="clear"/>
            <w:vAlign w:val="center"/>
          </w:tcPr>
          <w:p>
            <w:pPr>
              <w:pStyle w:val="TableContents"/>
              <w:spacing w:before="0" w:after="0"/>
              <w:ind w:left="0" w:right="0" w:hanging="0"/>
              <w:jc w:val="left"/>
              <w:rPr/>
            </w:pPr>
            <w:r>
              <w:rPr/>
              <w:t> </w:t>
            </w:r>
          </w:p>
        </w:tc>
        <w:tc>
          <w:tcPr>
            <w:tcW w:w="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Allocated overhead and other expenses increased primarily due to increased costs associated with our other service offerings. Employee-related costs decreased as a result of the workforce reduction under the Restructuring Plan.</w:t>
      </w:r>
    </w:p>
    <w:p>
      <w:pPr>
        <w:pStyle w:val="TextBody"/>
        <w:spacing w:before="200" w:after="0"/>
        <w:jc w:val="left"/>
        <w:rPr>
          <w:rFonts w:ascii="Times New Roman;serif" w:hAnsi="Times New Roman;serif"/>
          <w:b/>
          <w:i/>
          <w:sz w:val="20"/>
        </w:rPr>
      </w:pPr>
      <w:r>
        <w:rPr>
          <w:rFonts w:ascii="Times New Roman;serif" w:hAnsi="Times New Roman;serif"/>
          <w:b/>
          <w:i/>
          <w:sz w:val="20"/>
        </w:rPr>
        <w:t>Research and Development</w:t>
      </w:r>
    </w:p>
    <w:tbl>
      <w:tblPr>
        <w:tblW w:w="7551" w:type="dxa"/>
        <w:jc w:val="left"/>
        <w:tblInd w:w="0" w:type="dxa"/>
        <w:tblCellMar>
          <w:top w:w="28" w:type="dxa"/>
          <w:left w:w="28" w:type="dxa"/>
          <w:bottom w:w="28" w:type="dxa"/>
          <w:right w:w="28" w:type="dxa"/>
        </w:tblCellMar>
      </w:tblPr>
      <w:tblGrid>
        <w:gridCol w:w="2326"/>
        <w:gridCol w:w="146"/>
        <w:gridCol w:w="211"/>
        <w:gridCol w:w="781"/>
        <w:gridCol w:w="271"/>
        <w:gridCol w:w="146"/>
        <w:gridCol w:w="211"/>
        <w:gridCol w:w="676"/>
        <w:gridCol w:w="271"/>
        <w:gridCol w:w="146"/>
        <w:gridCol w:w="211"/>
        <w:gridCol w:w="676"/>
        <w:gridCol w:w="146"/>
        <w:gridCol w:w="146"/>
        <w:gridCol w:w="275"/>
        <w:gridCol w:w="596"/>
        <w:gridCol w:w="31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127,683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92,736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34,947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Percentage of 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The increase in research and development expense for the three months ended March 31, 2023 compared to the same period in 2022 was primarily due to the following:</w:t>
      </w:r>
    </w:p>
    <w:tbl>
      <w:tblPr>
        <w:tblW w:w="3953" w:type="dxa"/>
        <w:jc w:val="left"/>
        <w:tblInd w:w="0" w:type="dxa"/>
        <w:tblCellMar>
          <w:top w:w="28" w:type="dxa"/>
          <w:left w:w="28" w:type="dxa"/>
          <w:bottom w:w="28" w:type="dxa"/>
          <w:right w:w="28" w:type="dxa"/>
        </w:tblCellMar>
      </w:tblPr>
      <w:tblGrid>
        <w:gridCol w:w="2491"/>
        <w:gridCol w:w="146"/>
        <w:gridCol w:w="267"/>
        <w:gridCol w:w="858"/>
        <w:gridCol w:w="191"/>
      </w:tblGrid>
      <w:tr>
        <w:trPr/>
        <w:tc>
          <w:tcPr>
            <w:tcW w:w="2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91" w:type="dxa"/>
            <w:tcBorders/>
            <w:shd w:fill="auto" w:val="cle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Employee-related costs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32,937</w:t>
            </w:r>
          </w:p>
        </w:tc>
        <w:tc>
          <w:tcPr>
            <w:tcW w:w="1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Allocated overhead expenses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34,947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Employee-related costs increased as a result of increased headcount as we continued to grow our engineering organization to develop new products, increase functionality and to maintain our existing CRM Platform. Allocated overhead expenses increased due to an increase in shared company expenses associated with our systems and infrastructure as we continued to grow our business.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i/>
          <w:sz w:val="20"/>
        </w:rPr>
        <w:t>Sales and Marketing</w:t>
        <w:br/>
      </w:r>
      <w:r>
        <w:rPr>
          <w:rFonts w:ascii="Times New Roman" w:hAnsi="Times New Roman"/>
          <w:sz w:val="20"/>
        </w:rPr>
        <w:t> </w:t>
      </w:r>
    </w:p>
    <w:tbl>
      <w:tblPr>
        <w:tblW w:w="7656" w:type="dxa"/>
        <w:jc w:val="left"/>
        <w:tblInd w:w="0" w:type="dxa"/>
        <w:tblCellMar>
          <w:top w:w="28" w:type="dxa"/>
          <w:left w:w="28" w:type="dxa"/>
          <w:bottom w:w="28" w:type="dxa"/>
          <w:right w:w="28" w:type="dxa"/>
        </w:tblCellMar>
      </w:tblPr>
      <w:tblGrid>
        <w:gridCol w:w="2326"/>
        <w:gridCol w:w="146"/>
        <w:gridCol w:w="211"/>
        <w:gridCol w:w="781"/>
        <w:gridCol w:w="271"/>
        <w:gridCol w:w="146"/>
        <w:gridCol w:w="211"/>
        <w:gridCol w:w="781"/>
        <w:gridCol w:w="271"/>
        <w:gridCol w:w="146"/>
        <w:gridCol w:w="211"/>
        <w:gridCol w:w="676"/>
        <w:gridCol w:w="146"/>
        <w:gridCol w:w="146"/>
        <w:gridCol w:w="275"/>
        <w:gridCol w:w="596"/>
        <w:gridCol w:w="31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0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250,683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197,134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53,549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Percentage of 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The increase in sales and marketing expense for the three months ended March 31, 2023 compared to the same period in 2022 was primarily due to the following:</w:t>
        <w:br/>
      </w:r>
      <w:r>
        <w:rPr>
          <w:rFonts w:ascii="Times New Roman" w:hAnsi="Times New Roman"/>
          <w:sz w:val="20"/>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tbl>
      <w:tblPr>
        <w:tblW w:w="4748" w:type="dxa"/>
        <w:jc w:val="left"/>
        <w:tblInd w:w="0" w:type="dxa"/>
        <w:tblCellMar>
          <w:top w:w="28" w:type="dxa"/>
          <w:left w:w="28" w:type="dxa"/>
          <w:bottom w:w="28" w:type="dxa"/>
          <w:right w:w="28" w:type="dxa"/>
        </w:tblCellMar>
      </w:tblPr>
      <w:tblGrid>
        <w:gridCol w:w="3286"/>
        <w:gridCol w:w="146"/>
        <w:gridCol w:w="267"/>
        <w:gridCol w:w="858"/>
        <w:gridCol w:w="191"/>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91" w:type="dxa"/>
            <w:tcBorders/>
            <w:shd w:fill="auto" w:val="cle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Employee-related costs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41,342</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Solutions Partner commissions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5,673</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Marketing programs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4,306</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Allocated overhead expenses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1,871</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customer relationships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53,549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Employee-related costs increased as a result of increased headcount as we expanded our selling and marketing organizations to grow our customer base. Solutions Partner commissions increased as a result of increased revenue generated through our Solutions Partners. Marketing programs increased due to the timing and size of certain marketing efforts as we made investments in attracting new customers. Allocated overhead expenses increased due to an increase in shared company expenses associated with our systems and infrastructure as we continued to grow our business. Amortization of intangible assets increased primarily due to the purchase of a domain name in the second quarter of 2022.</w:t>
      </w:r>
      <w:r>
        <w:rPr>
          <w:rFonts w:ascii="Times New Roman" w:hAnsi="Times New Roman"/>
          <w:sz w:val="20"/>
        </w:rPr>
        <w:t xml:space="preserve"> </w:t>
      </w:r>
    </w:p>
    <w:p>
      <w:pPr>
        <w:pStyle w:val="TextBody"/>
        <w:spacing w:before="200" w:after="0"/>
        <w:jc w:val="left"/>
        <w:rPr>
          <w:rFonts w:ascii="Times New Roman;serif" w:hAnsi="Times New Roman;serif"/>
          <w:b/>
          <w:i/>
          <w:sz w:val="20"/>
        </w:rPr>
      </w:pPr>
      <w:r>
        <w:rPr>
          <w:rFonts w:ascii="Times New Roman;serif" w:hAnsi="Times New Roman;serif"/>
          <w:b/>
          <w:i/>
          <w:sz w:val="20"/>
        </w:rPr>
        <w:t>General and Administrative</w:t>
      </w:r>
    </w:p>
    <w:tbl>
      <w:tblPr>
        <w:tblW w:w="7446" w:type="dxa"/>
        <w:jc w:val="left"/>
        <w:tblInd w:w="0" w:type="dxa"/>
        <w:tblCellMar>
          <w:top w:w="28" w:type="dxa"/>
          <w:left w:w="28" w:type="dxa"/>
          <w:bottom w:w="28" w:type="dxa"/>
          <w:right w:w="28" w:type="dxa"/>
        </w:tblCellMar>
      </w:tblPr>
      <w:tblGrid>
        <w:gridCol w:w="2326"/>
        <w:gridCol w:w="146"/>
        <w:gridCol w:w="211"/>
        <w:gridCol w:w="676"/>
        <w:gridCol w:w="271"/>
        <w:gridCol w:w="146"/>
        <w:gridCol w:w="211"/>
        <w:gridCol w:w="676"/>
        <w:gridCol w:w="271"/>
        <w:gridCol w:w="146"/>
        <w:gridCol w:w="211"/>
        <w:gridCol w:w="676"/>
        <w:gridCol w:w="146"/>
        <w:gridCol w:w="146"/>
        <w:gridCol w:w="275"/>
        <w:gridCol w:w="596"/>
        <w:gridCol w:w="31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57,405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43,947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13,458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Percentage of 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 xml:space="preserve">The increase in general and administrative expense for the three months ended March 31, 2023 compared to the same period in 2022 was primarily due to the following: </w:t>
        <w:br/>
      </w:r>
      <w:r>
        <w:rPr>
          <w:rFonts w:ascii="Times New Roman" w:hAnsi="Times New Roman"/>
          <w:sz w:val="20"/>
        </w:rPr>
        <w:t> </w:t>
      </w:r>
    </w:p>
    <w:tbl>
      <w:tblPr>
        <w:tblW w:w="3953" w:type="dxa"/>
        <w:jc w:val="left"/>
        <w:tblInd w:w="0" w:type="dxa"/>
        <w:tblCellMar>
          <w:top w:w="28" w:type="dxa"/>
          <w:left w:w="28" w:type="dxa"/>
          <w:bottom w:w="28" w:type="dxa"/>
          <w:right w:w="28" w:type="dxa"/>
        </w:tblCellMar>
      </w:tblPr>
      <w:tblGrid>
        <w:gridCol w:w="2491"/>
        <w:gridCol w:w="146"/>
        <w:gridCol w:w="267"/>
        <w:gridCol w:w="858"/>
        <w:gridCol w:w="191"/>
      </w:tblGrid>
      <w:tr>
        <w:trPr/>
        <w:tc>
          <w:tcPr>
            <w:tcW w:w="2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91" w:type="dxa"/>
            <w:tcBorders/>
            <w:shd w:fill="auto" w:val="cle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Employee-related costs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9,636</w:t>
            </w:r>
          </w:p>
        </w:tc>
        <w:tc>
          <w:tcPr>
            <w:tcW w:w="1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credit card fees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1,899</w:t>
            </w:r>
          </w:p>
        </w:tc>
        <w:tc>
          <w:tcPr>
            <w:tcW w:w="1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Allocated overhead expenses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13,458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Employee-related costs increased as a result of increased headcount as we grew our business and required additional personnel to support our expanded operations. Customer credit card fees increased due to increased customer transactions as we continue to grow our business. Allocated overhead expenses increased due to an increase in shared company expenses associated with our systems and infrastructure as we continued to grow our business.</w:t>
      </w:r>
    </w:p>
    <w:p>
      <w:pPr>
        <w:pStyle w:val="TextBody"/>
        <w:spacing w:before="200" w:after="0"/>
        <w:jc w:val="left"/>
        <w:rPr>
          <w:rFonts w:ascii="Times New Roman" w:hAnsi="Times New Roman"/>
          <w:sz w:val="20"/>
        </w:rPr>
      </w:pPr>
      <w:r>
        <w:rPr>
          <w:rFonts w:ascii="Times New Roman;serif" w:hAnsi="Times New Roman;serif"/>
          <w:b/>
          <w:i/>
          <w:sz w:val="20"/>
        </w:rPr>
        <w:t xml:space="preserve">Restructuring </w:t>
        <w:br/>
      </w:r>
      <w:r>
        <w:rPr>
          <w:rFonts w:ascii="Times New Roman" w:hAnsi="Times New Roman"/>
          <w:sz w:val="20"/>
        </w:rPr>
        <w:t> </w:t>
      </w:r>
    </w:p>
    <w:tbl>
      <w:tblPr>
        <w:tblW w:w="6845" w:type="dxa"/>
        <w:jc w:val="left"/>
        <w:tblInd w:w="0" w:type="dxa"/>
        <w:tblCellMar>
          <w:top w:w="28" w:type="dxa"/>
          <w:left w:w="28" w:type="dxa"/>
          <w:bottom w:w="28" w:type="dxa"/>
          <w:right w:w="28" w:type="dxa"/>
        </w:tblCellMar>
      </w:tblPr>
      <w:tblGrid>
        <w:gridCol w:w="2326"/>
        <w:gridCol w:w="146"/>
        <w:gridCol w:w="211"/>
        <w:gridCol w:w="676"/>
        <w:gridCol w:w="271"/>
        <w:gridCol w:w="146"/>
        <w:gridCol w:w="211"/>
        <w:gridCol w:w="346"/>
        <w:gridCol w:w="271"/>
        <w:gridCol w:w="146"/>
        <w:gridCol w:w="211"/>
        <w:gridCol w:w="676"/>
        <w:gridCol w:w="146"/>
        <w:gridCol w:w="146"/>
        <w:gridCol w:w="91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center"/>
              <w:rPr/>
            </w:pPr>
            <w:r>
              <w:rPr/>
              <w:t> </w:t>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Restructuring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28,570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34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28,570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n/a</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Percentage of 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Restructuring charges were $28.6 million in the three months ended March 31, 2023 due to the implementation of the Restructuring Plan in the first quarter of 2023. Restructuring costs primarily consisted of $26.8 million of severance, employee related benefits and other costs, and $1.8 million related to facilities. There were no restructuring charges in the three months ended March 31, 2022.</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i/>
          <w:sz w:val="20"/>
        </w:rPr>
        <w:t xml:space="preserve">Interest income </w:t>
        <w:br/>
      </w:r>
      <w:r>
        <w:rPr>
          <w:rFonts w:ascii="Times New Roman" w:hAnsi="Times New Roman"/>
          <w:sz w:val="20"/>
        </w:rPr>
        <w:t> </w:t>
      </w:r>
    </w:p>
    <w:tbl>
      <w:tblPr>
        <w:tblW w:w="6974" w:type="dxa"/>
        <w:jc w:val="left"/>
        <w:tblInd w:w="0" w:type="dxa"/>
        <w:tblCellMar>
          <w:top w:w="28" w:type="dxa"/>
          <w:left w:w="28" w:type="dxa"/>
          <w:bottom w:w="28" w:type="dxa"/>
          <w:right w:w="28" w:type="dxa"/>
        </w:tblCellMar>
      </w:tblPr>
      <w:tblGrid>
        <w:gridCol w:w="2326"/>
        <w:gridCol w:w="146"/>
        <w:gridCol w:w="211"/>
        <w:gridCol w:w="676"/>
        <w:gridCol w:w="271"/>
        <w:gridCol w:w="146"/>
        <w:gridCol w:w="211"/>
        <w:gridCol w:w="421"/>
        <w:gridCol w:w="146"/>
        <w:gridCol w:w="146"/>
        <w:gridCol w:w="214"/>
        <w:gridCol w:w="582"/>
        <w:gridCol w:w="146"/>
        <w:gridCol w:w="146"/>
        <w:gridCol w:w="189"/>
        <w:gridCol w:w="681"/>
        <w:gridCol w:w="31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center"/>
              <w:rPr/>
            </w:pPr>
            <w:r>
              <w:rPr/>
              <w:t> </w:t>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10,472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9,957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1933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Percentage of 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not meaningful</w:t>
      </w:r>
    </w:p>
    <w:p>
      <w:pPr>
        <w:pStyle w:val="TextBody"/>
        <w:spacing w:before="200" w:after="0"/>
        <w:jc w:val="left"/>
        <w:rPr>
          <w:rFonts w:ascii="Times New Roman" w:hAnsi="Times New Roman"/>
          <w:sz w:val="20"/>
        </w:rPr>
      </w:pPr>
      <w:r>
        <w:rPr>
          <w:rFonts w:ascii="Times New Roman;serif" w:hAnsi="Times New Roman;serif"/>
          <w:b w:val="false"/>
          <w:sz w:val="20"/>
        </w:rPr>
        <w:t>Interest income primarily consists of interest earned on invested cash and cash equivalents balances and investments. The increase during the three months ended March 31, 2023 is due to an increase in yields on our investment balances.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i/>
          <w:sz w:val="20"/>
        </w:rPr>
        <w:t>Interest expense</w:t>
        <w:br/>
      </w:r>
      <w:r>
        <w:rPr>
          <w:rFonts w:ascii="Times New Roman" w:hAnsi="Times New Roman"/>
          <w:sz w:val="20"/>
        </w:rPr>
        <w:t> </w:t>
      </w:r>
    </w:p>
    <w:tbl>
      <w:tblPr>
        <w:tblW w:w="6834" w:type="dxa"/>
        <w:jc w:val="left"/>
        <w:tblInd w:w="0" w:type="dxa"/>
        <w:tblCellMar>
          <w:top w:w="28" w:type="dxa"/>
          <w:left w:w="28" w:type="dxa"/>
          <w:bottom w:w="28" w:type="dxa"/>
          <w:right w:w="28" w:type="dxa"/>
        </w:tblCellMar>
      </w:tblPr>
      <w:tblGrid>
        <w:gridCol w:w="2326"/>
        <w:gridCol w:w="146"/>
        <w:gridCol w:w="211"/>
        <w:gridCol w:w="481"/>
        <w:gridCol w:w="166"/>
        <w:gridCol w:w="146"/>
        <w:gridCol w:w="211"/>
        <w:gridCol w:w="481"/>
        <w:gridCol w:w="166"/>
        <w:gridCol w:w="146"/>
        <w:gridCol w:w="286"/>
        <w:gridCol w:w="510"/>
        <w:gridCol w:w="166"/>
        <w:gridCol w:w="146"/>
        <w:gridCol w:w="304"/>
        <w:gridCol w:w="566"/>
        <w:gridCol w:w="37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1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Percentage of total revenue</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9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hanging="0"/>
              <w:jc w:val="righ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 not meaningful</w:t>
      </w:r>
    </w:p>
    <w:p>
      <w:pPr>
        <w:pStyle w:val="TextBody"/>
        <w:spacing w:before="200" w:after="0"/>
        <w:jc w:val="left"/>
        <w:rPr>
          <w:rFonts w:ascii="Times New Roman" w:hAnsi="Times New Roman"/>
          <w:sz w:val="20"/>
        </w:rPr>
      </w:pPr>
      <w:r>
        <w:rPr>
          <w:rFonts w:ascii="Times New Roman;serif" w:hAnsi="Times New Roman;serif"/>
          <w:b w:val="false"/>
          <w:sz w:val="20"/>
        </w:rPr>
        <w:t>Interest expense primarily consists of amortization of the debt discount and issuance costs and contractual interest expense related to our 2025 Notes. Interest expense remained relatively consistent.</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i/>
          <w:sz w:val="20"/>
        </w:rPr>
        <w:t xml:space="preserve">Other income </w:t>
        <w:br/>
      </w:r>
      <w:r>
        <w:rPr>
          <w:rFonts w:ascii="Times New Roman" w:hAnsi="Times New Roman"/>
          <w:sz w:val="20"/>
        </w:rPr>
        <w:t> </w:t>
      </w:r>
    </w:p>
    <w:tbl>
      <w:tblPr>
        <w:tblW w:w="7075" w:type="dxa"/>
        <w:jc w:val="left"/>
        <w:tblInd w:w="0" w:type="dxa"/>
        <w:tblCellMar>
          <w:top w:w="28" w:type="dxa"/>
          <w:left w:w="28" w:type="dxa"/>
          <w:bottom w:w="28" w:type="dxa"/>
          <w:right w:w="28" w:type="dxa"/>
        </w:tblCellMar>
      </w:tblPr>
      <w:tblGrid>
        <w:gridCol w:w="2326"/>
        <w:gridCol w:w="146"/>
        <w:gridCol w:w="211"/>
        <w:gridCol w:w="481"/>
        <w:gridCol w:w="166"/>
        <w:gridCol w:w="146"/>
        <w:gridCol w:w="211"/>
        <w:gridCol w:w="571"/>
        <w:gridCol w:w="271"/>
        <w:gridCol w:w="146"/>
        <w:gridCol w:w="211"/>
        <w:gridCol w:w="631"/>
        <w:gridCol w:w="166"/>
        <w:gridCol w:w="146"/>
        <w:gridCol w:w="201"/>
        <w:gridCol w:w="669"/>
        <w:gridCol w:w="37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Other (expense)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3,692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(4,486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(122</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Percentage of total revenue</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hanging="0"/>
              <w:jc w:val="righ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 not meaningful</w:t>
      </w:r>
    </w:p>
    <w:p>
      <w:pPr>
        <w:pStyle w:val="TextBody"/>
        <w:spacing w:before="200" w:after="0"/>
        <w:jc w:val="left"/>
        <w:rPr>
          <w:rFonts w:ascii="Times New Roman" w:hAnsi="Times New Roman"/>
          <w:sz w:val="20"/>
        </w:rPr>
      </w:pPr>
      <w:r>
        <w:rPr>
          <w:rFonts w:ascii="Times New Roman;serif" w:hAnsi="Times New Roman;serif"/>
          <w:b w:val="false"/>
          <w:sz w:val="20"/>
        </w:rPr>
        <w:t xml:space="preserve">The change in other income during the three months ended March 31, 2023 is primarily due to the following: </w:t>
        <w:br/>
      </w:r>
      <w:r>
        <w:rPr>
          <w:rFonts w:ascii="Times New Roman" w:hAnsi="Times New Roman"/>
          <w:sz w:val="20"/>
        </w:rPr>
        <w:t> </w:t>
      </w:r>
    </w:p>
    <w:tbl>
      <w:tblPr>
        <w:tblW w:w="4333" w:type="dxa"/>
        <w:jc w:val="left"/>
        <w:tblInd w:w="0" w:type="dxa"/>
        <w:tblCellMar>
          <w:top w:w="28" w:type="dxa"/>
          <w:left w:w="28" w:type="dxa"/>
          <w:bottom w:w="28" w:type="dxa"/>
          <w:right w:w="28" w:type="dxa"/>
        </w:tblCellMar>
      </w:tblPr>
      <w:tblGrid>
        <w:gridCol w:w="2851"/>
        <w:gridCol w:w="146"/>
        <w:gridCol w:w="282"/>
        <w:gridCol w:w="843"/>
        <w:gridCol w:w="211"/>
      </w:tblGrid>
      <w:tr>
        <w:trPr/>
        <w:tc>
          <w:tcPr>
            <w:tcW w:w="2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shd w:fill="auto" w:val="cle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gains and losses</w:t>
            </w:r>
          </w:p>
        </w:tc>
        <w:tc>
          <w:tcPr>
            <w:tcW w:w="146" w:type="dxa"/>
            <w:tcBorders/>
            <w:shd w:fill="auto" w:val="clear"/>
            <w:vAlign w:val="center"/>
          </w:tcPr>
          <w:p>
            <w:pPr>
              <w:pStyle w:val="TableContents"/>
              <w:spacing w:before="0" w:after="0"/>
              <w:ind w:left="0" w:right="0" w:hanging="0"/>
              <w:jc w:val="left"/>
              <w:rPr/>
            </w:pPr>
            <w:r>
              <w:rPr/>
              <w:t> </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strategic investments</w:t>
            </w:r>
          </w:p>
        </w:tc>
        <w:tc>
          <w:tcPr>
            <w:tcW w:w="146" w:type="dxa"/>
            <w:tcBorders/>
            <w:shd w:fill="auto" w:val="clear"/>
            <w:vAlign w:val="center"/>
          </w:tcPr>
          <w:p>
            <w:pPr>
              <w:pStyle w:val="TableContents"/>
              <w:spacing w:before="0" w:after="0"/>
              <w:ind w:left="0" w:right="0" w:hanging="0"/>
              <w:jc w:val="left"/>
              <w:rPr/>
            </w:pPr>
            <w:r>
              <w:rPr/>
              <w:t> </w:t>
            </w:r>
          </w:p>
        </w:tc>
        <w:tc>
          <w:tcPr>
            <w:tcW w:w="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Other (expense) income primarily consists of the impact of foreign currency transaction gains and losses associated with monetary assets and liabilities and any gains or impairments on our strategic investments. The decrease in gain on strategic investments is due to gains of $4.2 million from observable price changes in the three months ended March 31, 2022. No gains or losses were recorded in the three months ended March 31, 2023. The increase in foreign currency transaction losses is primarily attributable to the decline in the value of the Euro and British Pound Sterling relative to the U.S. Dollar.</w:t>
      </w:r>
    </w:p>
    <w:p>
      <w:pPr>
        <w:pStyle w:val="TextBody"/>
        <w:spacing w:before="200" w:after="0"/>
        <w:jc w:val="left"/>
        <w:rPr>
          <w:rFonts w:ascii="Times New Roman;serif" w:hAnsi="Times New Roman;serif"/>
          <w:b/>
          <w:i/>
          <w:sz w:val="20"/>
        </w:rPr>
      </w:pPr>
      <w:r>
        <w:rPr>
          <w:rFonts w:ascii="Times New Roman;serif" w:hAnsi="Times New Roman;serif"/>
          <w:b/>
          <w:i/>
          <w:sz w:val="20"/>
        </w:rPr>
        <w:t>Income tax expense</w:t>
      </w:r>
    </w:p>
    <w:tbl>
      <w:tblPr>
        <w:tblW w:w="6724" w:type="dxa"/>
        <w:jc w:val="left"/>
        <w:tblInd w:w="0" w:type="dxa"/>
        <w:tblCellMar>
          <w:top w:w="28" w:type="dxa"/>
          <w:left w:w="28" w:type="dxa"/>
          <w:bottom w:w="28" w:type="dxa"/>
          <w:right w:w="28" w:type="dxa"/>
        </w:tblCellMar>
      </w:tblPr>
      <w:tblGrid>
        <w:gridCol w:w="1726"/>
        <w:gridCol w:w="146"/>
        <w:gridCol w:w="211"/>
        <w:gridCol w:w="631"/>
        <w:gridCol w:w="271"/>
        <w:gridCol w:w="146"/>
        <w:gridCol w:w="211"/>
        <w:gridCol w:w="631"/>
        <w:gridCol w:w="271"/>
        <w:gridCol w:w="146"/>
        <w:gridCol w:w="265"/>
        <w:gridCol w:w="531"/>
        <w:gridCol w:w="146"/>
        <w:gridCol w:w="146"/>
        <w:gridCol w:w="242"/>
        <w:gridCol w:w="628"/>
        <w:gridCol w:w="376"/>
      </w:tblGrid>
      <w:tr>
        <w:trPr/>
        <w:tc>
          <w:tcPr>
            <w:tcW w:w="1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r>
      <w:tr>
        <w:trPr/>
        <w:tc>
          <w:tcPr>
            <w:tcW w:w="17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1"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w:t>
              <w:br/>
              <w:t> Ended March 31,</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center"/>
              <w:rPr/>
            </w:pPr>
            <w:r>
              <w:rPr/>
              <w:t> </w:t>
            </w:r>
          </w:p>
        </w:tc>
      </w:tr>
      <w:tr>
        <w:trPr/>
        <w:tc>
          <w:tcPr>
            <w:tcW w:w="1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w:t>
            </w:r>
            <w:r>
              <w:rPr>
                <w:rFonts w:ascii="Times New Roman" w:hAnsi="Times New Roman"/>
                <w:sz w:val="16"/>
              </w:rPr>
              <w:t xml:space="preserve"> </w:t>
            </w:r>
            <w:r>
              <w:rPr>
                <w:rFonts w:ascii="Times New Roman;serif" w:hAnsi="Times New Roman;serif"/>
                <w:b/>
                <w:sz w:val="16"/>
              </w:rPr>
              <w:t>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tax rate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left"/>
        <w:rPr>
          <w:rFonts w:ascii="Times New Roman" w:hAnsi="Times New Roman"/>
          <w:sz w:val="20"/>
        </w:rPr>
      </w:pPr>
      <w:r>
        <w:rPr>
          <w:rFonts w:ascii="Times New Roman;serif" w:hAnsi="Times New Roman;serif"/>
          <w:b w:val="false"/>
          <w:sz w:val="20"/>
        </w:rPr>
        <w:t>Income tax expense consists of current and deferred taxes for U.S. and foreign income taxes. The increase in income tax expense was primarily driven by increased income in jurisdictions outside of the U.S. that are profitable from a tax perspective and a limitation on the utilization of U.S. net operating loss carry-forwards.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200" w:after="0"/>
        <w:jc w:val="left"/>
        <w:rPr>
          <w:rFonts w:ascii="Times New Roman" w:hAnsi="Times New Roman"/>
          <w:sz w:val="20"/>
        </w:rPr>
      </w:pPr>
      <w:r>
        <w:rPr>
          <w:rFonts w:ascii="Times New Roman;serif" w:hAnsi="Times New Roman;serif"/>
          <w:b w:val="false"/>
          <w:sz w:val="20"/>
        </w:rPr>
        <w:t>Our principal sources of liquidity to date have been cash and cash equivalents, net accounts receivable, our common stock offerings, and our convertible notes offerings.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 xml:space="preserve">The following table shows cash and cash equivalents, working capital, net cash and cash equivalents provided by operating activities, net cash and cash equivalents used in investing activities, and net cash and cash equivalents provided by financing activities for the three months ended March 31, 2023 and 2022. </w:t>
        <w:br/>
      </w:r>
      <w:r>
        <w:rPr>
          <w:rFonts w:ascii="Times New Roman" w:hAnsi="Times New Roman"/>
          <w:sz w:val="20"/>
        </w:rPr>
        <w:t> </w:t>
      </w:r>
    </w:p>
    <w:tbl>
      <w:tblPr>
        <w:tblW w:w="8009" w:type="dxa"/>
        <w:jc w:val="left"/>
        <w:tblInd w:w="0" w:type="dxa"/>
        <w:tblCellMar>
          <w:top w:w="28" w:type="dxa"/>
          <w:left w:w="28" w:type="dxa"/>
          <w:bottom w:w="28" w:type="dxa"/>
          <w:right w:w="28" w:type="dxa"/>
        </w:tblCellMar>
      </w:tblPr>
      <w:tblGrid>
        <w:gridCol w:w="5206"/>
        <w:gridCol w:w="146"/>
        <w:gridCol w:w="211"/>
        <w:gridCol w:w="931"/>
        <w:gridCol w:w="166"/>
        <w:gridCol w:w="146"/>
        <w:gridCol w:w="211"/>
        <w:gridCol w:w="781"/>
        <w:gridCol w:w="211"/>
      </w:tblGrid>
      <w:tr>
        <w:trPr/>
        <w:tc>
          <w:tcPr>
            <w:tcW w:w="5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2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4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325,159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408,433</w:t>
            </w:r>
          </w:p>
        </w:tc>
        <w:tc>
          <w:tcPr>
            <w:tcW w:w="211" w:type="dxa"/>
            <w:tcBorders/>
            <w:shd w:fill="auto" w:val="cle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Working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1,011,646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829,110</w:t>
            </w:r>
          </w:p>
        </w:tc>
        <w:tc>
          <w:tcPr>
            <w:tcW w:w="211" w:type="dxa"/>
            <w:tcBorders/>
            <w:shd w:fill="auto" w:val="cle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82,226</w:t>
            </w:r>
          </w:p>
        </w:tc>
        <w:tc>
          <w:tcPr>
            <w:tcW w:w="211" w:type="dxa"/>
            <w:tcBorders/>
            <w:shd w:fill="auto" w:val="clear"/>
            <w:vAlign w:val="center"/>
          </w:tcPr>
          <w:p>
            <w:pPr>
              <w:pStyle w:val="TableContents"/>
              <w:spacing w:before="0" w:after="0"/>
              <w:ind w:left="0" w:right="0" w:hanging="0"/>
              <w:jc w:val="left"/>
              <w:rPr/>
            </w:pPr>
            <w:r>
              <w:rPr/>
              <w:t> </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(98,711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(55,036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5,879</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200" w:after="0"/>
        <w:jc w:val="left"/>
        <w:rPr>
          <w:rFonts w:ascii="Times New Roman;serif" w:hAnsi="Times New Roman;serif"/>
          <w:b w:val="false"/>
          <w:sz w:val="20"/>
        </w:rPr>
      </w:pPr>
      <w:r>
        <w:rPr>
          <w:rFonts w:ascii="Times New Roman;serif" w:hAnsi="Times New Roman;serif"/>
          <w:b w:val="false"/>
          <w:sz w:val="20"/>
        </w:rPr>
        <w:t>Our cash and cash equivalents at March 31, 2023 were held for working capital purposes. At March 31, 2023, $159.2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Cash from operations could be affected by various risks and uncertainties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Net Cash and Cash Equivalents Provided by Operating Activities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Net cash and cash equivalents provided by operating activities consists primarily of net loss adjusted for certain non-cash items, including stock-based compensation, depreciation and amortization and other non-cash charges, net.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Net cash and cash equivalents provided by operating activities during the three months ended March 31, 2023 primarily reflected our net loss of $38.3 million, $8.0 million accretion of bond discounts, offset by non-cash expenses that included $16.6 million of depreciation and amortization, $83.0 million in stock-based compensation, restructuring charges of $2.2 million, and $0.5 million of amortization of debt discount and issuance costs. Working capital sources of cash and cash equivalents primarily included a $28.6 million increase in deferred revenue primarily resulting from the growth in the number of customers invoiced during the period, a $30.6 million decrease in accounts receivable related to increased collection, a $8.5 million increase in right-of-use asset, and $24.2 million increase in accrued expenses and other liabilities. These sources of cash and cash equivalents were offset by a $20.4 million increase in prepaid expenses and other assets, a $9.8 million decrease in operating lease liabilities, a $18.5 million increase in deferred commissions, and a $17.9 million increase in accounts payable related to timing of bill payments</w:t>
      </w:r>
    </w:p>
    <w:p>
      <w:pPr>
        <w:pStyle w:val="TextBody"/>
        <w:spacing w:before="200" w:after="0"/>
        <w:jc w:val="left"/>
        <w:rPr>
          <w:rFonts w:ascii="Times New Roman" w:hAnsi="Times New Roman"/>
          <w:sz w:val="20"/>
        </w:rPr>
      </w:pPr>
      <w:r>
        <w:rPr>
          <w:rFonts w:ascii="Times New Roman;serif" w:hAnsi="Times New Roman;serif"/>
          <w:b w:val="false"/>
          <w:sz w:val="20"/>
        </w:rPr>
        <w:t>Net cash and cash equivalents provided by operating activities during the three months ended March 31, 2022 primarily reflected our net loss of $9.3 million, benefit from deferred income taxes of $0.2 million, and gains on strategic investments of $4.2 million, offset by non-cash expenses that included $12.8 million of depreciation and amortization, $45.7 million in stock-based compensation, $0.6 million amortization of bond discounts, and $0.5 million of amortization of debt discount and issuance costs. Working capital sources of cash and cash equivalents primarily included a $29.5 million increase in deferred revenue primarily resulting from the growth in the number of customers invoiced during the period, a $3.6 million decrease in accounts receivable related to increased collection, a $6.5 million increase in right-of-use asset, a $3.6 million increase in accounts payable related to timing of bill payments, and $7.1 million increase in accrued expenses and other liabilities. These sources of cash and cash equivalents were offset by a $3.9 million increase in prepaid expenses and other assets, a $2.3 million decrease in operating lease liabilities, and a $8.4 million increase in deferred commissions.</w:t>
      </w:r>
      <w:r>
        <w:rPr>
          <w:rFonts w:ascii="Times New Roman" w:hAnsi="Times New Roman"/>
          <w:sz w:val="20"/>
        </w:rPr>
        <w:t xml:space="preserve"> </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Net Cash and Cash Equivalents Used in Investing Activities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investing activities have consisted primarily of purchases and maturities of investments, property and equipment purchases, purchases of strategic investments, and capitalization of software development costs. Capitalized software development costs are related to new products or improvements to our existing software platform that expands the functionality for our customers.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Net cash and cash equivalents used in investing activities during the three months ended March 31, 2023 consisted primarily of $362.2 million purchases of investments and $3.6 million of purchased property and equipment, $6.0 million of purchases of strategic investments, and $14.9 million of capitalized software development costs. These uses of cash were offset by $288.0 million received related to the maturity of investments.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Net cash and cash equivalents used in investing activities during the three months ended March 31, 2022 consisted primarily of $435.5 million purchases of investments and $9.9 million of purchased property and equipment, $5.0 million of purchases of strategic investments, and $9.7 million of capitalized software development costs. These uses of cash were offset by $405.2 million received related to the maturity of investments.</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Net Cash and Cash Equivalents Provided by Financing Activities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financing activities have consisted primarily of the repayment of our 2025 Notes, the issuance of common stock under our stock plans, and payments of employee taxes related to the net share settlement of stock-based awards,.</w:t>
      </w:r>
    </w:p>
    <w:p>
      <w:pPr>
        <w:pStyle w:val="TextBody"/>
        <w:spacing w:before="200" w:after="0"/>
        <w:jc w:val="left"/>
        <w:rPr>
          <w:rFonts w:ascii="Times New Roman" w:hAnsi="Times New Roman"/>
          <w:sz w:val="20"/>
        </w:rPr>
      </w:pPr>
      <w:r>
        <w:rPr>
          <w:rFonts w:ascii="Times New Roman;serif" w:hAnsi="Times New Roman;serif"/>
          <w:b w:val="false"/>
          <w:sz w:val="20"/>
        </w:rPr>
        <w:t>For the three months ended March 31, 2023 cash used in financing activities consisted $1.2 million used for payment of employee taxes related to the net share settlement of stock-based awards, offset by $11.3 million of proceeds related to issuance of common stock under stock plans.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For the three months ended March 31, 2022 cash used in financing activities consisted of $1.6 million used for the repayment of the 2025 Notes attributable to the principal and $4.4 million used for payment of employee taxes related to the net share settlement of stock-based awards, offset by $11.9 million of proceeds related to issuance of common stock under stock plans.</w:t>
      </w:r>
    </w:p>
    <w:p>
      <w:pPr>
        <w:pStyle w:val="TextBody"/>
        <w:spacing w:before="20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There have been no significant changes in our critical accounting policies and estimates during the three months ended March 31, 2023 as compared to the critical accounting policies and estimates disclosed in our Annual Report on Form 10-K for the year ended December 31, 2022.</w:t>
      </w:r>
    </w:p>
    <w:p>
      <w:pPr>
        <w:pStyle w:val="TextBody"/>
        <w:spacing w:before="200" w:after="0"/>
        <w:jc w:val="left"/>
        <w:rPr>
          <w:rFonts w:ascii="Times New Roman;serif" w:hAnsi="Times New Roman;serif"/>
          <w:b/>
          <w:sz w:val="20"/>
        </w:rPr>
      </w:pPr>
      <w:r>
        <w:rPr>
          <w:rFonts w:ascii="Times New Roman;serif" w:hAnsi="Times New Roman;serif"/>
          <w:b/>
          <w:sz w:val="20"/>
        </w:rPr>
        <w:t>Contractual Obligations and Commitments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See Note 10 for all obligations the Company is committed to in the notes to the consolidated financial statements appearing elsewhere in this Quarterly Report on Form 10-Q.</w:t>
      </w:r>
    </w:p>
    <w:p>
      <w:pPr>
        <w:pStyle w:val="TextBody"/>
        <w:spacing w:before="200" w:after="0"/>
        <w:jc w:val="left"/>
        <w:rPr>
          <w:rFonts w:ascii="Times New Roman;serif" w:hAnsi="Times New Roman;serif"/>
          <w:b/>
          <w:sz w:val="20"/>
        </w:rPr>
      </w:pPr>
      <w:r>
        <w:rPr>
          <w:rFonts w:ascii="Times New Roman;serif" w:hAnsi="Times New Roman;serif"/>
          <w:b/>
          <w:sz w:val="20"/>
        </w:rPr>
        <w:t>Recent Accounting Pronouncements</w:t>
      </w:r>
    </w:p>
    <w:p>
      <w:pPr>
        <w:pStyle w:val="TextBody"/>
        <w:spacing w:before="200" w:after="0"/>
        <w:jc w:val="left"/>
        <w:rPr>
          <w:rFonts w:ascii="Times New Roman" w:hAnsi="Times New Roman"/>
          <w:sz w:val="20"/>
        </w:rPr>
      </w:pPr>
      <w:r>
        <w:rPr>
          <w:rFonts w:ascii="Times New Roman;serif" w:hAnsi="Times New Roman;serif"/>
          <w:b w:val="false"/>
          <w:sz w:val="20"/>
        </w:rPr>
        <w:t xml:space="preserve">For information on recent accounting pronouncements, see </w:t>
      </w:r>
      <w:r>
        <w:rPr>
          <w:rFonts w:ascii="Times New Roman;serif" w:hAnsi="Times New Roman;serif"/>
          <w:b w:val="false"/>
          <w:i/>
          <w:sz w:val="20"/>
        </w:rPr>
        <w:t>Recent Accounting Pronouncements</w:t>
      </w:r>
      <w:r>
        <w:rPr>
          <w:rFonts w:ascii="Times New Roman" w:hAnsi="Times New Roman"/>
          <w:sz w:val="20"/>
        </w:rPr>
        <w:t xml:space="preserve"> </w:t>
      </w:r>
      <w:r>
        <w:rPr>
          <w:rFonts w:ascii="Times New Roman;serif" w:hAnsi="Times New Roman;serif"/>
          <w:b w:val="false"/>
          <w:sz w:val="20"/>
        </w:rPr>
        <w:t>in the notes to the consolidated financial statements appearing elsewhere in this Quarterly Report on Form 10-Q.</w:t>
      </w:r>
    </w:p>
    <w:p>
      <w:pPr>
        <w:pStyle w:val="TextBody"/>
        <w:spacing w:before="200" w:after="0"/>
        <w:jc w:val="left"/>
        <w:rPr>
          <w:rFonts w:ascii="Times New Roman;serif" w:hAnsi="Times New Roman;serif"/>
          <w:b/>
          <w:sz w:val="20"/>
        </w:rPr>
      </w:pPr>
      <w:r>
        <w:rPr>
          <w:rFonts w:ascii="Times New Roman;serif" w:hAnsi="Times New Roman;serif"/>
          <w:b/>
          <w:sz w:val="20"/>
        </w:rPr>
        <w:t>Off-Balance Sheet Arrangements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of March 31, 2023, we are committed to contribute additional capital of $6.3 million to the Black Economic Development Fund. There were no other material off-balance sheet arrangements exclusive of operating leases and indemnifications of officers, directors and employees for certain events or occurrences while the officer, director or employee is, or was, serving at our request in such capacity.</w:t>
      </w:r>
    </w:p>
    <w:p>
      <w:pPr>
        <w:pStyle w:val="TextBody"/>
        <w:spacing w:before="240" w:after="0"/>
        <w:jc w:val="left"/>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spacing w:before="240" w:after="0"/>
        <w:jc w:val="left"/>
        <w:rPr>
          <w:rFonts w:ascii="Times New Roman;serif" w:hAnsi="Times New Roman;serif"/>
          <w:b/>
          <w:i/>
          <w:sz w:val="20"/>
        </w:rPr>
      </w:pPr>
      <w:r>
        <w:rPr>
          <w:rFonts w:ascii="Times New Roman;serif" w:hAnsi="Times New Roman;serif"/>
          <w:b/>
          <w:i/>
          <w:sz w:val="20"/>
        </w:rPr>
        <w:t>Foreign Currency Exchange Risk</w:t>
      </w:r>
    </w:p>
    <w:p>
      <w:pPr>
        <w:pStyle w:val="TextBody"/>
        <w:spacing w:before="240" w:after="0"/>
        <w:jc w:val="left"/>
        <w:rPr>
          <w:rFonts w:ascii="Times New Roman" w:hAnsi="Times New Roman"/>
          <w:sz w:val="20"/>
        </w:rPr>
      </w:pPr>
      <w:r>
        <w:rPr>
          <w:rFonts w:ascii="Times New Roman;serif" w:hAnsi="Times New Roman;serif"/>
          <w:b w:val="false"/>
          <w:sz w:val="20"/>
        </w:rPr>
        <w:t>We have foreign currency risks related to our revenue, cost of revenue, and operating expenses denominated in currencies other than the U.S. dollar, primarily the Euro, British Pound Sterling, Australian dollar, Singaporean dollar, Japanese Yen, Colombian Peso and Canadian dollar. Since we translate foreign currencies into U.S. dollars for financial reporting purposes, currency fluctuations can have an impact on our financial results.</w:t>
        <w:br/>
        <w:br/>
        <w:br/>
        <w:br/>
        <w:t>We have experienced and will continue to experience fluctuations in our net loss as a result of transaction gains or losses related to revaluing certain current asset and current liability balances that are denominated in currencies other than the functional currency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entities in which they are recorded. While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operations, and our risk grows.</w:t>
      </w:r>
    </w:p>
    <w:p>
      <w:pPr>
        <w:pStyle w:val="TextBody"/>
        <w:spacing w:before="240" w:after="0"/>
        <w:jc w:val="left"/>
        <w:rPr>
          <w:rFonts w:ascii="Times New Roman" w:hAnsi="Times New Roman"/>
          <w:sz w:val="20"/>
        </w:rPr>
      </w:pPr>
      <w:r>
        <w:rPr>
          <w:rFonts w:ascii="Times New Roman;serif" w:hAnsi="Times New Roman;serif"/>
          <w:b/>
          <w:i/>
          <w:sz w:val="20"/>
        </w:rPr>
        <w:t>Interest Rate Sensitivity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pStyle w:val="TextBody"/>
        <w:spacing w:before="240" w:after="0"/>
        <w:jc w:val="left"/>
        <w:rPr>
          <w:rFonts w:ascii="Times New Roman;serif" w:hAnsi="Times New Roman;serif"/>
          <w:b/>
          <w:i/>
          <w:sz w:val="20"/>
        </w:rPr>
      </w:pPr>
      <w:r>
        <w:rPr>
          <w:rFonts w:ascii="Times New Roman;serif" w:hAnsi="Times New Roman;serif"/>
          <w:b/>
          <w:i/>
          <w:sz w:val="20"/>
        </w:rPr>
        <w:t>Market Risk and Market Interest Risk</w:t>
      </w:r>
    </w:p>
    <w:p>
      <w:pPr>
        <w:pStyle w:val="TextBody"/>
        <w:spacing w:before="240" w:after="0"/>
        <w:jc w:val="left"/>
        <w:rPr>
          <w:rFonts w:ascii="Times New Roman" w:hAnsi="Times New Roman"/>
          <w:sz w:val="20"/>
        </w:rPr>
      </w:pPr>
      <w:r>
        <w:rPr>
          <w:rFonts w:ascii="Times New Roman;serif" w:hAnsi="Times New Roman;serif"/>
          <w:b w:val="false"/>
          <w:sz w:val="20"/>
        </w:rPr>
        <w:t>In June 2020, we issued $460 million aggregate principal amount of convertible senior notes due June 1, 2025, of which $459.1 million remains outstanding as of March 31, 2023 the “2025 Notes”). The fair value of the 2025 Notes is subject to interest rate risk, market risk and other factors due to the convertible feature. The fair value of the 2025 Notes will generally increase as our common stock price increases and will generally decrease as our common stock price declines in value. The interest and market value changes affect the fair value of the 2025 Notes but do not impact our financial position, cash flows or results of operations due to the fixed nature of the debt obligation. Generally, the fair values of the 2025 Notes will increase as interest rates fall and decrease as interest rates rise. Additionally, we carry the 2025 Notes at face value less unamortized discount on our balance sheet, and we present the fair value for required disclosure purposes only. The Federal Reserve has raised, and may continue to raise interest rates in an effort to combat high inflation and may continue to do so in the future. There continues to be uncertainty in the changing market and economic conditions, including the possibility or additional measures that could be taken by the Federal Reserve and other government agencies, related to concerns over inflation risk.</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table below provides a sensitivity analysis of hypothetical 10% changes of our stock price as of March 31, 2023 and the estimated impact on the fair value of the 2025 Notes. The selected scenarios are not predictions of future events, but rather are intended to illustrate the effect such an event may have on the fair value of the 2025 Notes.</w:t>
      </w:r>
    </w:p>
    <w:p>
      <w:pPr>
        <w:pStyle w:val="TextBody"/>
        <w:spacing w:before="240" w:after="0"/>
        <w:jc w:val="left"/>
        <w:rPr>
          <w:rFonts w:ascii="Times New Roman;serif" w:hAnsi="Times New Roman;serif"/>
          <w:b/>
          <w:sz w:val="20"/>
        </w:rPr>
      </w:pPr>
      <w:r>
        <w:rPr>
          <w:rFonts w:ascii="Times New Roman;serif" w:hAnsi="Times New Roman;serif"/>
          <w:b/>
          <w:sz w:val="20"/>
        </w:rPr>
        <w:t>2025 Notes</w:t>
      </w:r>
    </w:p>
    <w:tbl>
      <w:tblPr>
        <w:tblW w:w="10205" w:type="dxa"/>
        <w:jc w:val="left"/>
        <w:tblInd w:w="0" w:type="dxa"/>
        <w:tblCellMar>
          <w:top w:w="28" w:type="dxa"/>
          <w:left w:w="28" w:type="dxa"/>
          <w:bottom w:w="28" w:type="dxa"/>
          <w:right w:w="28" w:type="dxa"/>
        </w:tblCellMar>
      </w:tblPr>
      <w:tblGrid>
        <w:gridCol w:w="2605"/>
        <w:gridCol w:w="350"/>
        <w:gridCol w:w="146"/>
        <w:gridCol w:w="211"/>
        <w:gridCol w:w="781"/>
        <w:gridCol w:w="146"/>
        <w:gridCol w:w="146"/>
        <w:gridCol w:w="335"/>
        <w:gridCol w:w="1168"/>
        <w:gridCol w:w="166"/>
        <w:gridCol w:w="146"/>
        <w:gridCol w:w="1077"/>
        <w:gridCol w:w="2562"/>
        <w:gridCol w:w="366"/>
      </w:tblGrid>
      <w:tr>
        <w:trPr/>
        <w:tc>
          <w:tcPr>
            <w:tcW w:w="260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56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r>
      <w:tr>
        <w:trPr/>
        <w:tc>
          <w:tcPr>
            <w:tcW w:w="29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Hypothetical change in HubSpot stock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Estimated change in</w:t>
              <w:br/>
              <w:t>fair value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Hypothetical percentage increase (decrease) in fair value</w:t>
            </w:r>
          </w:p>
        </w:tc>
        <w:tc>
          <w:tcPr>
            <w:tcW w:w="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 increase</w:t>
            </w:r>
          </w:p>
        </w:tc>
        <w:tc>
          <w:tcPr>
            <w:tcW w:w="3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788,016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left"/>
              <w:rPr/>
            </w:pPr>
            <w:r>
              <w:rPr/>
              <w:t> </w:t>
            </w:r>
          </w:p>
        </w:tc>
        <w:tc>
          <w:tcPr>
            <w:tcW w:w="25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 change</w:t>
            </w:r>
          </w:p>
        </w:tc>
        <w:tc>
          <w:tcPr>
            <w:tcW w:w="3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725,507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77" w:type="dxa"/>
            <w:tcBorders/>
            <w:shd w:fill="auto" w:val="clear"/>
            <w:vAlign w:val="center"/>
          </w:tcPr>
          <w:p>
            <w:pPr>
              <w:pStyle w:val="TableContents"/>
              <w:spacing w:before="0" w:after="0"/>
              <w:ind w:left="0" w:right="0" w:hanging="0"/>
              <w:jc w:val="left"/>
              <w:rPr/>
            </w:pPr>
            <w:r>
              <w:rPr/>
              <w:t> </w:t>
            </w:r>
          </w:p>
        </w:tc>
        <w:tc>
          <w:tcPr>
            <w:tcW w:w="2562" w:type="dxa"/>
            <w:tcBorders/>
            <w:shd w:fill="auto" w:val="clear"/>
            <w:vAlign w:val="center"/>
          </w:tcPr>
          <w:p>
            <w:pPr>
              <w:pStyle w:val="TableContents"/>
              <w:spacing w:before="0" w:after="0"/>
              <w:ind w:left="0" w:right="0" w:hanging="0"/>
              <w:jc w:val="right"/>
              <w:rPr/>
            </w:pPr>
            <w:r>
              <w:rPr/>
              <w:t>—</w:t>
            </w:r>
          </w:p>
        </w:tc>
        <w:tc>
          <w:tcPr>
            <w:tcW w:w="366" w:type="dxa"/>
            <w:tcBorders/>
            <w:shd w:fill="auto" w:val="clear"/>
            <w:vAlign w:val="center"/>
          </w:tcPr>
          <w:p>
            <w:pPr>
              <w:pStyle w:val="TableContents"/>
              <w:spacing w:before="0" w:after="0"/>
              <w:ind w:left="0" w:right="0" w:hanging="0"/>
              <w:jc w:val="left"/>
              <w:rPr/>
            </w:pPr>
            <w:r>
              <w:rPr/>
              <w:t> </w:t>
            </w:r>
          </w:p>
        </w:tc>
      </w:tr>
      <w:tr>
        <w:trPr/>
        <w:tc>
          <w:tcPr>
            <w:tcW w:w="26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 decrease</w:t>
            </w:r>
          </w:p>
        </w:tc>
        <w:tc>
          <w:tcPr>
            <w:tcW w:w="35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662,962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077" w:type="dxa"/>
            <w:tcBorders/>
            <w:shd w:fill="auto" w:val="clear"/>
            <w:vAlign w:val="center"/>
          </w:tcPr>
          <w:p>
            <w:pPr>
              <w:pStyle w:val="TableContents"/>
              <w:spacing w:before="0" w:after="0"/>
              <w:ind w:left="0" w:right="0" w:hanging="0"/>
              <w:jc w:val="left"/>
              <w:rPr/>
            </w:pPr>
            <w:r>
              <w:rPr/>
              <w:t> </w:t>
            </w:r>
          </w:p>
        </w:tc>
        <w:tc>
          <w:tcPr>
            <w:tcW w:w="25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bookmarkStart w:id="11" w:name="item_4_controls_procedures"/>
      <w:bookmarkEnd w:id="11"/>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240" w:after="0"/>
        <w:jc w:val="left"/>
        <w:rPr>
          <w:rFonts w:ascii="Times New Roman" w:hAnsi="Times New Roman"/>
          <w:sz w:val="20"/>
        </w:rPr>
      </w:pPr>
      <w:r>
        <w:rPr>
          <w:rFonts w:ascii="Times New Roman;serif" w:hAnsi="Times New Roman;serif"/>
          <w:b w:val="false"/>
          <w:sz w:val="20"/>
          <w:u w:val="single"/>
        </w:rPr>
        <w:t>Evaluation of Disclosure Controls and Procedures</w:t>
      </w:r>
      <w:r>
        <w:rPr>
          <w:rFonts w:ascii="Times New Roman;serif" w:hAnsi="Times New Roman;serif"/>
          <w:b w:val="false"/>
          <w:sz w:val="20"/>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pStyle w:val="TextBody"/>
        <w:spacing w:before="240" w:after="0"/>
        <w:jc w:val="left"/>
        <w:rPr>
          <w:rFonts w:ascii="Times New Roman" w:hAnsi="Times New Roman"/>
          <w:sz w:val="20"/>
        </w:rPr>
      </w:pPr>
      <w:r>
        <w:rPr>
          <w:rFonts w:ascii="Times New Roman;serif" w:hAnsi="Times New Roman;serif"/>
          <w:b w:val="false"/>
          <w:sz w:val="20"/>
          <w:u w:val="single"/>
        </w:rPr>
        <w:t>Changes in Internal Control Over Financial Reporting</w:t>
      </w:r>
      <w:r>
        <w:rPr>
          <w:rFonts w:ascii="Times New Roman;serif" w:hAnsi="Times New Roman;serif"/>
          <w:b w:val="false"/>
          <w:sz w:val="20"/>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u w:val="single"/>
        </w:rPr>
        <w:t>Inherent Limitations of Internal Controls</w:t>
      </w:r>
      <w:r>
        <w:rPr>
          <w:rFonts w:ascii="Times New Roman;serif" w:hAnsi="Times New Roman;serif"/>
          <w:b w:val="false"/>
          <w:sz w:val="20"/>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240" w:after="0"/>
        <w:jc w:val="center"/>
        <w:rPr>
          <w:rFonts w:ascii="Times New Roman" w:hAnsi="Times New Roman"/>
          <w:sz w:val="20"/>
        </w:rPr>
      </w:pPr>
      <w:bookmarkStart w:id="12" w:name="part_ii"/>
      <w:bookmarkEnd w:id="12"/>
      <w:r>
        <w:rPr>
          <w:rFonts w:ascii="Times New Roman;serif" w:hAnsi="Times New Roman;serif"/>
          <w:b/>
          <w:sz w:val="20"/>
        </w:rPr>
        <w:t>PART</w:t>
      </w:r>
      <w:r>
        <w:rPr>
          <w:rFonts w:ascii="Times New Roman" w:hAnsi="Times New Roman"/>
          <w:sz w:val="20"/>
        </w:rPr>
        <w:t xml:space="preserve"> </w:t>
      </w:r>
      <w:r>
        <w:rPr>
          <w:rFonts w:ascii="Times New Roman;serif" w:hAnsi="Times New Roman;serif"/>
          <w:b/>
          <w:sz w:val="20"/>
        </w:rPr>
        <w:t>II</w:t>
      </w:r>
    </w:p>
    <w:p>
      <w:pPr>
        <w:pStyle w:val="TextBody"/>
        <w:spacing w:before="240" w:after="0"/>
        <w:jc w:val="center"/>
        <w:rPr>
          <w:rFonts w:ascii="Times New Roman;serif" w:hAnsi="Times New Roman;serif"/>
          <w:b/>
          <w:sz w:val="20"/>
        </w:rPr>
      </w:pPr>
      <w:r>
        <w:rPr>
          <w:rFonts w:ascii="Times New Roman;serif" w:hAnsi="Times New Roman;serif"/>
          <w:b/>
          <w:sz w:val="20"/>
        </w:rPr>
        <w:t>Other Information</w:t>
      </w:r>
    </w:p>
    <w:p>
      <w:pPr>
        <w:pStyle w:val="TextBody"/>
        <w:spacing w:before="240" w:after="0"/>
        <w:jc w:val="left"/>
        <w:rPr>
          <w:rFonts w:ascii="Times New Roman" w:hAnsi="Times New Roman"/>
          <w:sz w:val="20"/>
        </w:rPr>
      </w:pPr>
      <w:bookmarkStart w:id="13" w:name="item_1_legal_proceedings"/>
      <w:bookmarkEnd w:id="13"/>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spacing w:before="240" w:after="0"/>
        <w:jc w:val="left"/>
        <w:rPr/>
      </w:pPr>
      <w:r>
        <w:rPr/>
        <w:t> </w:t>
      </w:r>
    </w:p>
    <w:p>
      <w:pPr>
        <w:pStyle w:val="TextBody"/>
        <w:spacing w:before="200" w:after="0"/>
        <w:jc w:val="left"/>
        <w:rPr/>
      </w:pPr>
      <w:r>
        <w:rPr/>
        <w:t> </w:t>
      </w:r>
    </w:p>
    <w:p>
      <w:pPr>
        <w:pStyle w:val="TextBody"/>
        <w:spacing w:before="200" w:after="0"/>
        <w:jc w:val="left"/>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spacing w:before="200" w:after="0"/>
        <w:jc w:val="left"/>
        <w:rPr>
          <w:rFonts w:ascii="Times New Roman;serif" w:hAnsi="Times New Roman;serif"/>
          <w:b w:val="false"/>
          <w:i/>
          <w:sz w:val="20"/>
        </w:rPr>
      </w:pPr>
      <w:r>
        <w:rPr>
          <w:rFonts w:ascii="Times New Roman;serif" w:hAnsi="Times New Roman;serif"/>
          <w:b w:val="false"/>
          <w:i/>
          <w:sz w:val="20"/>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The trading price of our common stock could decline due to any of these risks, and, as a result, you may lose all or part of your investment.</w:t>
      </w:r>
    </w:p>
    <w:p>
      <w:pPr>
        <w:pStyle w:val="TextBody"/>
        <w:spacing w:before="20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Risks Related to Our Business and Strategy</w:t>
      </w:r>
    </w:p>
    <w:p>
      <w:pPr>
        <w:pStyle w:val="TextBody"/>
        <w:spacing w:before="200" w:after="0"/>
        <w:jc w:val="left"/>
        <w:rPr>
          <w:rFonts w:ascii="Times New Roman;serif" w:hAnsi="Times New Roman;serif"/>
          <w:b/>
          <w:i/>
          <w:sz w:val="20"/>
        </w:rPr>
      </w:pPr>
      <w:r>
        <w:rPr>
          <w:rFonts w:ascii="Times New Roman;serif" w:hAnsi="Times New Roman;serif"/>
          <w:b/>
          <w:i/>
          <w:sz w:val="20"/>
        </w:rPr>
        <w:t>We are dependent upon customer renewals, the addition of new customers, increased revenue from existing customers and the continued growth of the market for a CRM Platform.</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derive, and expect to continue to derive, a substantial portion of our revenue from the sale of subscriptions to our CRM Platform. The market for inbound marketing, sales, service, operations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pStyle w:val="TextBody"/>
        <w:spacing w:before="200" w:after="0"/>
        <w:jc w:val="left"/>
        <w:rPr>
          <w:rFonts w:ascii="Times New Roman;serif" w:hAnsi="Times New Roman;serif"/>
          <w:b/>
          <w:i/>
          <w:sz w:val="20"/>
        </w:rPr>
      </w:pPr>
      <w:r>
        <w:rPr>
          <w:rFonts w:ascii="Times New Roman;serif" w:hAnsi="Times New Roman;serif"/>
          <w:b/>
          <w:i/>
          <w:sz w:val="20"/>
        </w:rPr>
        <w:t>Our subscription renewal rates may decrease, and any decrease could harm our future revenue and operating results.</w:t>
      </w:r>
    </w:p>
    <w:p>
      <w:pPr>
        <w:pStyle w:val="TextBody"/>
        <w:spacing w:before="200" w:after="0"/>
        <w:jc w:val="left"/>
        <w:rPr>
          <w:rFonts w:ascii="Times New Roman" w:hAnsi="Times New Roman"/>
          <w:sz w:val="20"/>
        </w:rPr>
      </w:pPr>
      <w:r>
        <w:rPr>
          <w:rFonts w:ascii="Times New Roman;serif" w:hAnsi="Times New Roman;serif"/>
          <w:b w:val="false"/>
          <w:sz w:val="20"/>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In addition, a subscription model creates certain risks related to the timing of revenue recognition and potential reductions in cash flows. A portion of the subscription-based revenue we report each quarter results from the recognition of deferred revenue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relating to subscription agreements entered into during previous quarters. In addition, we do not record deferred revenue beyond amounts invoiced as a liability on our balance sheet.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pStyle w:val="TextBody"/>
        <w:spacing w:before="200" w:after="0"/>
        <w:jc w:val="left"/>
        <w:rPr>
          <w:rFonts w:ascii="Times New Roman;serif" w:hAnsi="Times New Roman;serif"/>
          <w:b/>
          <w:i/>
          <w:sz w:val="20"/>
        </w:rPr>
      </w:pPr>
      <w:r>
        <w:rPr>
          <w:rFonts w:ascii="Times New Roman;serif" w:hAnsi="Times New Roman;serif"/>
          <w:b/>
          <w:i/>
          <w:sz w:val="20"/>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pStyle w:val="TextBody"/>
        <w:spacing w:before="200" w:after="0"/>
        <w:jc w:val="left"/>
        <w:rPr>
          <w:rFonts w:ascii="Times New Roman" w:hAnsi="Times New Roman"/>
          <w:sz w:val="20"/>
        </w:rPr>
      </w:pPr>
      <w:r>
        <w:rPr>
          <w:rFonts w:ascii="Times New Roman;serif" w:hAnsi="Times New Roman;serif"/>
          <w:b w:val="false"/>
          <w:sz w:val="20"/>
        </w:rPr>
        <w:t>The marketing, sales, customer service, operations,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competitors include:</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cloud-based marketing automation providers;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email marketing software vendors;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sales force automation and CRM software vendors;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large-scale enterprise suites;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customer service software providers; and</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content management systems.</w:t>
      </w:r>
    </w:p>
    <w:p>
      <w:pPr>
        <w:pStyle w:val="TextBody"/>
        <w:spacing w:before="200" w:after="0"/>
        <w:jc w:val="left"/>
        <w:rPr>
          <w:rFonts w:ascii="Times New Roman" w:hAnsi="Times New Roman"/>
          <w:sz w:val="20"/>
        </w:rPr>
      </w:pPr>
      <w:r>
        <w:rPr>
          <w:rFonts w:ascii="Times New Roman;serif" w:hAnsi="Times New Roman;serif"/>
          <w:b w:val="false"/>
          <w:sz w:val="20"/>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i/>
          <w:sz w:val="20"/>
        </w:rPr>
      </w:pPr>
      <w:r>
        <w:rPr>
          <w:rFonts w:ascii="Times New Roman;serif" w:hAnsi="Times New Roman;serif"/>
          <w:b/>
          <w:i/>
          <w:sz w:val="20"/>
        </w:rPr>
        <w:t>We have experienced rapid growth and organizational change in recent periods and expect growth of headcount and operations over the long-term. If we fail to manage growth and organizational change effectively, we may be unable to execute our business plan, maintain high levels of service or address competitive challenges adequately.</w:t>
      </w:r>
    </w:p>
    <w:p>
      <w:pPr>
        <w:pStyle w:val="TextBody"/>
        <w:spacing w:before="200" w:after="0"/>
        <w:jc w:val="left"/>
        <w:rPr>
          <w:rFonts w:ascii="Times New Roman" w:hAnsi="Times New Roman"/>
          <w:sz w:val="20"/>
        </w:rPr>
      </w:pPr>
      <w:r>
        <w:rPr>
          <w:rFonts w:ascii="Times New Roman;serif" w:hAnsi="Times New Roman;serif"/>
          <w:b w:val="false"/>
          <w:sz w:val="20"/>
        </w:rPr>
        <w:t>Prior to the implementation of our Restructuring Plan in January 2023, our headcount and operations grew substantially. To date, we have opened several international offices. This growth has placed, and will continue to place, a significant strain on our management, administrative, operational and financial infrastructure. While we expect to continue to grow headcount and operations over the long-term, in January 2023, we authorized a workforce reduction impacting approximately 7% of our workforce and began exiting select leases to consolidate our office space. We may be unable to effectively manage the organizational changes we have made in connection with the Restructuring Plan, which could result in difficulty or delays in delivering our products to customers, declines in quality or customer satisfaction, increases in costs, difficulties in introducing new products and services or enhancing existing products and services, reputational harm, loss of customers, or operational difficulties in executing sales strategies, any of which could adversely affect our business performance and operating results.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more of our employees work remotely from geographic areas across the globe on a permanent basis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 xml:space="preserve">In addition, our information technology infrastructure, operational, financial and management systems and procedures may not be able to effectively manage changes to our headcount, operations and office space that result from the Restructuring Plan. Our Restructuring Plan has increased our short-term costs, which makes it more difficult for us to address any future revenue shortfalls by reducing expenses in the short-term. If we fail to successfully manage organizational changes in connection with the Restructuring Plan or our future growth, we will be unable to successfully execute our business plan, which could have a negative impact on our business, results of operations or financial condition. </w:t>
        <w:br/>
        <w:br/>
      </w:r>
      <w:r>
        <w:rPr>
          <w:rFonts w:ascii="Times New Roman" w:hAnsi="Times New Roman"/>
          <w:sz w:val="20"/>
        </w:rPr>
        <w:t> </w:t>
      </w:r>
    </w:p>
    <w:p>
      <w:pPr>
        <w:pStyle w:val="TextBody"/>
        <w:spacing w:before="200" w:after="0"/>
        <w:jc w:val="left"/>
        <w:rPr>
          <w:rFonts w:ascii="Times New Roman;serif" w:hAnsi="Times New Roman;serif"/>
          <w:b/>
          <w:i/>
          <w:sz w:val="20"/>
        </w:rPr>
      </w:pPr>
      <w:r>
        <w:rPr>
          <w:rFonts w:ascii="Times New Roman;serif" w:hAnsi="Times New Roman;serif"/>
          <w:b/>
          <w:i/>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To increase Customers and achieve broader market acceptance of our CRM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CRM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spacing w:before="200" w:after="0"/>
        <w:jc w:val="left"/>
        <w:rPr>
          <w:rFonts w:ascii="Times New Roman;serif" w:hAnsi="Times New Roman;serif"/>
          <w:b/>
          <w:i/>
          <w:sz w:val="20"/>
        </w:rPr>
      </w:pPr>
      <w:r>
        <w:rPr>
          <w:rFonts w:ascii="Times New Roman;serif" w:hAnsi="Times New Roman;serif"/>
          <w:b/>
          <w:i/>
          <w:sz w:val="20"/>
        </w:rPr>
        <w:t>The rate of growth of our business depends on the continued participation and level of service of our Solutions Partners.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rely on our Solutions Partners to provide certain services to our customers, as well as pursue sales of our CRM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pStyle w:val="TextBody"/>
        <w:spacing w:before="200" w:after="0"/>
        <w:jc w:val="left"/>
        <w:rPr>
          <w:rFonts w:ascii="Times New Roman;serif" w:hAnsi="Times New Roman;serif"/>
          <w:b/>
          <w:i/>
          <w:sz w:val="20"/>
        </w:rPr>
      </w:pPr>
      <w:r>
        <w:rPr>
          <w:rFonts w:ascii="Times New Roman;serif" w:hAnsi="Times New Roman;serif"/>
          <w:b/>
          <w:i/>
          <w:sz w:val="20"/>
        </w:rPr>
        <w:t>If we fail to maintain our inbound thought leadership position, our business may suffer.</w:t>
      </w:r>
    </w:p>
    <w:p>
      <w:pPr>
        <w:pStyle w:val="TextBody"/>
        <w:spacing w:before="200" w:after="0"/>
        <w:jc w:val="left"/>
        <w:rPr>
          <w:rFonts w:ascii="Times New Roman" w:hAnsi="Times New Roman"/>
          <w:sz w:val="20"/>
        </w:rPr>
      </w:pPr>
      <w:r>
        <w:rPr>
          <w:rFonts w:ascii="Times New Roman;serif" w:hAnsi="Times New Roman;serif"/>
          <w:b w:val="false"/>
          <w:sz w:val="20"/>
        </w:rPr>
        <w:t>We believe that maintaining our thought leadership position in inbound marketing, sales, services, operations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thought leadership may not yield increased revenue, and even if they do, any increased revenue may not offset the expenses we incurred in such effort. We rely upon the continued services of our management and employees with domain expertise with inbound 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pStyle w:val="TextBody"/>
        <w:spacing w:before="200" w:after="0"/>
        <w:jc w:val="left"/>
        <w:rPr>
          <w:rFonts w:ascii="Times New Roman;serif" w:hAnsi="Times New Roman;serif"/>
          <w:b/>
          <w:i/>
          <w:sz w:val="20"/>
        </w:rPr>
      </w:pPr>
      <w:r>
        <w:rPr>
          <w:rFonts w:ascii="Times New Roman;serif" w:hAnsi="Times New Roman;serif"/>
          <w:b/>
          <w:i/>
          <w:sz w:val="20"/>
        </w:rPr>
        <w:t>If we fail to further enhance our brand and maintain our existing strong brand awareness, our ability to expand our customer base will be impaired and our financial condition may suffer.</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pStyle w:val="TextBody"/>
        <w:spacing w:before="200" w:after="0"/>
        <w:jc w:val="left"/>
        <w:rPr>
          <w:rFonts w:ascii="Times New Roman;serif" w:hAnsi="Times New Roman;serif"/>
          <w:b/>
          <w:i/>
          <w:sz w:val="20"/>
        </w:rPr>
      </w:pPr>
      <w:r>
        <w:rPr>
          <w:rFonts w:ascii="Times New Roman;serif" w:hAnsi="Times New Roman;serif"/>
          <w:b/>
          <w:i/>
          <w:sz w:val="20"/>
        </w:rPr>
        <w:t>If we fail to adapt and respond effectively to rapidly changing technology, evolving industry standards and changing customer needs or requirements, our CRM Platform may become less competitive.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pStyle w:val="TextBody"/>
        <w:spacing w:before="200" w:after="0"/>
        <w:jc w:val="left"/>
        <w:rPr>
          <w:rFonts w:ascii="Times New Roman;serif" w:hAnsi="Times New Roman;serif"/>
          <w:b/>
          <w:i/>
          <w:sz w:val="20"/>
        </w:rPr>
      </w:pPr>
      <w:r>
        <w:rPr>
          <w:rFonts w:ascii="Times New Roman;serif" w:hAnsi="Times New Roman;serif"/>
          <w:b/>
          <w:i/>
          <w:sz w:val="20"/>
        </w:rPr>
        <w:t>If we fail to offer high-quality customer support, our business and reputation may suffer.</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pStyle w:val="TextBody"/>
        <w:spacing w:before="200" w:after="0"/>
        <w:jc w:val="left"/>
        <w:rPr>
          <w:rFonts w:ascii="Times New Roman;serif" w:hAnsi="Times New Roman;serif"/>
          <w:b/>
          <w:i/>
          <w:sz w:val="20"/>
        </w:rPr>
      </w:pPr>
      <w:r>
        <w:rPr>
          <w:rFonts w:ascii="Times New Roman;serif" w:hAnsi="Times New Roman;serif"/>
          <w:b/>
          <w:i/>
          <w:sz w:val="20"/>
        </w:rPr>
        <w:t>We may not be able to scale our business quickly enough to meet our customers’ growing needs and if we are not able to grow efficiently, our operating results could be harmed.</w:t>
      </w:r>
    </w:p>
    <w:p>
      <w:pPr>
        <w:pStyle w:val="TextBody"/>
        <w:spacing w:before="200" w:after="0"/>
        <w:jc w:val="left"/>
        <w:rPr>
          <w:rFonts w:ascii="Times New Roman" w:hAnsi="Times New Roman"/>
          <w:sz w:val="20"/>
        </w:rPr>
      </w:pPr>
      <w:r>
        <w:rPr>
          <w:rFonts w:ascii="Times New Roman;serif" w:hAnsi="Times New Roman;serif"/>
          <w:b w:val="false"/>
          <w:sz w:val="20"/>
        </w:rPr>
        <w:t xml:space="preserve">As usage of our CRM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w:t>
        <w:br/>
        <w:br/>
      </w:r>
      <w:r>
        <w:rPr>
          <w:rFonts w:ascii="Times New Roman;serif" w:hAnsi="Times New Roman;serif"/>
          <w:b/>
          <w:i/>
          <w:sz w:val="20"/>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To remain competitive, we must continue to develop new product offerings, applications, features and enhancements to our existing CRM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development of next-generation solutions that utilize new and advanced features, including artificial intelligence (“AI”) and machine learning, involves making predictions regarding the willingness of the market to adopt such technologies over legacy solutions. The Company may be required to commit significant resources to developing new products, software and services before knowing whether such investment will result in products or services that the market will accept.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Company’s inability, for technological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Uncertainty around new and emerging AI applications such as generative AI content creation may require additional investment in the development of proprietary datasets and machine learning models, development of new approaches and processes to provide attribution or remuneration to content creators and building systems that enable creatives to have greater control over the use of their work in the development of AI, which may be costly and could impact our profit margin if we are unable to monetize such assets. Developing, testing and deploying AI systems may also increase the cost profile of our offerings due to the nature of the computing costs involved in such systems.</w:t>
      </w:r>
    </w:p>
    <w:p>
      <w:pPr>
        <w:pStyle w:val="TextBody"/>
        <w:spacing w:before="200" w:after="0"/>
        <w:jc w:val="left"/>
        <w:rPr>
          <w:rFonts w:ascii="Times New Roman;serif" w:hAnsi="Times New Roman;serif"/>
          <w:b/>
          <w:i/>
          <w:sz w:val="20"/>
        </w:rPr>
      </w:pPr>
      <w:r>
        <w:rPr>
          <w:rFonts w:ascii="Times New Roman;serif" w:hAnsi="Times New Roman;serif"/>
          <w:b/>
          <w:i/>
          <w:sz w:val="20"/>
        </w:rPr>
        <w:t>Changes in the sizes or types of businesses that purchase our platform or in the applications within our CRM Platform purchased or used by our customers could negatively affect our operating results.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pStyle w:val="TextBody"/>
        <w:spacing w:before="200" w:after="0"/>
        <w:jc w:val="left"/>
        <w:rPr>
          <w:rFonts w:ascii="Times New Roman;serif" w:hAnsi="Times New Roman;serif"/>
          <w:b/>
          <w:i/>
          <w:sz w:val="20"/>
        </w:rPr>
      </w:pPr>
      <w:r>
        <w:rPr>
          <w:rFonts w:ascii="Times New Roman;serif" w:hAnsi="Times New Roman;serif"/>
          <w:b/>
          <w:i/>
          <w:sz w:val="20"/>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pStyle w:val="TextBody"/>
        <w:spacing w:before="200" w:after="0"/>
        <w:jc w:val="left"/>
        <w:rPr>
          <w:rFonts w:ascii="Times New Roman" w:hAnsi="Times New Roman"/>
          <w:sz w:val="20"/>
        </w:rPr>
      </w:pPr>
      <w:r>
        <w:rPr>
          <w:rFonts w:ascii="Times New Roman;serif" w:hAnsi="Times New Roman;serif"/>
          <w:b w:val="false"/>
          <w:sz w:val="20"/>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pStyle w:val="TextBody"/>
        <w:spacing w:before="200" w:after="0"/>
        <w:jc w:val="left"/>
        <w:rPr>
          <w:rFonts w:ascii="Times New Roman;serif" w:hAnsi="Times New Roman;serif"/>
          <w:b/>
          <w:i/>
          <w:sz w:val="20"/>
        </w:rPr>
      </w:pPr>
      <w:r>
        <w:rPr>
          <w:rFonts w:ascii="Times New Roman;serif" w:hAnsi="Times New Roman;serif"/>
          <w:b/>
          <w:i/>
          <w:sz w:val="20"/>
        </w:rPr>
        <w:t>Because our long-term growth strategy involves further expansion of our sales to customers outside the United States, our business will be susceptible to risks associated with international operations.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difficulties in maintaining our company culture with a dispersed and distant workforce;</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more stringent regulations relating to data security and the unauthorized use of, or access to, commercial and personal data, particularly in the European Union;</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unexpected changes in regulatory requirements, taxes or trade laws;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challenges inherent in efficiently managing an increased number of employees over large geographic distances, including the need to implement appropriate systems, policies, benefits and compliance programs;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difficulties in managing a business in new markets with diverse cultures, languages, customs, legal systems, alternative dispute systems and regulatory systems;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currency exchange rate fluctuations and the resulting effect on our revenue and expenses, and the cost and risk of entering into hedging transactions if we chose to do so in the future;</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global economic uncertainty caused by global political events,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limitations on our ability to reinvest earnings from operations in one country to fund the capital needs of our operations in other countries;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limited or insufficient intellectual property protection;</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international disputes, wars (such as the conflict between Russia and Ukraine), political instability or terrorist activities and resulting economic instability; </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adverse tax burdens and foreign exchange controls that could make it difficult to repatriate earnings and cash.</w:t>
      </w:r>
    </w:p>
    <w:p>
      <w:pPr>
        <w:pStyle w:val="TextBody"/>
        <w:spacing w:before="200" w:after="0"/>
        <w:jc w:val="left"/>
        <w:rPr>
          <w:rFonts w:ascii="Times New Roman" w:hAnsi="Times New Roman"/>
          <w:sz w:val="20"/>
        </w:rPr>
      </w:pPr>
      <w:r>
        <w:rPr>
          <w:rFonts w:ascii="Times New Roman;serif" w:hAnsi="Times New Roman;serif"/>
          <w:b w:val="false"/>
          <w:sz w:val="20"/>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pStyle w:val="TextBody"/>
        <w:spacing w:before="200" w:after="0"/>
        <w:jc w:val="left"/>
        <w:rPr>
          <w:rFonts w:ascii="Times New Roman;serif" w:hAnsi="Times New Roman;serif"/>
          <w:b/>
          <w:i/>
          <w:sz w:val="20"/>
        </w:rPr>
      </w:pPr>
      <w:r>
        <w:rPr>
          <w:rFonts w:ascii="Times New Roman;serif" w:hAnsi="Times New Roman;serif"/>
          <w:b/>
          <w:i/>
          <w:sz w:val="20"/>
        </w:rPr>
        <w:t>Our Restructuring Plan and associated organizational changes may not adequately reduce our operating costs or improve operating margins, may lead to additional workforce attrition, and may cause operational disruptions.</w:t>
      </w:r>
    </w:p>
    <w:p>
      <w:pPr>
        <w:pStyle w:val="TextBody"/>
        <w:spacing w:before="200" w:after="0"/>
        <w:jc w:val="left"/>
        <w:rPr>
          <w:rFonts w:ascii="Times New Roman" w:hAnsi="Times New Roman"/>
          <w:sz w:val="20"/>
        </w:rPr>
      </w:pPr>
      <w:r>
        <w:rPr>
          <w:rFonts w:ascii="Times New Roman;serif" w:hAnsi="Times New Roman;serif"/>
          <w:b w:val="false"/>
          <w:sz w:val="20"/>
        </w:rPr>
        <w:t>In January 2023, we implemented our Restructuring Plan, which was designed to reduce operating costs and enable investment in key opportunities for long-term growth while driving continued profitability. The Restructuring Plan included a reduction of the Company’s current workforce by approximately 7% and a lease consolidation to create higher density across our workspaces.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Restructuring Plan may yield unintended consequences and costs, such as the loss of institutional knowledge and expertise, employee attrition beyond our intended reduction in force, a reduction in morale among our remaining employees, greater-than-anticipated costs incurred in connection with implementing the Restructuring Plan, and the risk that we may not achieve the benefits from the Restructuring Plan to the extent or as quickly as we anticipate, all of which may have a material adverse effect on our results of operations or financial condition. These restructuring initiatives could place substantial demands on our management and employees, which could lead to the diversion of our management’s and employees’ attention from other business priorities. In addition, while certain positions have been eliminated in connection with the Restructuring Plan, certain functions necessary to our reduced operations remain, and we may be unsuccessful in distributing the duties and obligations of departed employees among our remaining employees or to external service providers, which could result in disruptions to our operations. We may also discover that the workforce reduction and other restructuring efforts will make it difficult for us to pursue new opportunities and initiatives and require us to hire qualified replacement personnel, which may require us to incur additional and unanticipated costs and expenses. We may further discover that, despite the implementation of our Restructuring Plan, we may require additional capital to continue expanding our business, and we may be unable to obtain such capital on acceptable terms, if at all. Our failure to successfully accomplish any of the above activities and goals may have a material adverse impact on our business, financial condition, and results of operations.</w:t>
      </w:r>
    </w:p>
    <w:p>
      <w:pPr>
        <w:pStyle w:val="TextBody"/>
        <w:spacing w:before="200" w:after="0"/>
        <w:jc w:val="left"/>
        <w:rPr>
          <w:rFonts w:ascii="Times New Roman;serif" w:hAnsi="Times New Roman;serif"/>
          <w:b/>
          <w:i/>
          <w:sz w:val="20"/>
        </w:rPr>
      </w:pPr>
      <w:r>
        <w:rPr>
          <w:rFonts w:ascii="Times New Roman;serif" w:hAnsi="Times New Roman;serif"/>
          <w:b/>
          <w:i/>
          <w:sz w:val="20"/>
        </w:rPr>
        <w:t>Social and ethical issues relating to the use of new and evolving technologies, such as AI, in our offerings may result in reputational harm and liability.</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As with many innovations, AI presents risks and challenges that could affect its adoption, and therefore our business. If we enable or offer solutions that draw controversy due to their perceived or actual impact on society,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w:t>
      </w:r>
    </w:p>
    <w:p>
      <w:pPr>
        <w:pStyle w:val="TextBody"/>
        <w:spacing w:before="20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Risks Related to Employee Matters</w:t>
      </w:r>
    </w:p>
    <w:p>
      <w:pPr>
        <w:pStyle w:val="TextBody"/>
        <w:spacing w:before="200" w:after="0"/>
        <w:jc w:val="left"/>
        <w:rPr>
          <w:rFonts w:ascii="Times New Roman;serif" w:hAnsi="Times New Roman;serif"/>
          <w:b/>
          <w:i/>
          <w:sz w:val="20"/>
        </w:rPr>
      </w:pPr>
      <w:r>
        <w:rPr>
          <w:rFonts w:ascii="Times New Roman;serif" w:hAnsi="Times New Roman;serif"/>
          <w:b/>
          <w:i/>
          <w:sz w:val="20"/>
        </w:rPr>
        <w:t>If we cannot maintain our company culture as we experience changes in our workforce, we could lose the innovation, teamwork, passion and focus on execution that we believe contribute to our success and our business may be harmed.</w:t>
      </w:r>
    </w:p>
    <w:p>
      <w:pPr>
        <w:pStyle w:val="TextBody"/>
        <w:spacing w:before="200" w:after="0"/>
        <w:jc w:val="left"/>
        <w:rPr>
          <w:rFonts w:ascii="Times New Roman" w:hAnsi="Times New Roman"/>
          <w:sz w:val="20"/>
        </w:rPr>
      </w:pPr>
      <w:r>
        <w:rPr>
          <w:rFonts w:ascii="Times New Roman;serif" w:hAnsi="Times New Roman;serif"/>
          <w:b w:val="false"/>
          <w:sz w:val="20"/>
        </w:rPr>
        <w:t>We believe that a critical component to our success has been our company culture, which is based on transparency and personal autonomy. We have invested substantial time and resources in building our team within this company culture. In January 2023, we authorized a workforce reduction impacting approximately 7% of our workforce as part of our Restructuring Plan. The workforce reduction may make it more difficult to preserve our company culture and may negatively impact employee morale.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the majority of our workforce has been working from home, and may become more difficult due to the changes resulting from the Restructuring Plan.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w:t>
        <w:br/>
        <w:br/>
      </w:r>
      <w:r>
        <w:rPr>
          <w:rFonts w:ascii="Times New Roman;serif" w:hAnsi="Times New Roman;serif"/>
          <w:b/>
          <w:i/>
          <w:sz w:val="20"/>
        </w:rPr>
        <w:t>We rely on our management team and other key employees, and the loss of one or more key employees could harm our business.</w:t>
      </w:r>
    </w:p>
    <w:p>
      <w:pPr>
        <w:pStyle w:val="TextBody"/>
        <w:spacing w:before="200" w:after="0"/>
        <w:jc w:val="left"/>
        <w:rPr>
          <w:rFonts w:ascii="Times New Roman" w:hAnsi="Times New Roman"/>
          <w:sz w:val="20"/>
        </w:rPr>
      </w:pPr>
      <w:r>
        <w:rPr>
          <w:rFonts w:ascii="Times New Roman;serif" w:hAnsi="Times New Roman;serif"/>
          <w:b w:val="false"/>
          <w:sz w:val="20"/>
        </w:rPr>
        <w:t>Our success and future growth depend upon the continued services of our management team, including our co-founders, Brian Halligan and Dharmesh Shah, our chief executive officer, Yamini Rangan, and other key employees in the areas of research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development, marketing, sales, services, operations,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br/>
        <w:br/>
      </w:r>
      <w:r>
        <w:rPr>
          <w:rFonts w:ascii="Times New Roman;serif" w:hAnsi="Times New Roman;serif"/>
          <w:b/>
          <w:i/>
          <w:sz w:val="20"/>
        </w:rPr>
        <w:t>The failure to attract and retain additional qualified personnel could prevent us from executing our business strategy.</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The change by companies to offer a remote or hybrid work environment may increase the competition for such employees from employers outside of our traditional office locations. The workforce reduction we have implemented as part of our Restructuring Plan may negatively impact our ability to attract, integrate, retain and motivate highly qualified employees, and may harm our reputation with current or prospective employees.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pStyle w:val="TextBody"/>
        <w:spacing w:before="20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Risks Related to Global Economic Conditions</w:t>
      </w:r>
    </w:p>
    <w:p>
      <w:pPr>
        <w:pStyle w:val="TextBody"/>
        <w:spacing w:before="200" w:after="0"/>
        <w:jc w:val="left"/>
        <w:rPr>
          <w:rFonts w:ascii="Times New Roman;serif" w:hAnsi="Times New Roman;serif"/>
          <w:b/>
          <w:i/>
          <w:sz w:val="20"/>
        </w:rPr>
      </w:pPr>
      <w:r>
        <w:rPr>
          <w:rFonts w:ascii="Times New Roman;serif" w:hAnsi="Times New Roman;serif"/>
          <w:b/>
          <w:i/>
          <w:sz w:val="20"/>
        </w:rPr>
        <w:t>We are exposed to fluctuations in currency exchange rates that could adversely affect our financial results.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While we have limited currency exchange exposure to the Russian, Belarusian and Ukrainian currencies, we expect exchange rates with respect to these currencies to be volatile and other exchange rates may also be more volatile than normal as a result of the ongoing conflict between Russia and Ukraine.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pStyle w:val="TextBody"/>
        <w:spacing w:before="200" w:after="0"/>
        <w:jc w:val="left"/>
        <w:rPr>
          <w:rFonts w:ascii="Times New Roman;serif" w:hAnsi="Times New Roman;serif"/>
          <w:b/>
          <w:i/>
          <w:sz w:val="20"/>
        </w:rPr>
      </w:pPr>
      <w:r>
        <w:rPr>
          <w:rFonts w:ascii="Times New Roman;serif" w:hAnsi="Times New Roman;serif"/>
          <w:b/>
          <w:i/>
          <w:sz w:val="20"/>
        </w:rPr>
        <w:t>Weakened global economic conditions may harm our industry, business and results of operations.</w:t>
      </w:r>
    </w:p>
    <w:p>
      <w:pPr>
        <w:pStyle w:val="TextBody"/>
        <w:spacing w:before="200" w:after="0"/>
        <w:jc w:val="left"/>
        <w:rPr>
          <w:rFonts w:ascii="Times New Roman" w:hAnsi="Times New Roman"/>
          <w:sz w:val="20"/>
        </w:rPr>
      </w:pPr>
      <w:r>
        <w:rPr>
          <w:rFonts w:ascii="Times New Roman;serif" w:hAnsi="Times New Roman;serif"/>
          <w:b w:val="false"/>
          <w:sz w:val="20"/>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bankruptcies, inflation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overall uncertainty with respect to the economy, including with respect to tariff and trade issues. Weak economic conditions or significant uncertainty regarding the stability of financial markets related to stock market volatility, inflation, recession, changes in tariffs, trade agreements or governmental fiscal, monetary and tax policies, among others, could adversely impact our business, financial condition and operating results. Further, weak market conditions have, and could in the future result in, impairment of our investments and long-lived assets.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Further, the economies of countries in Europe have been experiencing weakness associated with high sovereign debt levels, weakness in the banking sector, uncertainty over the future of the Euro zone and volatility in the value of the pound sterling and the 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pStyle w:val="TextBody"/>
        <w:spacing w:before="200" w:after="0"/>
        <w:jc w:val="left"/>
        <w:rPr>
          <w:rFonts w:ascii="Times New Roman;serif" w:hAnsi="Times New Roman;serif"/>
          <w:b/>
          <w:i/>
          <w:sz w:val="20"/>
        </w:rPr>
      </w:pPr>
      <w:r>
        <w:rPr>
          <w:rFonts w:ascii="Times New Roman;serif" w:hAnsi="Times New Roman;serif"/>
          <w:b/>
          <w:i/>
          <w:sz w:val="20"/>
        </w:rPr>
        <w:t>The current economic downturn may lead to decreased demand for our products and services and otherwise harm our business and results of operations.</w:t>
      </w:r>
    </w:p>
    <w:p>
      <w:pPr>
        <w:pStyle w:val="TextBody"/>
        <w:spacing w:before="200" w:after="0"/>
        <w:jc w:val="left"/>
        <w:rPr>
          <w:rFonts w:ascii="Times New Roman" w:hAnsi="Times New Roman"/>
          <w:sz w:val="20"/>
        </w:rPr>
      </w:pPr>
      <w:r>
        <w:rPr>
          <w:rFonts w:ascii="Times New Roman;serif" w:hAnsi="Times New Roman;serif"/>
          <w:b w:val="false"/>
          <w:sz w:val="20"/>
        </w:rPr>
        <w:t>Our overall performance depends, in part, on worldwide economic conditions. In recent months, we have observed increased economic uncertainty in the United States and abroad. Impacts of such economic weakness include:</w:t>
      </w:r>
      <w:r>
        <w:rPr>
          <w:rFonts w:ascii="Times New Roman" w:hAnsi="Times New Roman"/>
          <w:sz w:val="20"/>
        </w:rPr>
        <w:t xml:space="preserve"> </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falling overall demand for goods and services, leading to reduced profitability;</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reduced credit availability;</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higher borrowing costs;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reduced liquidity;</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volatility in credit, equity and foreign exchange markets; and</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bankruptcies.</w:t>
      </w:r>
    </w:p>
    <w:p>
      <w:pPr>
        <w:pStyle w:val="TextBody"/>
        <w:spacing w:before="200" w:after="0"/>
        <w:jc w:val="left"/>
        <w:rPr>
          <w:rFonts w:ascii="Times New Roman" w:hAnsi="Times New Roman"/>
          <w:sz w:val="20"/>
        </w:rPr>
      </w:pPr>
      <w:r>
        <w:rPr>
          <w:rFonts w:ascii="Times New Roman;serif" w:hAnsi="Times New Roman;serif"/>
          <w:b w:val="false"/>
          <w:sz w:val="20"/>
        </w:rPr>
        <w:t>These developments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br/>
        <w:br/>
      </w:r>
      <w:r>
        <w:rPr>
          <w:rFonts w:ascii="Times New Roman" w:hAnsi="Times New Roman"/>
          <w:sz w:val="20"/>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Risks Related to Our Technical Operations Infrastructure and Dependence on Third Parties</w:t>
      </w:r>
    </w:p>
    <w:p>
      <w:pPr>
        <w:pStyle w:val="TextBody"/>
        <w:spacing w:before="200" w:after="0"/>
        <w:jc w:val="left"/>
        <w:rPr>
          <w:rFonts w:ascii="Times New Roman;serif" w:hAnsi="Times New Roman;serif"/>
          <w:b/>
          <w:i/>
          <w:sz w:val="20"/>
        </w:rPr>
      </w:pPr>
      <w:r>
        <w:rPr>
          <w:rFonts w:ascii="Times New Roman;serif" w:hAnsi="Times New Roman;serif"/>
          <w:b/>
          <w:i/>
          <w:sz w:val="20"/>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spacing w:before="200" w:after="0"/>
        <w:jc w:val="left"/>
        <w:rPr>
          <w:rFonts w:ascii="Times New Roman" w:hAnsi="Times New Roman"/>
          <w:sz w:val="20"/>
        </w:rPr>
      </w:pPr>
      <w:r>
        <w:rPr>
          <w:rFonts w:ascii="Times New Roman;serif" w:hAnsi="Times New Roman;serif"/>
          <w:b w:val="false"/>
          <w:sz w:val="20"/>
        </w:rPr>
        <w:t>We currently serve the majority of our platform functions from third-party data center hosting facilities operated by Amazon Web Services in the United States and Europe. We also have several colocations which host certain critical services (for example, VPN access) in various locations around the world. In addition, we use Cloudflare Global CDN to optimize content delivery across our locations.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power or telecommunications failures or other unanticipated problems at a facility could result in lengthy interruptions in the availability of our on-demand software.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spacing w:before="200" w:after="0"/>
        <w:jc w:val="left"/>
        <w:rPr>
          <w:rFonts w:ascii="Times New Roman;serif" w:hAnsi="Times New Roman;serif"/>
          <w:b/>
          <w:i/>
          <w:sz w:val="20"/>
        </w:rPr>
      </w:pPr>
      <w:r>
        <w:rPr>
          <w:rFonts w:ascii="Times New Roman;serif" w:hAnsi="Times New Roman;serif"/>
          <w:b/>
          <w:i/>
          <w:sz w:val="20"/>
        </w:rPr>
        <w:t>If our CRM Platform has outages or fails due to defects or similar problems, and if we fail to correct any defect or other software problems, we could lose customers, become subject to service performance or warranty claims or incur significant costs.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addition, third-party applications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pStyle w:val="TextBody"/>
        <w:spacing w:before="200" w:after="0"/>
        <w:jc w:val="left"/>
        <w:rPr>
          <w:rFonts w:ascii="Times New Roman" w:hAnsi="Times New Roman"/>
          <w:sz w:val="20"/>
        </w:rPr>
      </w:pPr>
      <w:r>
        <w:rPr>
          <w:rFonts w:ascii="Times New Roman;serif" w:hAnsi="Times New Roman;serif"/>
          <w:b/>
          <w:i/>
          <w:sz w:val="20"/>
        </w:rPr>
        <w:t>If our information technology systems, including our CRM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We rely on our information technology systems, including the sustained and uninterrupted performance of our CRM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CRM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i/>
          <w:sz w:val="20"/>
        </w:rPr>
      </w:pPr>
      <w:r>
        <w:rPr>
          <w:rFonts w:ascii="Times New Roman;serif" w:hAnsi="Times New Roman;serif"/>
          <w:b/>
          <w:i/>
          <w:sz w:val="20"/>
        </w:rPr>
        <w:t>We are dependent on the continued availability of third-party data hosting and transmission services.</w:t>
      </w:r>
    </w:p>
    <w:p>
      <w:pPr>
        <w:pStyle w:val="TextBody"/>
        <w:spacing w:before="200" w:after="0"/>
        <w:jc w:val="left"/>
        <w:rPr>
          <w:rFonts w:ascii="Times New Roman" w:hAnsi="Times New Roman"/>
          <w:sz w:val="20"/>
        </w:rPr>
      </w:pPr>
      <w:r>
        <w:rPr>
          <w:rFonts w:ascii="Times New Roman;serif" w:hAnsi="Times New Roman;serif"/>
          <w:b w:val="false"/>
          <w:sz w:val="20"/>
        </w:rPr>
        <w:t>A significant portion of our operating cost is from our third-party data hosting and transmission services, including Amazon Web Services (“AWS”), which hosts the substantial majority of our products and platform. If the costs for such services increase due to vendor consolidation, regulation, contract renegotiation, or otherwise, we may not be able to increase the fees for our CRM Platform or services to cover the changes, which could have a negative impact on our operating results.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pStyle w:val="TextBody"/>
        <w:spacing w:before="200" w:after="0"/>
        <w:jc w:val="left"/>
        <w:rPr>
          <w:rFonts w:ascii="Times New Roman;serif" w:hAnsi="Times New Roman;serif"/>
          <w:b/>
          <w:i/>
          <w:sz w:val="20"/>
        </w:rPr>
      </w:pPr>
      <w:r>
        <w:rPr>
          <w:rFonts w:ascii="Times New Roman;serif" w:hAnsi="Times New Roman;serif"/>
          <w:b/>
          <w:i/>
          <w:sz w:val="20"/>
        </w:rPr>
        <w:t>If we do not or cannot maintain the compatibility of our CRM Platform with third-party applications that our customers use in their businesses, our revenue will decline.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pStyle w:val="TextBody"/>
        <w:spacing w:before="200" w:after="0"/>
        <w:jc w:val="left"/>
        <w:rPr>
          <w:rFonts w:ascii="Times New Roman;serif" w:hAnsi="Times New Roman;serif"/>
          <w:b/>
          <w:i/>
          <w:sz w:val="20"/>
        </w:rPr>
      </w:pPr>
      <w:r>
        <w:rPr>
          <w:rFonts w:ascii="Times New Roman;serif" w:hAnsi="Times New Roman;serif"/>
          <w:b/>
          <w:i/>
          <w:sz w:val="20"/>
        </w:rPr>
        <w:t>We rely on data provided by third parties, the loss of which could limit the functionality of our platform and disrupt our business.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pStyle w:val="TextBody"/>
        <w:spacing w:before="200" w:after="0"/>
        <w:jc w:val="left"/>
        <w:rPr>
          <w:rFonts w:ascii="Times New Roman;serif" w:hAnsi="Times New Roman;serif"/>
          <w:b/>
          <w:i/>
          <w:sz w:val="20"/>
        </w:rPr>
      </w:pPr>
      <w:r>
        <w:rPr>
          <w:rFonts w:ascii="Times New Roman;serif" w:hAnsi="Times New Roman;serif"/>
          <w:b/>
          <w:i/>
          <w:sz w:val="20"/>
        </w:rPr>
        <w:t>Privacy concerns and end users’ acceptance of Internet behavior tracking may limit the applicability, use and adoption of our CRM Platform.</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pStyle w:val="TextBody"/>
        <w:spacing w:before="200" w:after="0"/>
        <w:jc w:val="left"/>
        <w:rPr>
          <w:rFonts w:ascii="Times New Roman;serif" w:hAnsi="Times New Roman;serif"/>
          <w:b/>
          <w:i/>
          <w:sz w:val="20"/>
        </w:rPr>
      </w:pPr>
      <w:r>
        <w:rPr>
          <w:rFonts w:ascii="Times New Roman;serif" w:hAnsi="Times New Roman;serif"/>
          <w:b/>
          <w:i/>
          <w:sz w:val="20"/>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 or such concerns may cause us to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Cyber-attacks, denial-of-service attacks, ransomware attacks, business email compromises, computer malware, viruses, and social engineering (including phishing) are prevalent in our industry, the industries of certain of our service providers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as remote work and resource access expand,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conflict between Russia and Ukraine, and this could adversely affect our and our suppliers' ability to maintain or enhance key cybersecurity and data protection measures. We have previously been, and may in the future become, the target of cyber-attacks by third parties seeking unauthorized access to our or our customers' data, systems, or infrastructure, or to disrupt our operations or ability to provide our services.</w:t>
      </w:r>
    </w:p>
    <w:p>
      <w:pPr>
        <w:pStyle w:val="TextBody"/>
        <w:spacing w:before="200" w:after="0"/>
        <w:jc w:val="left"/>
        <w:rPr>
          <w:rFonts w:ascii="Times New Roman" w:hAnsi="Times New Roman"/>
          <w:sz w:val="20"/>
        </w:rPr>
      </w:pPr>
      <w:r>
        <w:rPr>
          <w:rFonts w:ascii="Times New Roman;serif" w:hAnsi="Times New Roman;serif"/>
          <w:b w:val="false"/>
          <w:sz w:val="20"/>
        </w:rPr>
        <w:t>Additionally, it is also possible that unauthorized access to sensitive customer and business data may be obtained through inadequate use of security controls by our customers, suppliers or other vendors. While we are not currently aware of any material impact that the SolarWinds, Log4j, Kaseya, or other recent supply chain attacks had on our business, new information on the scope of such attacks is continuing to emerge and there is a residual risk that we may experience a security breach arising from one of these, or a similar, supply chain attack in the future. Supply chain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Recent cybersecurity incidents and compromises affecting large institutions, including an incident that affected us, suggest that the risk of such events is significant, even if privacy protection and security measures are implemented and enforced. A cyber-attack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Many governments have enacted laws requiring companies to notify individuals of data security incidents or unauthorized transfers involving certain types of personal data. In addition, the data processing agreement we execute with our customers contractually requires us to notify them of any personal data breach. Under payment card network rules and our contracts with our payment processors, if there is a breach of payment card information that we store, or that is stored by our direct payment card processing vendors, we could be liable to the payment card issuing banks for their cost of issuing new cards and related expenses.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pStyle w:val="TextBody"/>
        <w:spacing w:before="20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Risks Related to Intellectual Property</w:t>
      </w:r>
    </w:p>
    <w:p>
      <w:pPr>
        <w:pStyle w:val="TextBody"/>
        <w:spacing w:before="200" w:after="0"/>
        <w:jc w:val="left"/>
        <w:rPr>
          <w:rFonts w:ascii="Times New Roman;serif" w:hAnsi="Times New Roman;serif"/>
          <w:b/>
          <w:i/>
          <w:sz w:val="20"/>
        </w:rPr>
      </w:pPr>
      <w:r>
        <w:rPr>
          <w:rFonts w:ascii="Times New Roman;serif" w:hAnsi="Times New Roman;serif"/>
          <w:b/>
          <w:i/>
          <w:sz w:val="20"/>
        </w:rPr>
        <w:t>Our business may suffer if it is alleged or determined that our technology infringes the intellectual property rights of others.</w:t>
      </w:r>
    </w:p>
    <w:p>
      <w:pPr>
        <w:pStyle w:val="TextBody"/>
        <w:spacing w:before="200" w:after="0"/>
        <w:jc w:val="left"/>
        <w:rPr>
          <w:rFonts w:ascii="Times New Roman" w:hAnsi="Times New Roman"/>
          <w:sz w:val="20"/>
        </w:rPr>
      </w:pPr>
      <w:r>
        <w:rPr>
          <w:rFonts w:ascii="Times New Roman;serif" w:hAnsi="Times New Roman;serif"/>
          <w:b w:val="false"/>
          <w:sz w:val="20"/>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certain of our subscription agreements with customers, we agree to indemnify these customers against claims by a third party alleging infringement of a valid patent, registered copyright or registered trademark. However, whether or not a subscription agreement includes an indemnity obligation in favor of a customer, there can be no assurance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pStyle w:val="TextBody"/>
        <w:spacing w:before="200" w:after="0"/>
        <w:jc w:val="left"/>
        <w:rPr>
          <w:rFonts w:ascii="Times New Roman;serif" w:hAnsi="Times New Roman;serif"/>
          <w:b/>
          <w:i/>
          <w:sz w:val="20"/>
        </w:rPr>
      </w:pPr>
      <w:r>
        <w:rPr>
          <w:rFonts w:ascii="Times New Roman;serif" w:hAnsi="Times New Roman;serif"/>
          <w:b/>
          <w:i/>
          <w:sz w:val="20"/>
        </w:rPr>
        <w:t>If we fail to adequately protect our proprietary rights, in the United States and abroad, our competitive position could be impaired and we may lose valuable assets, experience reduced revenue and incur costly litigation to protect our rights.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pStyle w:val="TextBody"/>
        <w:spacing w:before="200" w:after="0"/>
        <w:jc w:val="left"/>
        <w:rPr>
          <w:rFonts w:ascii="Times New Roman;serif" w:hAnsi="Times New Roman;serif"/>
          <w:b/>
          <w:i/>
          <w:sz w:val="20"/>
        </w:rPr>
      </w:pPr>
      <w:r>
        <w:rPr>
          <w:rFonts w:ascii="Times New Roman;serif" w:hAnsi="Times New Roman;serif"/>
          <w:b/>
          <w:i/>
          <w:sz w:val="20"/>
        </w:rPr>
        <w:t>Our use of “open source” software could negatively affect our ability to offer our platform and subject us to possible litigation.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pStyle w:val="TextBody"/>
        <w:spacing w:before="200" w:after="0"/>
        <w:jc w:val="left"/>
        <w:rPr/>
      </w:pPr>
      <w:r>
        <w:rPr/>
        <w:t> </w:t>
      </w:r>
    </w:p>
    <w:p>
      <w:pPr>
        <w:pStyle w:val="TextBody"/>
        <w:spacing w:before="200" w:after="0"/>
        <w:jc w:val="left"/>
        <w:rPr>
          <w:rFonts w:ascii="Times New Roman" w:hAnsi="Times New Roman"/>
          <w:sz w:val="20"/>
        </w:rPr>
      </w:pPr>
      <w:r>
        <w:rPr>
          <w:rFonts w:ascii="Times New Roman;serif" w:hAnsi="Times New Roman;serif"/>
          <w:b/>
          <w:sz w:val="20"/>
        </w:rPr>
        <w:t>Risks Related to Government Regulation</w:t>
      </w:r>
      <w:r>
        <w:rPr>
          <w:rFonts w:ascii="Times New Roman" w:hAnsi="Times New Roman"/>
          <w:sz w:val="20"/>
        </w:rPr>
        <w:t xml:space="preserve"> </w:t>
      </w:r>
    </w:p>
    <w:p>
      <w:pPr>
        <w:pStyle w:val="TextBody"/>
        <w:spacing w:before="200" w:after="0"/>
        <w:jc w:val="left"/>
        <w:rPr>
          <w:rFonts w:ascii="Times New Roman;serif" w:hAnsi="Times New Roman;serif"/>
          <w:b/>
          <w:i/>
          <w:sz w:val="20"/>
        </w:rPr>
      </w:pPr>
      <w:r>
        <w:rPr>
          <w:rFonts w:ascii="Times New Roman;serif" w:hAnsi="Times New Roman;serif"/>
          <w:b/>
          <w:i/>
          <w:sz w:val="20"/>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pStyle w:val="TextBody"/>
        <w:spacing w:before="200" w:after="0"/>
        <w:jc w:val="left"/>
        <w:rPr>
          <w:rFonts w:ascii="Times New Roman" w:hAnsi="Times New Roman"/>
          <w:sz w:val="20"/>
        </w:rPr>
      </w:pPr>
      <w:r>
        <w:rPr>
          <w:rFonts w:ascii="Times New Roman;serif" w:hAnsi="Times New Roman;serif"/>
          <w:b w:val="false"/>
          <w:sz w:val="20"/>
        </w:rPr>
        <w:t>Our handling of data is subject to a variety of laws and regulations, including regulation by various government agencies, including the U.S. Federal Trade Commission (“FTC”), and state attorneys general, and various state, local and foreign agencies, such as the California Privacy Protection Agency and EU data protection authorities. We collect personal data and other data from our customers, prospects, and partners. We also handle personal data about our customers’ customers. We use and share this information to provide services to our customers, to support, expand and improve our business.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The U.S. federal and various state and foreign governments have adopted or proposed limitations on the collection, processing, distribution, use, storage and safeguarding of personal data. In the United States,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pStyle w:val="TextBody"/>
        <w:spacing w:before="200" w:after="0"/>
        <w:jc w:val="left"/>
        <w:rPr>
          <w:rFonts w:ascii="Times New Roman" w:hAnsi="Times New Roman"/>
          <w:sz w:val="20"/>
        </w:rPr>
      </w:pPr>
      <w:r>
        <w:rPr>
          <w:rFonts w:ascii="Times New Roman;serif" w:hAnsi="Times New Roman;serif"/>
          <w:b w:val="false"/>
          <w:sz w:val="20"/>
        </w:rPr>
        <w:t>Laws and regulations governing privacy, data protection and cybersecurity are rapidly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 foreign privacy and cybersecurity laws and regulations could harm our ability to successfully operate our business and pursue our business goals.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For example, the California Consumer Privacy Act (the “CCPA”), as amended by the California Privacy Rights Act (the “CPRA”), among other things, require covered companies to provide new disclosures to California residents and afford such individuals the ability to opt out of the sales or sharing of their personal data. The CCPA may require us to modify our data collection or processing practices and policies and to potentially incur substantial costs and expenses in an effort to comply. In addition to increasing our potential exposure to regulatory enforcement, the CCPA also provides for violations and a limited private right of action, which may increase our exposure to civil litigation.</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Other states, including Virginia, Colorado, Utah, Connecticut and Iowa, have now passed comprehensive privacy and data security laws, which impose obligations on covered businesses similar – but not identical – to those under the CCPA. Such laws will enter into force in 2023 and 2024. A number of other states have proposed similar or sector specific privacy legislation,; and the U.S. Congress is considering legislation that may preempt some or all of such U.S. state privacy laws, providing a more robust private right of action. The evolving complexity of privacy and data security legislation in the U.S. may complicate our compliance efforts and further increase our risk of regulatory enforcement, penalties and litigation.</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Within the European Union, the EU GDPR, and in the United Kingdom, the EU GDPR as incorporated into the laws of the United Kingdom (the “UK GDPR” together with the EU GDPR, the “GDPR”), impose heightened obligations and risk upon our business and may substantially increase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The IDTAs must be entered into for new contracts, but allow for a transition period until March 21, 2024 for existing contracts. Our customer agreements include the updated SCCs and UK IDTAs. We are in the process of transitioning to the IDTAs for existing contracts, and doing so will require significant effort and cost. Under the new SCCs and IDTAs, companies are also required to assess the risk of a data transfer on a case-by-case basis by undertaking a transfer impact assessment, and may be required to adopt additional measures to accomplish transfers of personal data to the United States and other third countries.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Our customers may view data transfer mechanisms and the requirement to undertake a transfer impact assessment as being too costly, too burdensome, too legally uncertain or otherwise objectionable and therefore decide not to do business with us.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pStyle w:val="TextBody"/>
        <w:spacing w:before="200" w:after="0"/>
        <w:jc w:val="left"/>
        <w:rPr>
          <w:rFonts w:ascii="Times New Roman;serif" w:hAnsi="Times New Roman;serif"/>
          <w:b/>
          <w:i/>
          <w:sz w:val="20"/>
        </w:rPr>
      </w:pPr>
      <w:r>
        <w:rPr>
          <w:rFonts w:ascii="Times New Roman;serif" w:hAnsi="Times New Roman;serif"/>
          <w:b/>
          <w:i/>
          <w:sz w:val="20"/>
        </w:rPr>
        <w:t>We could face liability, or our reputation might be harmed, as a result of the activities of our customers, the content of their websites or the data they store on our servers.</w:t>
      </w:r>
    </w:p>
    <w:p>
      <w:pPr>
        <w:pStyle w:val="TextBody"/>
        <w:spacing w:before="200" w:after="0"/>
        <w:jc w:val="left"/>
        <w:rPr>
          <w:rFonts w:ascii="Times New Roman" w:hAnsi="Times New Roman"/>
          <w:sz w:val="20"/>
        </w:rPr>
      </w:pPr>
      <w:r>
        <w:rPr>
          <w:rFonts w:ascii="Times New Roman;serif" w:hAnsi="Times New Roman;serif"/>
          <w:b w:val="false"/>
          <w:sz w:val="20"/>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Several U.S. federal statutes may apply to us with respect to various customer activities: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 </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 xml:space="preserve">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foreign judgments made against us, which could take up substantial management time and resources and damage our reputation.</w:t>
      </w:r>
    </w:p>
    <w:p>
      <w:pPr>
        <w:pStyle w:val="TextBody"/>
        <w:spacing w:before="200" w:after="0"/>
        <w:jc w:val="left"/>
        <w:rPr>
          <w:rFonts w:ascii="Times New Roman" w:hAnsi="Times New Roman"/>
          <w:sz w:val="20"/>
        </w:rPr>
      </w:pPr>
      <w:r>
        <w:rPr>
          <w:rFonts w:ascii="Times New Roman;serif" w:hAnsi="Times New Roman;serif"/>
          <w:b w:val="false"/>
          <w:sz w:val="20"/>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Additionally, Payments, our end-to-end payment solution built natively as part of our CRM Platform, is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w:t>
      </w:r>
    </w:p>
    <w:p>
      <w:pPr>
        <w:pStyle w:val="TextBody"/>
        <w:spacing w:before="200" w:after="0"/>
        <w:jc w:val="left"/>
        <w:rPr>
          <w:rFonts w:ascii="Times New Roman" w:hAnsi="Times New Roman"/>
          <w:sz w:val="20"/>
        </w:rPr>
      </w:pPr>
      <w:r>
        <w:rPr>
          <w:rFonts w:ascii="Times New Roman;serif" w:hAnsi="Times New Roman;serif"/>
          <w:b w:val="false"/>
          <w:sz w:val="20"/>
        </w:rPr>
        <w:t>If Payments is used for illegal or improper uses, we may incur substantial losses as a result of claims from merchants and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w:t>
      </w:r>
      <w:r>
        <w:rPr>
          <w:rFonts w:ascii="Times New Roman" w:hAnsi="Times New Roman"/>
          <w:sz w:val="20"/>
        </w:rPr>
        <w:t xml:space="preserve"> </w:t>
      </w:r>
    </w:p>
    <w:p>
      <w:pPr>
        <w:pStyle w:val="TextBody"/>
        <w:spacing w:before="200" w:after="0"/>
        <w:jc w:val="left"/>
        <w:rPr>
          <w:rFonts w:ascii="Times New Roman;serif" w:hAnsi="Times New Roman;serif"/>
          <w:b/>
          <w:i/>
          <w:sz w:val="20"/>
        </w:rPr>
      </w:pPr>
      <w:r>
        <w:rPr>
          <w:rFonts w:ascii="Times New Roman;serif" w:hAnsi="Times New Roman;serif"/>
          <w:b/>
          <w:i/>
          <w:sz w:val="20"/>
        </w:rPr>
        <w:t>The standards that private entities use to regulate the use of email have in the past interfered with, and may in the future interfere with, the effectiveness of our CRM Platform and our ability to conduct business.</w:t>
      </w:r>
    </w:p>
    <w:p>
      <w:pPr>
        <w:pStyle w:val="TextBody"/>
        <w:spacing w:before="200" w:after="0"/>
        <w:jc w:val="left"/>
        <w:rPr>
          <w:rFonts w:ascii="Times New Roman" w:hAnsi="Times New Roman"/>
          <w:sz w:val="20"/>
        </w:rPr>
      </w:pPr>
      <w:r>
        <w:rPr>
          <w:rFonts w:ascii="Times New Roman;serif" w:hAnsi="Times New Roman;serif"/>
          <w:b w:val="false"/>
          <w:sz w:val="20"/>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pStyle w:val="TextBody"/>
        <w:spacing w:before="200" w:after="0"/>
        <w:jc w:val="left"/>
        <w:rPr>
          <w:rFonts w:ascii="Times New Roman;serif" w:hAnsi="Times New Roman;serif"/>
          <w:b/>
          <w:i/>
          <w:sz w:val="20"/>
        </w:rPr>
      </w:pPr>
      <w:r>
        <w:rPr>
          <w:rFonts w:ascii="Times New Roman;serif" w:hAnsi="Times New Roman;serif"/>
          <w:b/>
          <w:i/>
          <w:sz w:val="20"/>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pStyle w:val="TextBody"/>
        <w:spacing w:before="200" w:after="0"/>
        <w:jc w:val="left"/>
        <w:rPr>
          <w:rFonts w:ascii="Times New Roman" w:hAnsi="Times New Roman"/>
          <w:sz w:val="20"/>
        </w:rPr>
      </w:pPr>
      <w:r>
        <w:rPr>
          <w:rFonts w:ascii="Times New Roman;serif" w:hAnsi="Times New Roman;serif"/>
          <w:b w:val="false"/>
          <w:sz w:val="20"/>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CRM Platform and could impair our attractiveness to customers, which would harm our business.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While these laws and regulations generally govern our customers’ use of our CRM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pStyle w:val="TextBody"/>
        <w:spacing w:before="200" w:after="0"/>
        <w:jc w:val="left"/>
        <w:rPr>
          <w:rFonts w:ascii="Times New Roman;serif" w:hAnsi="Times New Roman;serif"/>
          <w:b/>
          <w:i/>
          <w:sz w:val="20"/>
        </w:rPr>
      </w:pPr>
      <w:r>
        <w:rPr>
          <w:rFonts w:ascii="Times New Roman;serif" w:hAnsi="Times New Roman;serif"/>
          <w:b/>
          <w:i/>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These sanctions laws with which we must comply may also change rapidly from time to time as a result of geopolitical events, such as the recent imposition of sanctions on Russia as a result of the conflict between Russia and Ukraine.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pStyle w:val="TextBody"/>
        <w:spacing w:before="200" w:after="0"/>
        <w:jc w:val="left"/>
        <w:rPr>
          <w:rFonts w:ascii="Times New Roman;serif" w:hAnsi="Times New Roman;serif"/>
          <w:b/>
          <w:sz w:val="20"/>
        </w:rPr>
      </w:pPr>
      <w:r>
        <w:rPr>
          <w:rFonts w:ascii="Times New Roman;serif" w:hAnsi="Times New Roman;serif"/>
          <w:b/>
          <w:sz w:val="20"/>
        </w:rPr>
        <w:t>Risks Related to Taxation</w:t>
      </w:r>
    </w:p>
    <w:p>
      <w:pPr>
        <w:pStyle w:val="TextBody"/>
        <w:spacing w:before="200" w:after="0"/>
        <w:jc w:val="left"/>
        <w:rPr>
          <w:rFonts w:ascii="Times New Roman;serif" w:hAnsi="Times New Roman;serif"/>
          <w:b/>
          <w:i/>
          <w:sz w:val="20"/>
        </w:rPr>
      </w:pPr>
      <w:r>
        <w:rPr>
          <w:rFonts w:ascii="Times New Roman;serif" w:hAnsi="Times New Roman;serif"/>
          <w:b/>
          <w:i/>
          <w:sz w:val="20"/>
        </w:rPr>
        <w:t>We may be subject to additional obligations to collect and remit sales tax and other taxes, and we may be subject to tax liability for past sales, which could harm our business.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CRM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pStyle w:val="TextBody"/>
        <w:spacing w:before="200" w:after="0"/>
        <w:jc w:val="left"/>
        <w:rPr>
          <w:rFonts w:ascii="Times New Roman;serif" w:hAnsi="Times New Roman;serif"/>
          <w:b/>
          <w:i/>
          <w:sz w:val="20"/>
        </w:rPr>
      </w:pPr>
      <w:r>
        <w:rPr>
          <w:rFonts w:ascii="Times New Roman;serif" w:hAnsi="Times New Roman;serif"/>
          <w:b/>
          <w:i/>
          <w:sz w:val="20"/>
        </w:rPr>
        <w:t>Changes in tax laws or regulations that are applied adversely to us or our customers could increase the costs of our CRM Platform and adversely impact our business.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pStyle w:val="TextBody"/>
        <w:spacing w:before="200" w:after="0"/>
        <w:jc w:val="left"/>
        <w:rPr>
          <w:rFonts w:ascii="Times New Roman;serif" w:hAnsi="Times New Roman;serif"/>
          <w:b/>
          <w:i/>
          <w:sz w:val="20"/>
        </w:rPr>
      </w:pPr>
      <w:r>
        <w:rPr>
          <w:rFonts w:ascii="Times New Roman;serif" w:hAnsi="Times New Roman;serif"/>
          <w:b/>
          <w:i/>
          <w:sz w:val="20"/>
        </w:rPr>
        <w:t>We are a multinational organization faced with increasingly complex tax issues in many jurisdictions, and we could be obligated to pay additional taxes in various jurisdictions.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w:t>
      </w:r>
    </w:p>
    <w:p>
      <w:pPr>
        <w:pStyle w:val="TextBody"/>
        <w:spacing w:before="200" w:after="0"/>
        <w:jc w:val="left"/>
        <w:rPr>
          <w:rFonts w:ascii="Times New Roman;serif" w:hAnsi="Times New Roman;serif"/>
          <w:b/>
          <w:i/>
          <w:sz w:val="20"/>
        </w:rPr>
      </w:pPr>
      <w:r>
        <w:rPr>
          <w:rFonts w:ascii="Times New Roman;serif" w:hAnsi="Times New Roman;serif"/>
          <w:b/>
          <w:i/>
          <w:sz w:val="20"/>
        </w:rPr>
        <w:t>We may not be able to utilize a significant portion of our net operating loss carryforwards, which could adversely affect our profitability.</w:t>
      </w:r>
    </w:p>
    <w:p>
      <w:pPr>
        <w:pStyle w:val="TextBody"/>
        <w:spacing w:before="200" w:after="0"/>
        <w:jc w:val="left"/>
        <w:rPr>
          <w:rFonts w:ascii="Times New Roman" w:hAnsi="Times New Roman"/>
          <w:sz w:val="20"/>
        </w:rPr>
      </w:pPr>
      <w:r>
        <w:rPr>
          <w:rFonts w:ascii="Times New Roman;serif" w:hAnsi="Times New Roman;serif"/>
          <w:b w:val="false"/>
          <w:sz w:val="20"/>
        </w:rPr>
        <w:t>We have incurred losses during our history and do not expect to become profitable in the near future, and we may never achieve profitability. As of December 31, 2022, we had $960.7 million of U.S. federal and $677.0 million of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 future income tax liabilities, which could adversely affect our profitability. Under current law, U.S federal and certain state net operating loss carryforwards incurred for periods beginning on or after January 1, 2018 would not expire unused because they can be carried forward indefinitely. Our unused U.S. federal net operating losses arising in taxable years beginning after December 31, 2017 and before January 1, 2021 may generally be carried back to each of the five taxable years preceding the tax year of such losses, but those losses arising in taxable years beginning after December 31, 2017 may not be carried back. Moreover, for taxable years beginning after December 31, 2017, the deductibility of our U.S. federal net operating losses is limited to 80% of our taxable income in any future taxable year. States have varying carryback and carryforward periods. Moreover, certain states have enacted rules that limit the utilization of loss carryforwards, which also change from time-to-time.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r>
        <w:rPr>
          <w:rFonts w:ascii="Times New Roman" w:hAnsi="Times New Roman"/>
          <w:sz w:val="20"/>
        </w:rPr>
        <w:t xml:space="preserve"> </w:t>
      </w:r>
    </w:p>
    <w:p>
      <w:pPr>
        <w:pStyle w:val="TextBody"/>
        <w:spacing w:before="20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Risks Related to Our Operating Results and Financial Condition</w:t>
      </w:r>
    </w:p>
    <w:p>
      <w:pPr>
        <w:pStyle w:val="TextBody"/>
        <w:spacing w:before="200" w:after="0"/>
        <w:jc w:val="left"/>
        <w:rPr>
          <w:rFonts w:ascii="Times New Roman;serif" w:hAnsi="Times New Roman;serif"/>
          <w:b/>
          <w:i/>
          <w:sz w:val="20"/>
        </w:rPr>
      </w:pPr>
      <w:r>
        <w:rPr>
          <w:rFonts w:ascii="Times New Roman;serif" w:hAnsi="Times New Roman;serif"/>
          <w:b/>
          <w:i/>
          <w:sz w:val="20"/>
        </w:rPr>
        <w:t>We have a history of losses and may not achieve profitability in the future.</w:t>
      </w:r>
    </w:p>
    <w:p>
      <w:pPr>
        <w:pStyle w:val="TextBody"/>
        <w:spacing w:before="200" w:after="0"/>
        <w:jc w:val="left"/>
        <w:rPr>
          <w:rFonts w:ascii="Times New Roman" w:hAnsi="Times New Roman"/>
          <w:sz w:val="20"/>
        </w:rPr>
      </w:pPr>
      <w:r>
        <w:rPr>
          <w:rFonts w:ascii="Times New Roman;serif" w:hAnsi="Times New Roman;serif"/>
          <w:b w:val="false"/>
          <w:sz w:val="20"/>
        </w:rPr>
        <w:t>We generated net losses of $38.3 million and $9.3 million for the three months ended March 31, 2023 and 2022, respectively. As of March 31, 2023, we had an accumulated deficit of $680.7 million. We will need to generate and sustain increased revenue levels in future periods to become profitable, and, even if we do, we may not be able to maintain or increase our level of profitability. We have spent and intend to continue to expend significant funds on our marketing, sales, customer service, operations, and content management operations, develop and enhance our CRM Platform, scale our data center infrastructure and services capabilities and expand into new markets. Our efforts to grow our business may be more costly than we expect, and we may not be able to increase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r>
        <w:rPr>
          <w:rFonts w:ascii="Times New Roman" w:hAnsi="Times New Roman"/>
          <w:sz w:val="20"/>
        </w:rPr>
        <w:t xml:space="preserve"> </w:t>
      </w:r>
    </w:p>
    <w:p>
      <w:pPr>
        <w:pStyle w:val="TextBody"/>
        <w:spacing w:before="200" w:after="0"/>
        <w:jc w:val="left"/>
        <w:rPr>
          <w:rFonts w:ascii="Times New Roman;serif" w:hAnsi="Times New Roman;serif"/>
          <w:b/>
          <w:i/>
          <w:sz w:val="20"/>
        </w:rPr>
      </w:pPr>
      <w:r>
        <w:rPr>
          <w:rFonts w:ascii="Times New Roman;serif" w:hAnsi="Times New Roman;serif"/>
          <w:b/>
          <w:i/>
          <w:sz w:val="20"/>
        </w:rPr>
        <w:t>From time to time, we may invest funds in social impact investment funds, and may receive no return on our investment or lose our entire investment.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From time to time, we may invest in social impact investment funds. As of March 31, 2023, we have invested $6.2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pStyle w:val="TextBody"/>
        <w:spacing w:before="200" w:after="0"/>
        <w:jc w:val="left"/>
        <w:rPr>
          <w:rFonts w:ascii="Times New Roman;serif" w:hAnsi="Times New Roman;serif"/>
          <w:b/>
          <w:i/>
          <w:sz w:val="20"/>
        </w:rPr>
      </w:pPr>
      <w:r>
        <w:rPr>
          <w:rFonts w:ascii="Times New Roman;serif" w:hAnsi="Times New Roman;serif"/>
          <w:b/>
          <w:i/>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changes in spending on marketing, sales, customer service, operations and content management software by our current or prospective customers;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pricing our CRM Platform subscriptions effectively so that we are able to attract and retain customers without compromising our profitability;</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attracting new customers for our marketing, sales, customer service, operations, and content management software, increasing our existing customers’ use of our platform and providing our customers with excellent customer support;</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customer renewal rates and the amounts for which agreements are renewed;</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global awareness of our thought leadership and brand; </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changes in the competitive dynamics of our market, including consolidation among competitors or customers and the introduction of new products or product enhancements; </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changes to the commission plans, quotas and other compensation-related metrics for our sales representatives;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the amount and timing of payment for operating expenses, particularly research and development, sales and marketing expenses and employee benefit expenses; </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amount and timing of costs associated with recruiting, training and integrating new employees while maintaining our company culture;</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ability to manage our existing business and future growth, including increases in the number of customers on our platform and the introduction and adoption of our CRM Platform in new markets outside of the United States;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unforeseen costs and expenses related to the expansion of our business, operations and infrastructure, including disruptions in our hosting network infrastructure and privacy and data security;</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 xml:space="preserve">foreign currency exchange rate fluctuations; </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rising inflation in the economies in which we operate and our ability to control costs, including operating expenses; and</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general economic and political conditions in our domestic and international markets.</w:t>
      </w:r>
    </w:p>
    <w:p>
      <w:pPr>
        <w:pStyle w:val="TextBody"/>
        <w:spacing w:before="200" w:after="0"/>
        <w:jc w:val="left"/>
        <w:rPr>
          <w:rFonts w:ascii="Times New Roman" w:hAnsi="Times New Roman"/>
          <w:sz w:val="20"/>
        </w:rPr>
      </w:pPr>
      <w:r>
        <w:rPr>
          <w:rFonts w:ascii="Times New Roman;serif" w:hAnsi="Times New Roman;serif"/>
          <w:b w:val="false"/>
          <w:sz w:val="20"/>
        </w:rPr>
        <w:t>We may not be able to accurately forecast the amount and mix of future subscriptions, revenue and expenses and, as a result, our operating results may fall below our estimates or the expectations of public market analysts and investors. If our revenue or operating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results fall below the expectations of investors or securities analysts, or below any guidance we may provide, the price of our common stock could decline.</w:t>
      </w:r>
    </w:p>
    <w:p>
      <w:pPr>
        <w:pStyle w:val="TextBody"/>
        <w:spacing w:before="200" w:after="0"/>
        <w:jc w:val="left"/>
        <w:rPr>
          <w:rFonts w:ascii="Times New Roman;serif" w:hAnsi="Times New Roman;serif"/>
          <w:b/>
          <w:i/>
          <w:sz w:val="20"/>
        </w:rPr>
      </w:pPr>
      <w:r>
        <w:rPr>
          <w:rFonts w:ascii="Times New Roman;serif" w:hAnsi="Times New Roman;serif"/>
          <w:b/>
          <w:i/>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spacing w:before="200" w:after="0"/>
        <w:jc w:val="left"/>
        <w:rPr>
          <w:rFonts w:ascii="Times New Roman" w:hAnsi="Times New Roman"/>
          <w:sz w:val="20"/>
        </w:rPr>
      </w:pPr>
      <w:r>
        <w:rPr>
          <w:rFonts w:ascii="Times New Roman;serif" w:hAnsi="Times New Roman;serif"/>
          <w:b w:val="false"/>
          <w:sz w:val="20"/>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br/>
      </w:r>
      <w:r>
        <w:rPr>
          <w:rFonts w:ascii="Times New Roman" w:hAnsi="Times New Roman"/>
          <w:sz w:val="20"/>
        </w:rPr>
        <w:t> </w:t>
      </w:r>
    </w:p>
    <w:p>
      <w:pPr>
        <w:pStyle w:val="TextBody"/>
        <w:spacing w:before="0" w:after="0"/>
        <w:jc w:val="left"/>
        <w:rPr>
          <w:rFonts w:ascii="Times New Roman" w:hAnsi="Times New Roman"/>
          <w:sz w:val="20"/>
        </w:rPr>
      </w:pPr>
      <w:r>
        <w:rPr>
          <w:rFonts w:ascii="Times New Roman;serif" w:hAnsi="Times New Roman;serif"/>
          <w:b/>
          <w:i/>
          <w:sz w:val="20"/>
        </w:rPr>
        <w:t>Changes in accounting standards and subjective assumptions, estimates and judgments by management related to complex accounting matters could significantly affect our financial condition and results of operations.</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pStyle w:val="TextBody"/>
        <w:spacing w:before="20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Risks Related to Our Notes</w:t>
      </w:r>
    </w:p>
    <w:p>
      <w:pPr>
        <w:pStyle w:val="TextBody"/>
        <w:spacing w:before="200" w:after="0"/>
        <w:jc w:val="left"/>
        <w:rPr>
          <w:rFonts w:ascii="Times New Roman;serif" w:hAnsi="Times New Roman;serif"/>
          <w:b/>
          <w:i/>
          <w:sz w:val="20"/>
        </w:rPr>
      </w:pPr>
      <w:r>
        <w:rPr>
          <w:rFonts w:ascii="Times New Roman;serif" w:hAnsi="Times New Roman;serif"/>
          <w:b/>
          <w:i/>
          <w:sz w:val="20"/>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June 2020, we incurred indebtedness in the aggregate principal amount of $460.0 million in connection with the issuance of our 0.375% convertible senior notes due June 1, 2025 (the “2025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addition, our indebtedness, combined with our other financial obligations and contractual commitments, could have other important consequences. For example, it could:</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make us more vulnerable to adverse changes in general U.S. and worldwide economic, industry and competitive conditions and adverse changes in government regulation;</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limit our flexibility in planning for, or reacting to, changes in our business and our industry;</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place us at a disadvantage compared to our competitors who have less debt; and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limit our ability to borrow additional amounts to fund acquisitions, for working capital and for other general corporate purposes.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pStyle w:val="TextBody"/>
        <w:spacing w:before="200" w:after="0"/>
        <w:jc w:val="left"/>
        <w:rPr>
          <w:rFonts w:ascii="Times New Roman;serif" w:hAnsi="Times New Roman;serif"/>
          <w:b/>
          <w:i/>
          <w:sz w:val="20"/>
        </w:rPr>
      </w:pPr>
      <w:r>
        <w:rPr>
          <w:rFonts w:ascii="Times New Roman;serif" w:hAnsi="Times New Roman;serif"/>
          <w:b/>
          <w:i/>
          <w:sz w:val="20"/>
        </w:rPr>
        <w:t>The conditional conversion feature of the Notes, if triggered, may adversely affect our financial condition and operating results.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the event the conditional conversion feature of the 2025 Notes is triggered, the holders thereof will be entitled to convert the 2025 Notes respectively, at any time during specified periods at their option.</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Because the last reported sale price of the Company’s common stock for at least 20 trading days during the period of 30 consecutive trading days ending on the last trading day of the calendar quarter ended March 31, 2023 was equal to or greater than 130% of the applicable conversion price on each applicable trading day, the 2025 Notes are convertible at the option of the holders thereof during the calendar quarter ending June 30, 2023. As of April 28, 2023, the Company has not received any conversion notices with respect to the 2025 Notes. Whether the Notes that remain outstanding will be convertible following the calendar quarter ending March 31, 2023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spacing w:before="200" w:after="0"/>
        <w:jc w:val="left"/>
        <w:rPr>
          <w:rFonts w:ascii="Times New Roman;serif" w:hAnsi="Times New Roman;serif"/>
          <w:b/>
          <w:i/>
          <w:sz w:val="20"/>
        </w:rPr>
      </w:pPr>
      <w:r>
        <w:rPr>
          <w:rFonts w:ascii="Times New Roman;serif" w:hAnsi="Times New Roman;serif"/>
          <w:b/>
          <w:i/>
          <w:sz w:val="20"/>
        </w:rPr>
        <w:t>The accounting method for convertible debt securities that may be settled in cash, such as the Notes, could have a material effect on our reported financial results.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August 2020, the FASB issued guidance simplifying the accounting for convertible instruments by reducing the number of accounting models for convertible debt instruments and convertible preferred stock. The new standard eliminates requirements to separately account for liability and equity components of such convertible debt instruments and requires the use of the if-converted method for calculating the diluted earnings per share for convertible debt instruments. We adopted the guidance on January 1, 2022, using the modified retrospective method. Future interest expense of the convertible notes will be lower as a result of adoption of this guidance and net loss per share will be computed using the if-converted method for these securities.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if-converted method assumes that all of the Notes were converted solely into shares of common stock at the beginning of the reporting period, unless the result would be anti-dilutive. The application of the if-converted method may reduce our reported diluted net income per share to the extent we are profitable, and accounting standards may change in the future in a manner that may otherwise adversely affect our diluted net income per share.</w:t>
      </w:r>
    </w:p>
    <w:p>
      <w:pPr>
        <w:pStyle w:val="TextBody"/>
        <w:spacing w:before="200" w:after="0"/>
        <w:jc w:val="left"/>
        <w:rPr>
          <w:rFonts w:ascii="Times New Roman;serif" w:hAnsi="Times New Roman;serif"/>
          <w:b/>
          <w:i/>
          <w:sz w:val="20"/>
        </w:rPr>
      </w:pPr>
      <w:r>
        <w:rPr>
          <w:rFonts w:ascii="Times New Roman;serif" w:hAnsi="Times New Roman;serif"/>
          <w:b/>
          <w:i/>
          <w:sz w:val="20"/>
        </w:rPr>
        <w:t>We are subject to counterparty risk with respect to the Capped Call Options.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connection with the offering of the 2025 Notes, we purchased capped call options (“Capped Call Options”) with respect to our common stock for $50.6 million. The counterparties to the Capped Call Options are financial institutions, and we will be subject to the risk that one or more of the counterparties may default, fail to perform or exercise their termination rights under the Capped Call Options. Global economic conditions have, from time to time, resulted in the actual or perceived failure or financial difficulties of many financial institutions. If a counterparty to the Capped Call Options becomes subject to insolvency proceedings, we will become an unsecured creditor in those proceedings with a claim equal to our exposure at the time under such transaction. In addition, upon a default, failure to perform or a termination of the Capped Call Options by a counterparty, we may suffer more dilution than we currently anticipate with respect to our common stock. We can provide no assurances as to the financial stability or viability of the counterparties.</w:t>
      </w:r>
    </w:p>
    <w:p>
      <w:pPr>
        <w:pStyle w:val="TextBody"/>
        <w:spacing w:before="20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Risks Related to Our Common Stock</w:t>
      </w:r>
    </w:p>
    <w:p>
      <w:pPr>
        <w:pStyle w:val="TextBody"/>
        <w:spacing w:before="200" w:after="0"/>
        <w:jc w:val="left"/>
        <w:rPr>
          <w:rFonts w:ascii="Times New Roman;serif" w:hAnsi="Times New Roman;serif"/>
          <w:b/>
          <w:i/>
          <w:sz w:val="20"/>
        </w:rPr>
      </w:pPr>
      <w:r>
        <w:rPr>
          <w:rFonts w:ascii="Times New Roman;serif" w:hAnsi="Times New Roman;serif"/>
          <w:b/>
          <w:i/>
          <w:sz w:val="20"/>
        </w:rPr>
        <w:t>Our stock price may be volatile and you may be unable to sell your shares at or above the price you purchased them.</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March 31, 2023. The market price of our common stock may fluctuate significantly in response to numerous factors, many of which are beyond our control, including: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actual or anticipated fluctuations in our revenue and other operating results, including as a result of the addition or loss of any number of customers;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announcements by us or our competitors of significant technical innovations, acquisitions, strategic partnerships, joint ventures or capital commitments;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financial projections we may provide to the public, any changes in these projections or our failure to meet these projections;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changes in operating performance and stock market valuations of cloud-based software or other technology companies, or those in our industry in particular;</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price and volume fluctuations in the trading of our common stock and in the overall stock market, including as a result of trends in the economy as a whole;</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sales of large blocks of our common stock or the dilutive effect of our Notes or any other equity or equity-linked financings;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new laws or regulations or new interpretations of existing laws or regulations applicable to our business or industry, including data privacy and data security;</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lawsuits threatened or filed against us;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changes in key personnel; and</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 xml:space="preserve">other events or factors, including changes in general economic, industry and market conditions and trends, international disputes, wars (such as the conflict between Russia and Ukraine), and political stability.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spacing w:before="200" w:after="0"/>
        <w:jc w:val="left"/>
        <w:rPr>
          <w:rFonts w:ascii="Times New Roman" w:hAnsi="Times New Roman"/>
          <w:sz w:val="20"/>
        </w:rPr>
      </w:pPr>
      <w:r>
        <w:rPr>
          <w:rFonts w:ascii="Times New Roman;serif" w:hAnsi="Times New Roman;serif"/>
          <w:b/>
          <w:i/>
          <w:sz w:val="20"/>
        </w:rPr>
        <w:t>If we fail to maintain an effective system of disclosure controls and internal control over financial reporting, our ability to produce timely and accurate financial statements or comply with applicable regulations could be impaired.</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pStyle w:val="TextBody"/>
        <w:spacing w:before="200" w:after="0"/>
        <w:jc w:val="left"/>
        <w:rPr>
          <w:rFonts w:ascii="Times New Roman;serif" w:hAnsi="Times New Roman;serif"/>
          <w:b/>
          <w:i/>
          <w:sz w:val="20"/>
        </w:rPr>
      </w:pPr>
      <w:r>
        <w:rPr>
          <w:rFonts w:ascii="Times New Roman;serif" w:hAnsi="Times New Roman;serif"/>
          <w:b/>
          <w:i/>
          <w:sz w:val="20"/>
        </w:rPr>
        <w:t>Anti-takeover provisions in our charter documents and Delaware law may delay or prevent an acquisition of our company.</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authorize “blank check” preferred stock, which could be issued by the board without stockholder approval and may contain voting, liquidation, dividend and other rights superior to our common stock;</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provide for a classified board of directors whose members serve staggered three-year terms;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specify that special meetings of our stockholders can be called only by our board of directors, the chairperson of the board, the chief executive officer or the president;</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prohibit stockholder action by written consent;</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establish an advance notice procedure for stockholder approvals to be brought before an annual meeting of our stockholders, including proposed nominations of persons for election to our board of directors;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provide that our directors may be removed only for cause;</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provide that vacancies on our board of directors may be filled only by a majority of directors then in office, even though less than a quorum;</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specify that no stockholder is permitted to cumulate votes at any election of directors;</w:t>
      </w:r>
    </w:p>
    <w:p>
      <w:pPr>
        <w:pStyle w:val="TextBody"/>
        <w:spacing w:before="200" w:after="0"/>
        <w:jc w:val="left"/>
        <w:rPr/>
      </w:pPr>
      <w:r>
        <w:rPr/>
        <w: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authorize our board of directors to modify, alter or repeal our amended and restated bylaws; and</w:t>
      </w:r>
    </w:p>
    <w:p>
      <w:pPr>
        <w:pStyle w:val="TextBody"/>
        <w:spacing w:before="200" w:after="0"/>
        <w:jc w:val="left"/>
        <w:rPr/>
      </w:pPr>
      <w:r>
        <w:rPr/>
        <w:t>•</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require supermajority votes of the holders of our common stock to amend specified provisions of our charter documents.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These provisions, alone or together, could delay or prevent hostile takeovers and changes in control or changes in our management.</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spacing w:before="20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General Risks</w:t>
      </w:r>
    </w:p>
    <w:p>
      <w:pPr>
        <w:pStyle w:val="TextBody"/>
        <w:spacing w:before="200" w:after="0"/>
        <w:jc w:val="left"/>
        <w:rPr>
          <w:rFonts w:ascii="Times New Roman;serif" w:hAnsi="Times New Roman;serif"/>
          <w:b/>
          <w:i/>
          <w:sz w:val="20"/>
        </w:rPr>
      </w:pPr>
      <w:r>
        <w:rPr>
          <w:rFonts w:ascii="Times New Roman;serif" w:hAnsi="Times New Roman;serif"/>
          <w:b/>
          <w:i/>
          <w:sz w:val="20"/>
        </w:rPr>
        <w:t>Catastrophic events could disrupt our business and adversely affect our financial condition and results of operations.</w:t>
      </w:r>
    </w:p>
    <w:p>
      <w:pPr>
        <w:pStyle w:val="TextBody"/>
        <w:spacing w:before="200" w:after="0"/>
        <w:jc w:val="left"/>
        <w:rPr>
          <w:rFonts w:ascii="Times New Roman" w:hAnsi="Times New Roman"/>
          <w:sz w:val="20"/>
        </w:rPr>
      </w:pPr>
      <w:r>
        <w:rPr>
          <w:rFonts w:ascii="Times New Roman;serif" w:hAnsi="Times New Roman;serif"/>
          <w:b w:val="false"/>
          <w:sz w:val="20"/>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200" w:after="0"/>
        <w:jc w:val="left"/>
        <w:rPr>
          <w:rFonts w:ascii="Times New Roman" w:hAnsi="Times New Roman"/>
          <w:sz w:val="20"/>
        </w:rPr>
      </w:pPr>
      <w:r>
        <w:rPr>
          <w:rFonts w:ascii="Times New Roman;serif" w:hAnsi="Times New Roman;serif"/>
          <w:b w:val="false"/>
          <w:sz w:val="20"/>
        </w:rPr>
        <w:t>earthquake, fire, flood, tsunami or other weather event, power loss, telecommunications failure, software or hardware malfunctions, pandemics (including the COVID-19 pandemic),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 such as the COVID-19 pandemic.</w:t>
      </w:r>
      <w:r>
        <w:rPr>
          <w:rFonts w:ascii="Times New Roman" w:hAnsi="Times New Roman"/>
          <w:sz w:val="20"/>
        </w:rPr>
        <w:t xml:space="preserve"> </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occurrence of regional epidemics or a global pandemic, such as COVID-19,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such as the COVID-19 pandemic, impact our financial condition or results of operations will depend on factors, such as the duration and scope of the pandemic, as well as whether there is a material impact on the businesses or productivity of our customers, partners, employee, suppliers and other partners. To the extent that the pandemic harms our business and results of operations, many of the other risks described in this “Risk Factors” section, may be heightened.</w:t>
      </w:r>
    </w:p>
    <w:p>
      <w:pPr>
        <w:pStyle w:val="TextBody"/>
        <w:spacing w:before="200" w:after="0"/>
        <w:jc w:val="left"/>
        <w:rPr>
          <w:rFonts w:ascii="Times New Roman;serif" w:hAnsi="Times New Roman;serif"/>
          <w:b/>
          <w:i/>
          <w:sz w:val="20"/>
        </w:rPr>
      </w:pPr>
      <w:r>
        <w:rPr>
          <w:rFonts w:ascii="Times New Roman;serif" w:hAnsi="Times New Roman;serif"/>
          <w:b/>
          <w:i/>
          <w:sz w:val="20"/>
        </w:rPr>
        <w:t>Failure to comply with laws and regulations could harm our business.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pStyle w:val="TextBody"/>
        <w:spacing w:before="200" w:after="0"/>
        <w:jc w:val="left"/>
        <w:rPr>
          <w:rFonts w:ascii="Times New Roman;serif" w:hAnsi="Times New Roman;serif"/>
          <w:b/>
          <w:i/>
          <w:sz w:val="20"/>
        </w:rPr>
      </w:pPr>
      <w:r>
        <w:rPr>
          <w:rFonts w:ascii="Times New Roman;serif" w:hAnsi="Times New Roman;serif"/>
          <w:b/>
          <w:i/>
          <w:sz w:val="20"/>
        </w:rPr>
        <w:t>Our ability to raise capital in the future may be limited, and our failure to raise capital when needed could prevent us from growing.</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Climate change may have a long-term impact on our business</w:t>
      </w:r>
    </w:p>
    <w:p>
      <w:pPr>
        <w:pStyle w:val="TextBody"/>
        <w:spacing w:before="0" w:after="0"/>
        <w:jc w:val="left"/>
        <w:rPr>
          <w:rFonts w:ascii="Times New Roman" w:hAnsi="Times New Roman"/>
          <w:sz w:val="20"/>
        </w:rPr>
      </w:pPr>
      <w:r>
        <w:rPr>
          <w:rFonts w:ascii="Times New Roman;serif" w:hAnsi="Times New Roman;serif"/>
          <w:b w:val="false"/>
          <w:sz w:val="20"/>
        </w:rPr>
        <w:br/>
        <w:b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losses and additional costs to maintain or resume operations. Regulatory developments, changing market dynamics and stakeholder expectations regarding climate change may impact our business, financial condition and results of operations. To inform our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disclosures and take potential action as appropriate, we are working to align our reporting with emerging disclosure and accounting standards such as the Financial Stability Board’s Task Force on Climate-Related Financial Disclosures, the Sustainability Accounting Standards Board and the Global Reporting Initiative as well as potential new disclosure requirements from regulators such as the SEC.</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5" w:name="item_2_unregistered_sales_equity_securit"/>
      <w:bookmarkEnd w:id="15"/>
      <w:r>
        <w:rPr>
          <w:rFonts w:ascii="Times New Roman;serif" w:hAnsi="Times New Roman;serif"/>
          <w:b/>
          <w:sz w:val="20"/>
        </w:rPr>
        <w:t>Item 2. Unregistered Sales of Equity Securities and Use of Proceeds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bookmarkStart w:id="16" w:name="item_3_defaults_on_senior_securities"/>
      <w:bookmarkEnd w:id="16"/>
      <w:r>
        <w:rPr>
          <w:rFonts w:ascii="Times New Roman;serif" w:hAnsi="Times New Roman;serif"/>
          <w:b/>
          <w:sz w:val="20"/>
        </w:rPr>
        <w:t>Item 3. Defaults on</w:t>
      </w:r>
      <w:r>
        <w:rPr>
          <w:rFonts w:ascii="Times New Roman" w:hAnsi="Times New Roman"/>
          <w:sz w:val="20"/>
        </w:rPr>
        <w:t xml:space="preserve"> </w:t>
      </w:r>
      <w:r>
        <w:rPr>
          <w:rFonts w:ascii="Times New Roman;serif" w:hAnsi="Times New Roman;serif"/>
          <w:b/>
          <w:sz w:val="20"/>
        </w:rPr>
        <w:t>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bookmarkStart w:id="18" w:name="item_5_or_information"/>
      <w:bookmarkEnd w:id="18"/>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exhibits listed below are filed or incorporated by reference into this Report.</w:t>
      </w:r>
    </w:p>
    <w:p>
      <w:pPr>
        <w:pStyle w:val="TextBody"/>
        <w:spacing w:before="120" w:after="0"/>
        <w:jc w:val="left"/>
        <w:rPr/>
      </w:pPr>
      <w:r>
        <w:rPr/>
        <w:t> </w:t>
      </w:r>
    </w:p>
    <w:tbl>
      <w:tblPr>
        <w:tblW w:w="10205" w:type="dxa"/>
        <w:jc w:val="left"/>
        <w:tblInd w:w="0" w:type="dxa"/>
        <w:tblCellMar>
          <w:top w:w="28" w:type="dxa"/>
          <w:left w:w="28" w:type="dxa"/>
          <w:bottom w:w="28" w:type="dxa"/>
          <w:right w:w="28" w:type="dxa"/>
        </w:tblCellMar>
      </w:tblPr>
      <w:tblGrid>
        <w:gridCol w:w="935"/>
        <w:gridCol w:w="146"/>
        <w:gridCol w:w="9124"/>
      </w:tblGrid>
      <w:tr>
        <w:trPr/>
        <w:tc>
          <w:tcPr>
            <w:tcW w:w="9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24" w:type="dxa"/>
            <w:tcBorders/>
            <w:shd w:fill="auto" w:val="clear"/>
            <w:vAlign w:val="center"/>
          </w:tcPr>
          <w:p>
            <w:pPr>
              <w:pStyle w:val="TableContents"/>
              <w:spacing w:before="0" w:after="283"/>
              <w:rPr>
                <w:sz w:val="4"/>
                <w:szCs w:val="4"/>
              </w:rPr>
            </w:pPr>
            <w:r>
              <w:rPr>
                <w:sz w:val="4"/>
                <w:szCs w:val="4"/>
              </w:rPr>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 Title</w:t>
            </w:r>
          </w:p>
        </w:tc>
      </w:tr>
      <w:tr>
        <w:trPr/>
        <w:tc>
          <w:tcPr>
            <w:tcW w:w="93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of the Registrant</w:t>
              </w:r>
            </w:hyperlink>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Fourth Amended and Restated Bylaws of the Registrant</w:t>
              </w:r>
            </w:hyperlink>
            <w:hyperlink r:id="rId4">
              <w:r>
                <w:rPr>
                  <w:rStyle w:val="InternetLink"/>
                  <w:rFonts w:ascii="Times New Roman" w:hAnsi="Times New Roman"/>
                  <w:sz w:val="20"/>
                </w:rPr>
                <w:t xml:space="preserve"> </w:t>
              </w:r>
            </w:hyperlink>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Form of Common Stock certificate of the Registrant</w:t>
              </w:r>
            </w:hyperlink>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pPr>
            <w:hyperlink w:anchor="hubs-ex31_1.htm">
              <w:r>
                <w:rPr>
                  <w:rStyle w:val="InternetLink"/>
                  <w:rFonts w:ascii="Times New Roman;serif" w:hAnsi="Times New Roman;serif"/>
                  <w:b w:val="false"/>
                  <w:sz w:val="20"/>
                  <w:u w:val="single"/>
                </w:rPr>
                <w:t>Certification of Principal Executive Officer pursuant to Rule 13a-14(a) or Rule 15d-14(a) of the Securities Exchange Act of 1934, as amended</w:t>
              </w:r>
            </w:hyperlink>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pPr>
            <w:hyperlink w:anchor="hubs-ex31_2.htm">
              <w:r>
                <w:rPr>
                  <w:rStyle w:val="InternetLink"/>
                  <w:rFonts w:ascii="Times New Roman;serif" w:hAnsi="Times New Roman;serif"/>
                  <w:b w:val="false"/>
                  <w:sz w:val="20"/>
                  <w:u w:val="single"/>
                </w:rPr>
                <w:t>Certification of Principal Financial Officer pursuant to Rule 13a-14(a) or Rule 15d-14(a) of the Securities Exchange Act of 1934, as amended</w:t>
              </w:r>
            </w:hyperlink>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pPr>
            <w:hyperlink w:anchor="hubs-ex32_1.htm">
              <w:r>
                <w:rPr>
                  <w:rStyle w:val="InternetLink"/>
                  <w:rFonts w:ascii="Times New Roman;serif" w:hAnsi="Times New Roman;serif"/>
                  <w:b w:val="false"/>
                  <w:sz w:val="20"/>
                  <w:u w:val="single"/>
                </w:rPr>
                <w:t>Certification of Principal Executive Officer and Principal Financial Officer pursuant to Section 906 of the Sarbanes-Oxley Act</w:t>
              </w:r>
            </w:hyperlink>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1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93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pPr>
            <w:r>
              <w:rPr/>
              <w:t> </w:t>
            </w:r>
          </w:p>
        </w:tc>
      </w:tr>
      <w:tr>
        <w:trPr/>
        <w:tc>
          <w:tcPr>
            <w:tcW w:w="93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12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4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(1) Incorporated by reference to Exhibit 3.1 to HubSpot, Inc.’s Annual Report on Form 10-K filed on February 24, 2016.</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 Incorporated by reference to Exhibit 3.1 to HubSpot Inc.’s Current Report on Form 8-K filed with the SEC January 27, 2023.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(3) Incorporated by reference to Exhibit 4.1 to Amendment No. 1 to registrant’s Registration Statement on Form S-1 (SEC file No. 333-198333) filed on September 26, 2014.</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spacing w:before="12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tbl>
      <w:tblPr>
        <w:tblW w:w="4033" w:type="dxa"/>
        <w:jc w:val="left"/>
        <w:tblInd w:w="0" w:type="dxa"/>
        <w:tblCellMar>
          <w:top w:w="28" w:type="dxa"/>
          <w:left w:w="28" w:type="dxa"/>
          <w:bottom w:w="28" w:type="dxa"/>
          <w:right w:w="28" w:type="dxa"/>
        </w:tblCellMar>
      </w:tblPr>
      <w:tblGrid>
        <w:gridCol w:w="646"/>
        <w:gridCol w:w="146"/>
        <w:gridCol w:w="3241"/>
      </w:tblGrid>
      <w:tr>
        <w:trPr/>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1" w:type="dxa"/>
            <w:tcBorders/>
            <w:shd w:fill="auto" w:val="clear"/>
            <w:vAlign w:val="center"/>
          </w:tcPr>
          <w:p>
            <w:pPr>
              <w:pStyle w:val="TableContents"/>
              <w:spacing w:before="0" w:after="283"/>
              <w:rPr>
                <w:sz w:val="4"/>
                <w:szCs w:val="4"/>
              </w:rPr>
            </w:pPr>
            <w:r>
              <w:rPr>
                <w:sz w:val="4"/>
                <w:szCs w:val="4"/>
              </w:rPr>
            </w:r>
          </w:p>
        </w:tc>
      </w:tr>
      <w:tr>
        <w:trPr/>
        <w:tc>
          <w:tcPr>
            <w:tcW w:w="4033" w:type="dxa"/>
            <w:gridSpan w:val="3"/>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HUBSPOT, INC.</w:t>
            </w:r>
          </w:p>
        </w:tc>
      </w:tr>
      <w:tr>
        <w:trPr/>
        <w:tc>
          <w:tcPr>
            <w:tcW w:w="646" w:type="dxa"/>
            <w:tcBorders/>
            <w:shd w:fill="auto" w:val="clear"/>
            <w:vAlign w:val="center"/>
          </w:tcPr>
          <w:p>
            <w:pPr>
              <w:pStyle w:val="TableContents"/>
              <w:spacing w:before="0" w:after="0"/>
              <w:ind w:left="0" w:right="0" w:hanging="0"/>
              <w:jc w:val="left"/>
              <w:rPr/>
            </w:pPr>
            <w:r>
              <w:rPr/>
              <w:t> </w:t>
            </w:r>
          </w:p>
        </w:tc>
        <w:tc>
          <w:tcPr>
            <w:tcW w:w="3387" w:type="dxa"/>
            <w:gridSpan w:val="2"/>
            <w:tcBorders/>
            <w:shd w:fill="auto" w:val="clear"/>
            <w:vAlign w:val="center"/>
          </w:tcPr>
          <w:p>
            <w:pPr>
              <w:pStyle w:val="TableContents"/>
              <w:spacing w:before="0" w:after="0"/>
              <w:ind w:left="0" w:right="0" w:hanging="0"/>
              <w:jc w:val="left"/>
              <w:rPr/>
            </w:pPr>
            <w:r>
              <w:rPr/>
              <w:t> </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Kate Bueker</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shd w:fill="auto" w:val="clear"/>
            <w:vAlign w:val="center"/>
          </w:tcPr>
          <w:p>
            <w:pPr>
              <w:pStyle w:val="TableContents"/>
              <w:spacing w:before="0" w:after="0"/>
              <w:ind w:left="0" w:right="0" w:hanging="0"/>
              <w:jc w:val="left"/>
              <w:rPr/>
            </w:pPr>
            <w:r>
              <w:rPr/>
              <w:t> </w:t>
            </w:r>
          </w:p>
        </w:tc>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Kate Bueker</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shd w:fill="auto" w:val="clear"/>
            <w:vAlign w:val="center"/>
          </w:tcPr>
          <w:p>
            <w:pPr>
              <w:pStyle w:val="TableContents"/>
              <w:spacing w:before="0" w:after="0"/>
              <w:ind w:left="0" w:right="0" w:hanging="0"/>
              <w:jc w:val="left"/>
              <w:rPr/>
            </w:pPr>
            <w:r>
              <w:rPr/>
              <w:t> </w:t>
            </w:r>
          </w:p>
        </w:tc>
        <w:tc>
          <w:tcPr>
            <w:tcW w:w="32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0" w:hanging="0"/>
              <w:jc w:val="left"/>
              <w:rPr>
                <w:rFonts w:ascii="Times New Roman" w:hAnsi="Times New Roman"/>
                <w:sz w:val="20"/>
              </w:rPr>
            </w:pPr>
            <w:r>
              <w:rPr>
                <w:rFonts w:ascii="Times New Roman;serif" w:hAnsi="Times New Roman;serif"/>
                <w:b w:val="false"/>
                <w:i/>
                <w:sz w:val="20"/>
              </w:rPr>
              <w:t>(Principal Financial and Accounting</w:t>
            </w:r>
            <w:r>
              <w:rPr>
                <w:rFonts w:ascii="Times New Roman" w:hAnsi="Times New Roman"/>
                <w:sz w:val="20"/>
              </w:rPr>
              <w:t xml:space="preserve"> </w:t>
            </w:r>
          </w:p>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Officer and Authorized Signatory)</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May 3,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r>
        <w:br w:type="page"/>
      </w:r>
    </w:p>
    <w:p>
      <w:pPr>
        <w:pStyle w:val="TextBody"/>
        <w:spacing w:before="0" w:after="0"/>
        <w:jc w:val="left"/>
        <w:rPr/>
      </w:pPr>
      <w:bookmarkStart w:id="21" w:name="hubs-ex31_1.htm"/>
      <w:bookmarkStart w:id="22" w:name="kshubsex31_1"/>
      <w:bookmarkEnd w:id="21"/>
      <w:bookmarkEnd w:id="22"/>
      <w:r>
        <w:rPr/>
        <w:t> </w:t>
      </w:r>
    </w:p>
    <w:p>
      <w:pPr>
        <w:pStyle w:val="TextBody"/>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Certification of Chief Executive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w:t>
      </w:r>
    </w:p>
    <w:p>
      <w:pPr>
        <w:pStyle w:val="TextBody"/>
        <w:spacing w:before="0" w:after="0"/>
        <w:jc w:val="center"/>
        <w:rPr>
          <w:rFonts w:ascii="Times New Roman;serif" w:hAnsi="Times New Roman;serif"/>
          <w:b/>
          <w:sz w:val="20"/>
        </w:rPr>
      </w:pPr>
      <w:r>
        <w:rPr>
          <w:rFonts w:ascii="Times New Roman;serif" w:hAnsi="Times New Roman;serif"/>
          <w:b/>
          <w:sz w:val="20"/>
        </w:rPr>
        <w:t>Exchange Act Rules 13a-14(a) and 15d-14(a),</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Yamini Rangan,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HubSpot, Inc.;</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4810" w:type="dxa"/>
        <w:jc w:val="left"/>
        <w:tblInd w:w="0" w:type="dxa"/>
        <w:tblCellMar>
          <w:top w:w="28" w:type="dxa"/>
          <w:left w:w="28" w:type="dxa"/>
          <w:bottom w:w="28" w:type="dxa"/>
          <w:right w:w="28" w:type="dxa"/>
        </w:tblCellMar>
      </w:tblPr>
      <w:tblGrid>
        <w:gridCol w:w="1636"/>
        <w:gridCol w:w="146"/>
        <w:gridCol w:w="406"/>
        <w:gridCol w:w="146"/>
        <w:gridCol w:w="2476"/>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3,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Yamini Rangan</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Yamini Rangan</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3" w:name="hubs-ex31_2.htm"/>
      <w:bookmarkStart w:id="24" w:name="kshubsex31_2"/>
      <w:bookmarkEnd w:id="23"/>
      <w:bookmarkEnd w:id="24"/>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Certification of Chief Financial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w:t>
      </w:r>
    </w:p>
    <w:p>
      <w:pPr>
        <w:pStyle w:val="TextBody"/>
        <w:spacing w:before="0" w:after="0"/>
        <w:jc w:val="center"/>
        <w:rPr>
          <w:rFonts w:ascii="Times New Roman;serif" w:hAnsi="Times New Roman;serif"/>
          <w:b/>
          <w:sz w:val="20"/>
        </w:rPr>
      </w:pPr>
      <w:r>
        <w:rPr>
          <w:rFonts w:ascii="Times New Roman;serif" w:hAnsi="Times New Roman;serif"/>
          <w:b/>
          <w:sz w:val="20"/>
        </w:rPr>
        <w:t>Exchange Act Rules 13a-14(a) and 15d-14(a),</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Kate Bueker,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HubSpot, Inc.;</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tbl>
      <w:tblPr>
        <w:tblW w:w="4750" w:type="dxa"/>
        <w:jc w:val="left"/>
        <w:tblInd w:w="0" w:type="dxa"/>
        <w:tblCellMar>
          <w:top w:w="28" w:type="dxa"/>
          <w:left w:w="28" w:type="dxa"/>
          <w:bottom w:w="28" w:type="dxa"/>
          <w:right w:w="28" w:type="dxa"/>
        </w:tblCellMar>
      </w:tblPr>
      <w:tblGrid>
        <w:gridCol w:w="1636"/>
        <w:gridCol w:w="146"/>
        <w:gridCol w:w="406"/>
        <w:gridCol w:w="146"/>
        <w:gridCol w:w="2416"/>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3,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 Kate Bueker</w:t>
            </w:r>
            <w:r>
              <w:rPr>
                <w:rFonts w:ascii="Times New Roman" w:hAnsi="Times New Roman"/>
                <w:sz w:val="20"/>
              </w:rPr>
              <w:t xml:space="preserve"> </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Kate Bueker</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Chief Financial Officer</w:t>
            </w:r>
            <w:r>
              <w:rPr>
                <w:rFonts w:ascii="Times New Roman" w:hAnsi="Times New Roman"/>
                <w:sz w:val="20"/>
              </w:rPr>
              <w:t xml:space="preserve">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5" w:name="hubs-ex32_1.htm"/>
      <w:bookmarkStart w:id="26" w:name="kshubsex32_1"/>
      <w:bookmarkEnd w:id="25"/>
      <w:bookmarkEnd w:id="26"/>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240" w:after="0"/>
        <w:jc w:val="center"/>
        <w:rPr>
          <w:rFonts w:ascii="Times New Roman;serif" w:hAnsi="Times New Roman;serif"/>
          <w:b/>
          <w:sz w:val="20"/>
        </w:rPr>
      </w:pPr>
      <w:r>
        <w:rPr>
          <w:rFonts w:ascii="Times New Roman;serif" w:hAnsi="Times New Roman;serif"/>
          <w:b/>
          <w:sz w:val="20"/>
        </w:rPr>
        <w:t>CERTIFICATION OF CHIEF EXECUTIVE OFFICER AND CHIEF FINANCIAL OFFICER</w:t>
      </w:r>
    </w:p>
    <w:p>
      <w:pPr>
        <w:pStyle w:val="TextBody"/>
        <w:spacing w:before="0" w:after="0"/>
        <w:jc w:val="center"/>
        <w:rPr>
          <w:rFonts w:ascii="Times New Roman;serif" w:hAnsi="Times New Roman;serif"/>
          <w:b/>
          <w:sz w:val="20"/>
        </w:rPr>
      </w:pPr>
      <w:r>
        <w:rPr>
          <w:rFonts w:ascii="Times New Roman;serif" w:hAnsi="Times New Roman;serif"/>
          <w:b/>
          <w:sz w:val="20"/>
        </w:rPr>
        <w:t>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Yamini Rangan, certify, pursuant to 18 U.S.C. Section 1350, as adopted pursuant to Section 906 of the Sarbanes-Oxley Act of 2002, that, to my knowledge, the Quarterly Report on Form 10-Q of HubSpot, Inc. for the period ended March 31, 2023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4810" w:type="dxa"/>
        <w:jc w:val="left"/>
        <w:tblInd w:w="0" w:type="dxa"/>
        <w:tblCellMar>
          <w:top w:w="28" w:type="dxa"/>
          <w:left w:w="28" w:type="dxa"/>
          <w:bottom w:w="28" w:type="dxa"/>
          <w:right w:w="28" w:type="dxa"/>
        </w:tblCellMar>
      </w:tblPr>
      <w:tblGrid>
        <w:gridCol w:w="1636"/>
        <w:gridCol w:w="146"/>
        <w:gridCol w:w="406"/>
        <w:gridCol w:w="146"/>
        <w:gridCol w:w="2476"/>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3,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Yamini Rangan</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Yamini Rangan</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I, Kate Bueker, certify, pursuant to 18 U.S.C. Section 1350, as adopted pursuant to Section 906 of the Sarbanes-Oxley Act of 2002, that, to my knowledge, the Quarterly Report on Form 10-Q of HubSpot, Inc. for the period ended March 31, 2023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tbl>
      <w:tblPr>
        <w:tblW w:w="4750" w:type="dxa"/>
        <w:jc w:val="left"/>
        <w:tblInd w:w="0" w:type="dxa"/>
        <w:tblCellMar>
          <w:top w:w="28" w:type="dxa"/>
          <w:left w:w="28" w:type="dxa"/>
          <w:bottom w:w="28" w:type="dxa"/>
          <w:right w:w="28" w:type="dxa"/>
        </w:tblCellMar>
      </w:tblPr>
      <w:tblGrid>
        <w:gridCol w:w="1636"/>
        <w:gridCol w:w="146"/>
        <w:gridCol w:w="406"/>
        <w:gridCol w:w="146"/>
        <w:gridCol w:w="2416"/>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3,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Kate Bueker</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Kate Bueker</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Chief Financial Officer</w:t>
            </w:r>
            <w:r>
              <w:rPr>
                <w:rFonts w:ascii="Times New Roman" w:hAnsi="Times New Roman"/>
                <w:sz w:val="20"/>
              </w:rPr>
              <w:t xml:space="preserve">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spacing w:before="0" w:after="0"/>
        <w:jc w:val="left"/>
        <w:rPr/>
      </w:pPr>
      <w:r>
        <w:rPr/>
        <w:t> </w:t>
      </w:r>
    </w:p>
    <w:p>
      <w:pPr>
        <w:pStyle w:val="TextBody"/>
        <w:spacing w:before="40" w:after="0"/>
        <w:jc w:val="left"/>
        <w:rPr>
          <w:rFonts w:ascii="Times New Roman;serif" w:hAnsi="Times New Roman;serif"/>
          <w:b w:val="false"/>
          <w:i/>
          <w:sz w:val="20"/>
        </w:rPr>
      </w:pPr>
      <w:r>
        <w:rPr>
          <w:rFonts w:ascii="Times New Roman;serif" w:hAnsi="Times New Roman;serif"/>
          <w:b w:val="false"/>
          <w:i/>
          <w:sz w:val="20"/>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4655/000156459016013204/hubs-ex31_768.htm" TargetMode="External"/><Relationship Id="rId3" Type="http://schemas.openxmlformats.org/officeDocument/2006/relationships/hyperlink" Target="https://www.sec.gov/Archives/edgar/data/1404655/000095017023001309/hubs-ex3_1.htm" TargetMode="External"/><Relationship Id="rId4" Type="http://schemas.openxmlformats.org/officeDocument/2006/relationships/hyperlink" Target="https://www.sec.gov/Archives/edgar/data/1404655/000095017023001309/hubs-ex3_1.htm" TargetMode="External"/><Relationship Id="rId5" Type="http://schemas.openxmlformats.org/officeDocument/2006/relationships/hyperlink" Target="https://www.sec.gov/Archives/edgar/data/1404655/000119312514353746/d697256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37764</Words>
  <CharactersWithSpaces>247200</CharactersWithSpaces>
  <Paragraphs>5710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